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Adagio Medical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1,258,501.00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1,258,501.00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1,258,501.00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1,258,501.00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1,258,501.00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1,258,501.00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5.67 %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1,258,501.00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1,258,501.00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1,258,501.00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Adagio Medical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359"/>
        <w:spacing w:after="0"/>
        <w:rPr>
          <w:sz w:val="20"/>
          <w:szCs w:val="20"/>
          <w:color w:val="auto"/>
        </w:rPr>
      </w:pPr>
      <w:r>
        <w:rPr>
          <w:rFonts w:ascii="Times New Roman" w:cs="Times New Roman" w:eastAsia="Times New Roman" w:hAnsi="Times New Roman"/>
          <w:sz w:val="22"/>
          <w:szCs w:val="22"/>
          <w:color w:val="auto"/>
        </w:rPr>
        <w:t>26051 Merit Circle, Suite 102, Laguna Hills, CA 92653</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20"/>
        <w:spacing w:after="0" w:line="245"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shares of common stock, par value $0.0001 per share ("Common Stock") of Adagio Medical Holdings,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w:t>
      </w:r>
    </w:p>
    <w:p>
      <w:pPr>
        <w:spacing w:after="0" w:line="3" w:lineRule="exact"/>
        <w:rPr>
          <w:sz w:val="20"/>
          <w:szCs w:val="20"/>
          <w:color w:val="auto"/>
        </w:rPr>
      </w:pPr>
    </w:p>
    <w:p>
      <w:pPr>
        <w:ind w:left="920" w:right="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organized under the laws of the State of Delaware ("ACPGP"), general partner of ACP and (2) managing member of Adage Capital Partners LLC, a Delaware limited liability company ("ACPLLC"), general partner of ACM, with respect to the shares of Common Stock directly held by ACP; and (iii) Phillip Gross ("Mr. Gross"), as (1) managing member of ACA, managing member of ACPGP and (2) managing member of ACPLLC, general partner of ACM, with respect to the shares of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ectPr>
          <w:pgSz w:w="11900" w:h="16838" w:orient="portrait"/>
          <w:cols w:equalWidth="0" w:num="1">
            <w:col w:w="11120"/>
          </w:cols>
          <w:pgMar w:left="360" w:top="112" w:right="419" w:bottom="181"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181"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22,210,459 shares of Common Stock outstanding as of March 23, 2026, as reported in the Company's Annual Report on Form 10-K for the fiscal year ended December 31, 2025, filed with the Securities and Exchange Commission on March 27,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2" w:right="419" w:bottom="181" w:gutter="0" w:footer="0" w:header="0"/>
          <w:type w:val="continuous"/>
        </w:sectPr>
      </w:pPr>
    </w:p>
    <w:bookmarkStart w:id="4" w:name="page5"/>
    <w:bookmarkEnd w:id="4"/>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2026-05-13T08:02:33Z</dcterms:created>
  <dcterms:modified xsi:type="dcterms:W3CDTF">2026-05-13T08:02:33Z</dcterms:modified>
</cp:coreProperties>
</file>