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12, 2026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ADAGIO MEDICAL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718"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001-42199</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99-1151466</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718" w:right="339" w:bottom="1440" w:gutter="0" w:footer="0" w:header="0"/>
          <w:type w:val="continuous"/>
        </w:sectPr>
      </w:pPr>
    </w:p>
    <w:p>
      <w:pPr>
        <w:spacing w:after="0" w:line="3"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26051 Merit Circle, Suite 102</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Laguna Hills, CA</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92653</w:t>
      </w:r>
    </w:p>
    <w:p>
      <w:pPr>
        <w:spacing w:after="0" w:line="31"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8280" w:space="720"/>
            <w:col w:w="2240"/>
          </w:cols>
          <w:pgMar w:left="320" w:top="718" w:right="339" w:bottom="1440" w:gutter="0" w:footer="0" w:header="0"/>
          <w:type w:val="continuous"/>
        </w:sectPr>
      </w:pPr>
    </w:p>
    <w:p>
      <w:pPr>
        <w:spacing w:after="0" w:line="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(949) 348-1188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718" w:right="339" w:bottom="1440" w:gutter="0" w:footer="0" w:header="0"/>
          <w:type w:val="continuous"/>
        </w:sectPr>
      </w:pPr>
    </w:p>
    <w:p>
      <w:pPr>
        <w:spacing w:after="0" w:line="21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9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38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20"/>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9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38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9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ADGM</w:t>
            </w:r>
          </w:p>
        </w:tc>
        <w:tc>
          <w:tcPr>
            <w:tcW w:w="338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12, 2026, Adagio Medical Holdings, Inc. issued a press release announcing financial results for the quarter ended March 31, 2026, and providing a business update. A copy of this press release is furnished as Exhibit 99.1 and is incorporated herein by reference.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with this Item 2.02,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2500" w:type="dxa"/>
            <w:vAlign w:val="bottom"/>
          </w:tcPr>
          <w:p>
            <w:pPr>
              <w:spacing w:after="0"/>
              <w:rPr>
                <w:sz w:val="20"/>
                <w:szCs w:val="20"/>
                <w:color w:val="auto"/>
              </w:rPr>
            </w:pPr>
          </w:p>
        </w:tc>
        <w:tc>
          <w:tcPr>
            <w:tcW w:w="7160" w:type="dxa"/>
            <w:vAlign w:val="bottom"/>
          </w:tcPr>
          <w:p>
            <w:pPr>
              <w:spacing w:after="0"/>
              <w:rPr>
                <w:sz w:val="20"/>
                <w:szCs w:val="20"/>
                <w:color w:val="auto"/>
              </w:rPr>
            </w:pPr>
          </w:p>
        </w:tc>
      </w:tr>
      <w:tr>
        <w:trPr>
          <w:trHeight w:val="432"/>
        </w:trPr>
        <w:tc>
          <w:tcPr>
            <w:tcW w:w="158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500" w:type="dxa"/>
            <w:vAlign w:val="bottom"/>
          </w:tcPr>
          <w:p>
            <w:pPr>
              <w:spacing w:after="0"/>
              <w:rPr>
                <w:sz w:val="24"/>
                <w:szCs w:val="24"/>
                <w:color w:val="auto"/>
              </w:rPr>
            </w:pPr>
          </w:p>
        </w:tc>
        <w:tc>
          <w:tcPr>
            <w:tcW w:w="7160" w:type="dxa"/>
            <w:vAlign w:val="bottom"/>
          </w:tcPr>
          <w:p>
            <w:pPr>
              <w:ind w:left="18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00" w:type="dxa"/>
            <w:vAlign w:val="bottom"/>
            <w:tcBorders>
              <w:top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6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May 12, 2026</w:t>
            </w:r>
          </w:p>
        </w:tc>
      </w:tr>
      <w:tr>
        <w:trPr>
          <w:trHeight w:val="20"/>
        </w:trPr>
        <w:tc>
          <w:tcPr>
            <w:tcW w:w="6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r>
    </w:tbl>
    <w:p>
      <w:pPr>
        <w:spacing w:after="0" w:line="225" w:lineRule="exact"/>
        <w:rPr>
          <w:sz w:val="20"/>
          <w:szCs w:val="20"/>
          <w:color w:val="auto"/>
        </w:rPr>
      </w:pPr>
    </w:p>
    <w:p>
      <w:pPr>
        <w:ind w:left="5580" w:right="3880" w:hanging="4965"/>
        <w:spacing w:after="0" w:line="783" w:lineRule="auto"/>
        <w:tabs>
          <w:tab w:leader="none" w:pos="156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12,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Adagio Medical Holdings,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Deborah Kaster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Deborah Kaster</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and</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Business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Adagio Medical Reports First Quarter 2026 Results and Meaningful Clinical Progress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Advancing Toward Submission for PMA Approval Following Late-Breaking FULCRUM-VT Data</w:t>
      </w:r>
    </w:p>
    <w:p>
      <w:pPr>
        <w:spacing w:after="0" w:line="22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LAGUNA HILLS, CA, May 12, 2026 </w:t>
      </w:r>
      <w:r>
        <w:rPr>
          <w:rFonts w:ascii="Times New Roman" w:cs="Times New Roman" w:eastAsia="Times New Roman" w:hAnsi="Times New Roman"/>
          <w:sz w:val="18"/>
          <w:szCs w:val="18"/>
          <w:color w:val="auto"/>
        </w:rPr>
        <w:t>– Adagio Medical Holdings, Inc (Nasdaq: ADGM) (“Adagio” or “the Company”), a leading innovator in catheter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ablation technologies for the treatment of cardiac arrhythmias, today announced financial results for the first quarter ended March 31,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Highlights:</w:t>
      </w:r>
    </w:p>
    <w:p>
      <w:pPr>
        <w:spacing w:after="0" w:line="225" w:lineRule="exact"/>
        <w:rPr>
          <w:sz w:val="20"/>
          <w:szCs w:val="20"/>
          <w:color w:val="auto"/>
        </w:rPr>
      </w:pPr>
    </w:p>
    <w:p>
      <w:pPr>
        <w:jc w:val="both"/>
        <w:ind w:left="660" w:hanging="328"/>
        <w:spacing w:after="0" w:line="259"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Pivotal results from the FULCRUM-VT trial presented in late-breaking session at Heart Rhythm Society 2026 </w:t>
      </w:r>
      <w:r>
        <w:rPr>
          <w:rFonts w:ascii="Times New Roman" w:cs="Times New Roman" w:eastAsia="Times New Roman" w:hAnsi="Times New Roman"/>
          <w:sz w:val="18"/>
          <w:szCs w:val="18"/>
          <w:color w:val="auto"/>
        </w:rPr>
        <w:t>– the first large-scale,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rigorously executed pivotal trial in patients with both ischemic and non-ischemic cardiomyopathies—which demonstrated 84% freedom from implantable cardioverter defibrillator (“ICD”) shock at six months, a promising safety profile with 2.4% protocol-defined Major Adverse Events, and a 72% discontinuation or reduced dose of antiarrhythmic drugs, as well as equivalent results across both ischemic and non-ischemic cardiomyopathy patients with the Company's proprietary Ultra-Low Temperature Ablation (“ULTA”) technology</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Received Food and Drug Administration (“FDA”) Investigational Device Exemption (“IDE”) approval to expand the FULCRUM-VT trial </w:t>
      </w:r>
      <w:r>
        <w:rPr>
          <w:rFonts w:ascii="Times New Roman" w:cs="Times New Roman" w:eastAsia="Times New Roman" w:hAnsi="Times New Roman"/>
          <w:sz w:val="18"/>
          <w:szCs w:val="18"/>
          <w:color w:val="auto"/>
        </w:rPr>
        <w:t>to evaluate the safety and effectiveness of the next-generation vCLAS Ultra System, which is designed to be faster, colder and deeper,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improved usability, compared to the first generation vCLAS catheter, underscoring the depth and durability of the Company's ULTA platform for the treatment of Sustained Monomorphic Ventricular Tachycardia</w:t>
      </w:r>
    </w:p>
    <w:p>
      <w:pPr>
        <w:spacing w:after="0" w:line="176"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Featured in over a dozen well-attended events, presentations, and posters at Heart Rhythm Society's 47th Annual Scientific Sessions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Heart Rhythm 2026—highlighting ULTA as a purpose-built endocardial solution for ventricular tachycardia (“VT”)</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Announced the publication of pre-clinical results of the Company’s next generation ULTA technology </w:t>
      </w:r>
      <w:r>
        <w:rPr>
          <w:rFonts w:ascii="Times New Roman" w:cs="Times New Roman" w:eastAsia="Times New Roman" w:hAnsi="Times New Roman"/>
          <w:sz w:val="18"/>
          <w:szCs w:val="18"/>
          <w:color w:val="auto"/>
        </w:rPr>
        <w:t>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Journal of Cardiovascular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Electrophysiology, </w:t>
      </w:r>
      <w:r>
        <w:rPr>
          <w:rFonts w:ascii="Times New Roman" w:cs="Times New Roman" w:eastAsia="Times New Roman" w:hAnsi="Times New Roman"/>
          <w:sz w:val="18"/>
          <w:szCs w:val="18"/>
          <w:color w:val="auto"/>
        </w:rPr>
        <w:t>which describe titratable lesion depth exceeding 10 millimeters as well as significant functional improvements in catheter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compared to first-generation ULTA, including improved handling characteristics, better compatibility with standard laboratory practices and the potential for 50-75% reduction in ablation time</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Successfully completed 13 cases under FDA Expanded Access </w:t>
      </w:r>
      <w:r>
        <w:rPr>
          <w:rFonts w:ascii="Times New Roman" w:cs="Times New Roman" w:eastAsia="Times New Roman" w:hAnsi="Times New Roman"/>
          <w:sz w:val="18"/>
          <w:szCs w:val="18"/>
          <w:color w:val="auto"/>
        </w:rPr>
        <w:t>using the vCLAS System in patients with recurrent VT and premature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ventricular contractions who had previously failed conventional and experimental ablation therapies, including radio frequency (RF)and pulsed field ablation (PFA), demonstrating real-world applicability and versatility of the ULTA platform</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Reported cash and cash equivalents of $12.9 million as of March 31, 2026, </w:t>
      </w:r>
      <w:r>
        <w:rPr>
          <w:rFonts w:ascii="Times New Roman" w:cs="Times New Roman" w:eastAsia="Times New Roman" w:hAnsi="Times New Roman"/>
          <w:sz w:val="18"/>
          <w:szCs w:val="18"/>
          <w:color w:val="auto"/>
        </w:rPr>
        <w:t>with potential for up to an additional $31 million of aggregate gross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proceeds that may be received upon the cash exercise in full of milestone-based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both"/>
        <w:spacing w:after="0" w:line="254" w:lineRule="auto"/>
        <w:rPr>
          <w:sz w:val="20"/>
          <w:szCs w:val="20"/>
          <w:color w:val="auto"/>
        </w:rPr>
      </w:pPr>
      <w:r>
        <w:rPr>
          <w:rFonts w:ascii="Times New Roman" w:cs="Times New Roman" w:eastAsia="Times New Roman" w:hAnsi="Times New Roman"/>
          <w:sz w:val="18"/>
          <w:szCs w:val="18"/>
          <w:color w:val="auto"/>
        </w:rPr>
        <w:t>“The first quarter of 2026 was a landmark period for Adagio during which we made exceptional progress advancing our Ultra-Low Temperature Ablation platform across both clinical development and real-world use,” said Todd Usen, Chief Executive Officer of Adagio Medical. “The late-breaking results from the FULCRUM-VT trial represent a defining milestone for our endocardial-only ULTA platform, demonstrating best-in-class safety, 84% freedom from ICD shock at six months, meaningful reductions in antiarrhythmic drug use, and consistent results across both ischemic and non-ischemic cardiomyopathy patients—the broadest patient population studied in any VT ablation trial. The enthusiasm from physicians on the podium was remarkable, with leading electrophysiologists highlighting ULTA as a potentially transformative solution for ventricular tachycardia. As we look ahead, we have multiple additional meaningful milestones expected this year across our platform of technologies and we are more confident than ever in our mission to fundamentally change the treatment of VT with a safe, effective solution for a broad group of patients who suffer from this dangerous arrhythmia."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 was nil for the three months ended March 31, 2026, compared to $0.3 million for the three months ended March 31, 2025. The decrease was primarily attributable to the pause in commercial activity in Europe. Depreciation expense related to consoles loaned to customers is generally classified within cost of revenue; however, because the Company did not generate revenue during the three months ended March 31, 2026, such depreciation expense is now reflected within research and development expenses for the period.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$2.7 million for the three months ended March 31, 2026, compared to $3.7 million for the three months ended March 31, 2025. The decrease was primarily attributable to lower clinical trial expenses and lower product development costs, including consulting, prototyping, and project-related support, partially offset by higher operational costs, including the aforementioned depreciation expense.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$2.5 million for the three months ended March 31, 2026, compared to $3.5 million for the three months ended March 31, 2025. Selling, general and administrative expenses decreased primarily due to lower professional services expenses, regulatory reporting expenses, and payroll and personnel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for the three months ended March 31, 2026 was $7.0 million, compared to a net loss of $7.7 million for the three months ended March 31, 2025.</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22,210,459 weighted average shares of common stock outstanding, basic and diluted, as of March 31, 2026. The Company's fully diluted share count includes all outstanding warrants; however, for purposes of calculating net loss per share, warrants and certain other potentially dilutive securities are excluded as their inclusion would be anti-dilutive.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Reported cash and cash equivalents of $12.9 million as of March 31,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Adagio Medical Holdings,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Adagio is a medical device company focused on developing and commercializing products for the treatment of cardiac arrhythmias utilizing its novel, proprietary, catheter-based Ultra-Low Temperature Cryoablation (ULTC) technology. ULTC is designed to create large, durable lesions extending through the depth of both diseased and healthy cardiac tissue. The Company is currently focused on the treatment of ventricular arrhythmias with its purpose-built vCLAS™ Cryoablation System, which is CE Marked and is currently under evaluation in the Company’s FULCRUM-VT U.S. Pivotal IDE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FULCRUM VT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FULCRUM-VT (Feasibility of Ultra-Low Temperature Cryoablation in Recurring Monomorphic Ventricular Tachycardia) is a prospective, multi-center, open-label, single-arm trial, enrolling 209 patients with structural heart disease of both ischemic and non-ischemic cardiomyopathy, indicated for catheter ablation of drug refractory VT in accordance with current treatment guidelines. The results of the study will be used to apply for FDA premarket approval (PMA) for Adagio’s vCLAS™ Cryoablation System, potentially leading to the broadest industry indication for purely endocardial ablation of scar-mediated VT.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Adagio’s vCLAS™ Cryoablation System is commercially available for the treatment of monomorphic VT in Europe and select other geographies but is limited to investigational use 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This press release contains forward-looking statements within the meaning of the Private Securities Litigation Reform Act of 1995. Words such as “anticipates,” “believes,” “expects,” “intends,” “projects,” “plans,” and “future” or similar expressions are intended to identify forward-looking statements. Forward-looking statements include statements concerning: the potential receipt of additional gross proceeds from the private placement if the issued warrants are exercised in full; Adagio’s intended use of the proceeds from the private placement; Adagio’s strategy, future operations, future financial position, projected expenses, expected timing and results of clinical trials, prospects, plans and objectives of management; the reproducibility of any favorable results initially seen in Adagio’s FULCRUM-VT pivotal data; and the potential for FDA approval of Adagio’s product candidates. Forward-looking statements are based on management’s current expectations and are subject to various risks and uncertainties that could cause actual results to differ materially and adversely from those expressed or implied by such forward-looking statements. Accordingly, these forward-looking statements do not constitute guarantees of future performance, and you are cautioned not to place undue reliance on these forward-looking statements. Risks regarding Adagio’s business are described in detail in Adagio’s Securities and Exchange Commission (“SEC”) filings, including in its Annual Report on Form 10-K for the full-year ended December 31, 2025 and Quarterly Report on Form 10-Q for the quarter ended March 31, 2026, which are available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Additional information will be made available in other filings that Adagio makes from time to time with the SEC. These forward-looking statements speak only as of the date hereof, and Adagio disclaims any obligation to update these statements except as may be required by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Debbie Kaster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Chief Business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dkaster@adagiomedical.com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Adagio Medical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(Audited)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12,909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spacing w:after="0"/>
              <w:rPr>
                <w:sz w:val="18"/>
                <w:szCs w:val="18"/>
                <w:color w:val="auto"/>
              </w:rPr>
            </w:pPr>
          </w:p>
        </w:tc>
        <w:tc>
          <w:tcPr>
            <w:tcW w:w="14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39,308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43,253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33,583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Pr>
          <w:p>
            <w:pPr>
              <w:spacing w:after="0"/>
              <w:rPr>
                <w:sz w:val="20"/>
                <w:szCs w:val="20"/>
                <w:color w:val="auto"/>
              </w:rPr>
            </w:pPr>
          </w:p>
        </w:tc>
        <w:tc>
          <w:tcPr>
            <w:tcW w:w="14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5,725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12,402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Adagio Medical Holdings Inc.</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600" w:type="dxa"/>
            <w:vAlign w:val="bottom"/>
            <w:gridSpan w:val="4"/>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i w:val="1"/>
                <w:iCs w:val="1"/>
                <w:color w:val="auto"/>
                <w:w w:val="99"/>
              </w:rPr>
              <w:t>(in thousands, except share and per share data)</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gridSpan w:val="7"/>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gridSpan w:val="7"/>
          </w:tcPr>
          <w:p>
            <w:pPr>
              <w:jc w:val="right"/>
              <w:ind w:right="12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and operating expenses: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8"/>
                <w:szCs w:val="18"/>
                <w:color w:val="auto"/>
              </w:rPr>
            </w:pPr>
          </w:p>
        </w:tc>
        <w:tc>
          <w:tcPr>
            <w:tcW w:w="14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2,741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2,459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cost of revenue and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notes fair value adjustment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liabilities fair value adjustment</w:t>
            </w:r>
          </w:p>
        </w:tc>
        <w:tc>
          <w:tcPr>
            <w:tcW w:w="2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8"/>
                <w:szCs w:val="18"/>
                <w:color w:val="auto"/>
              </w:rPr>
            </w:pPr>
          </w:p>
        </w:tc>
        <w:tc>
          <w:tcPr>
            <w:tcW w:w="14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loss, net</w:t>
            </w: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(7,713</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63"/>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(7,774</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6"/>
        </w:trPr>
        <w:tc>
          <w:tcPr>
            <w:tcW w:w="80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net loss per share</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800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(0.31</w:t>
            </w:r>
          </w:p>
        </w:tc>
        <w:tc>
          <w:tcPr>
            <w:tcW w:w="1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(0.50</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0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Diluted net loss per share</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(0.51</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outstanding – basic and diluted</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22,210,459</w:t>
            </w:r>
          </w:p>
        </w:tc>
        <w:tc>
          <w:tcPr>
            <w:tcW w:w="1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15,375,521</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8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2026-05-12T07:06:48Z</dcterms:created>
  <dcterms:modified xsi:type="dcterms:W3CDTF">2026-05-12T07:06:48Z</dcterms:modified>
</cp:coreProperties>
</file>