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87630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3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001-42199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80645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ADAGIO MEDICAL HOLDINGS,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Pr>
          <w:p>
            <w:pPr>
              <w:jc w:val="right"/>
              <w:ind w:right="2058"/>
              <w:spacing w:after="0"/>
              <w:rPr>
                <w:sz w:val="20"/>
                <w:szCs w:val="20"/>
                <w:color w:val="auto"/>
              </w:rPr>
            </w:pPr>
            <w:r>
              <w:rPr>
                <w:rFonts w:ascii="Times New Roman" w:cs="Times New Roman" w:eastAsia="Times New Roman" w:hAnsi="Times New Roman"/>
                <w:sz w:val="13"/>
                <w:szCs w:val="13"/>
                <w:b w:val="1"/>
                <w:bCs w:val="1"/>
                <w:color w:val="auto"/>
              </w:rPr>
              <w:t>99-1151466</w:t>
            </w:r>
          </w:p>
        </w:tc>
      </w:tr>
      <w:tr>
        <w:trPr>
          <w:trHeight w:val="135"/>
        </w:trPr>
        <w:tc>
          <w:tcPr>
            <w:tcW w:w="3380" w:type="dxa"/>
            <w:vAlign w:val="bottom"/>
            <w:gridSpan w:val="2"/>
          </w:tcPr>
          <w:p>
            <w:pPr>
              <w:jc w:val="center"/>
              <w:ind w:left="143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61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63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71"/>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6"/>
              </w:rPr>
              <w:t>26051 Merit Circle, Suite 102</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6"/>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8"/>
              </w:rPr>
              <w:t>Laguna Hills, CA</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right"/>
              <w:ind w:right="2198"/>
              <w:spacing w:after="0"/>
              <w:rPr>
                <w:sz w:val="20"/>
                <w:szCs w:val="20"/>
                <w:color w:val="auto"/>
              </w:rPr>
            </w:pPr>
            <w:r>
              <w:rPr>
                <w:rFonts w:ascii="Times New Roman" w:cs="Times New Roman" w:eastAsia="Times New Roman" w:hAnsi="Times New Roman"/>
                <w:sz w:val="13"/>
                <w:szCs w:val="13"/>
                <w:b w:val="1"/>
                <w:bCs w:val="1"/>
                <w:color w:val="auto"/>
              </w:rPr>
              <w:t>92653</w:t>
            </w:r>
          </w:p>
        </w:tc>
      </w:tr>
      <w:tr>
        <w:trPr>
          <w:trHeight w:val="203"/>
        </w:trPr>
        <w:tc>
          <w:tcPr>
            <w:tcW w:w="6760" w:type="dxa"/>
            <w:vAlign w:val="bottom"/>
            <w:gridSpan w:val="4"/>
          </w:tcPr>
          <w:p>
            <w:pPr>
              <w:jc w:val="center"/>
              <w:ind w:right="188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160" w:type="dxa"/>
            <w:vAlign w:val="bottom"/>
          </w:tcPr>
          <w:p>
            <w:pPr>
              <w:jc w:val="center"/>
              <w:ind w:right="163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4"/>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(949) 348-1188</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18"/>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9"/>
              </w:rPr>
              <w:t>(Issuer’s telephone number, including area code)</w:t>
            </w:r>
          </w:p>
        </w:tc>
        <w:tc>
          <w:tcPr>
            <w:tcW w:w="3160" w:type="dxa"/>
            <w:vAlign w:val="bottom"/>
          </w:tcPr>
          <w:p>
            <w:pPr>
              <w:spacing w:after="0"/>
              <w:rPr>
                <w:sz w:val="10"/>
                <w:szCs w:val="10"/>
                <w:color w:val="auto"/>
              </w:rPr>
            </w:pPr>
          </w:p>
        </w:tc>
      </w:tr>
      <w:tr>
        <w:trPr>
          <w:trHeight w:val="123"/>
        </w:trPr>
        <w:tc>
          <w:tcPr>
            <w:tcW w:w="3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gridSpan w:val="2"/>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r>
      <w:tr>
        <w:trPr>
          <w:trHeight w:val="248"/>
        </w:trPr>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160" w:type="dxa"/>
            <w:vAlign w:val="bottom"/>
          </w:tcPr>
          <w:p>
            <w:pPr>
              <w:spacing w:after="0"/>
              <w:rPr>
                <w:sz w:val="21"/>
                <w:szCs w:val="21"/>
                <w:color w:val="auto"/>
              </w:rPr>
            </w:pPr>
          </w:p>
        </w:tc>
      </w:t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155"/>
        </w:trPr>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108"/>
        </w:trPr>
        <w:tc>
          <w:tcPr>
            <w:tcW w:w="31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 Stock, par value $0.0001</w:t>
            </w:r>
          </w:p>
        </w:tc>
        <w:tc>
          <w:tcPr>
            <w:tcW w:w="200" w:type="dxa"/>
            <w:vAlign w:val="bottom"/>
          </w:tcPr>
          <w:p>
            <w:pPr>
              <w:spacing w:after="0"/>
              <w:rPr>
                <w:sz w:val="9"/>
                <w:szCs w:val="9"/>
                <w:color w:val="auto"/>
              </w:rPr>
            </w:pPr>
          </w:p>
        </w:tc>
        <w:tc>
          <w:tcPr>
            <w:tcW w:w="31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ADGM</w:t>
            </w:r>
          </w:p>
        </w:tc>
        <w:tc>
          <w:tcPr>
            <w:tcW w:w="200" w:type="dxa"/>
            <w:vAlign w:val="bottom"/>
          </w:tcPr>
          <w:p>
            <w:pPr>
              <w:spacing w:after="0"/>
              <w:rPr>
                <w:sz w:val="9"/>
                <w:szCs w:val="9"/>
                <w:color w:val="auto"/>
              </w:rPr>
            </w:pPr>
          </w:p>
        </w:tc>
        <w:tc>
          <w:tcPr>
            <w:tcW w:w="31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66"/>
        </w:trPr>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bl>
    <w:p>
      <w:pPr>
        <w:spacing w:after="0" w:line="37" w:lineRule="exact"/>
        <w:rPr>
          <w:sz w:val="24"/>
          <w:szCs w:val="24"/>
          <w:color w:val="auto"/>
        </w:rPr>
      </w:pPr>
    </w:p>
    <w:p>
      <w:pPr>
        <w:ind w:right="3280"/>
        <w:spacing w:after="0" w:line="22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jc w:val="both"/>
        <w:ind w:right="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anon-accelerated filer, a smaller reporting company or an emerging growth company. See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4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Accelerated filer</w:t>
            </w:r>
          </w:p>
        </w:tc>
        <w:tc>
          <w:tcPr>
            <w:tcW w:w="9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4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Emerging growth company</w:t>
            </w:r>
          </w:p>
        </w:tc>
        <w:tc>
          <w:tcPr>
            <w:tcW w:w="9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32"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3"/>
          <w:szCs w:val="13"/>
          <w:color w:val="auto"/>
        </w:rPr>
        <w:t>As of June 30, 2024, the last business day of the Registrant's most recently completed second fiscal quarter, there was no established public market for the Registrant's common stock. Therefore, the aggregate market value of its common stock held by non-affiliates as of such date cannot be calculated. The Registrant's common stock began trading on the Nasdaq Capital Market on August 1, 2024.</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21, 2025, there were 15,381,565 shares of common stock, $0.0001 par value, issued and outstanding.</w:t>
      </w:r>
    </w:p>
    <w:p>
      <w:pPr>
        <w:ind w:left="35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Proxy Statement to be filed in connection with the registrant’s 2025 annual general meeting of shareholders are incorporated by reference into Part III of this Form 10 K.</w:t>
      </w:r>
    </w:p>
    <w:p>
      <w:pPr>
        <w:spacing w:after="0" w:line="45" w:lineRule="exact"/>
        <w:rPr>
          <w:sz w:val="24"/>
          <w:szCs w:val="24"/>
          <w:color w:val="auto"/>
        </w:rPr>
      </w:pPr>
    </w:p>
    <w:p>
      <w:pPr>
        <w:ind w:left="100"/>
        <w:spacing w:after="0"/>
        <w:tabs>
          <w:tab w:leader="none" w:pos="1660" w:val="left"/>
          <w:tab w:leader="none" w:pos="2720" w:val="left"/>
          <w:tab w:leader="none" w:pos="4200" w:val="left"/>
          <w:tab w:leader="none" w:pos="6100" w:val="left"/>
          <w:tab w:leader="none" w:pos="8000" w:val="left"/>
        </w:tabs>
        <w:rPr>
          <w:sz w:val="20"/>
          <w:szCs w:val="20"/>
          <w:color w:val="auto"/>
        </w:rPr>
      </w:pPr>
      <w:r>
        <w:rPr>
          <w:rFonts w:ascii="Times New Roman" w:cs="Times New Roman" w:eastAsia="Times New Roman" w:hAnsi="Times New Roman"/>
          <w:sz w:val="14"/>
          <w:szCs w:val="14"/>
          <w:b w:val="1"/>
          <w:bCs w:val="1"/>
          <w:color w:val="auto"/>
        </w:rPr>
        <w:t>Auditor Firm Id:</w:t>
      </w:r>
      <w:r>
        <w:rPr>
          <w:sz w:val="20"/>
          <w:szCs w:val="20"/>
          <w:color w:val="auto"/>
        </w:rPr>
        <w:tab/>
      </w:r>
      <w:r>
        <w:rPr>
          <w:rFonts w:ascii="Times New Roman" w:cs="Times New Roman" w:eastAsia="Times New Roman" w:hAnsi="Times New Roman"/>
          <w:sz w:val="14"/>
          <w:szCs w:val="14"/>
          <w:color w:val="auto"/>
        </w:rPr>
        <w:t>100</w:t>
      </w:r>
      <w:r>
        <w:rPr>
          <w:sz w:val="20"/>
          <w:szCs w:val="20"/>
          <w:color w:val="auto"/>
        </w:rPr>
        <w:tab/>
      </w:r>
      <w:r>
        <w:rPr>
          <w:rFonts w:ascii="Times New Roman" w:cs="Times New Roman" w:eastAsia="Times New Roman" w:hAnsi="Times New Roman"/>
          <w:sz w:val="14"/>
          <w:szCs w:val="14"/>
          <w:b w:val="1"/>
          <w:bCs w:val="1"/>
          <w:color w:val="auto"/>
        </w:rPr>
        <w:t>Auditor Name:</w:t>
      </w:r>
      <w:r>
        <w:rPr>
          <w:sz w:val="20"/>
          <w:szCs w:val="20"/>
          <w:color w:val="auto"/>
        </w:rPr>
        <w:tab/>
      </w:r>
      <w:r>
        <w:rPr>
          <w:rFonts w:ascii="Times New Roman" w:cs="Times New Roman" w:eastAsia="Times New Roman" w:hAnsi="Times New Roman"/>
          <w:sz w:val="14"/>
          <w:szCs w:val="14"/>
          <w:color w:val="auto"/>
        </w:rPr>
        <w:t>WithumSmith+Brown, PC</w:t>
      </w:r>
      <w:r>
        <w:rPr>
          <w:sz w:val="20"/>
          <w:szCs w:val="20"/>
          <w:color w:val="auto"/>
        </w:rPr>
        <w:tab/>
      </w:r>
      <w:r>
        <w:rPr>
          <w:rFonts w:ascii="Times New Roman" w:cs="Times New Roman" w:eastAsia="Times New Roman" w:hAnsi="Times New Roman"/>
          <w:sz w:val="14"/>
          <w:szCs w:val="14"/>
          <w:b w:val="1"/>
          <w:bCs w:val="1"/>
          <w:color w:val="auto"/>
        </w:rPr>
        <w:t>Auditor Location:</w:t>
      </w:r>
      <w:r>
        <w:rPr>
          <w:sz w:val="20"/>
          <w:szCs w:val="20"/>
          <w:color w:val="auto"/>
        </w:rPr>
        <w:tab/>
      </w:r>
      <w:r>
        <w:rPr>
          <w:rFonts w:ascii="Times New Roman" w:cs="Times New Roman" w:eastAsia="Times New Roman" w:hAnsi="Times New Roman"/>
          <w:sz w:val="14"/>
          <w:szCs w:val="14"/>
          <w:color w:val="auto"/>
        </w:rPr>
        <w:t>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487680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67945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110490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6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Statement Regarding Forward Looking Statements</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60" w:type="dxa"/>
            <w:vAlign w:val="bottom"/>
            <w:gridSpan w:val="35"/>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14"/>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2960" w:type="dxa"/>
            <w:vAlign w:val="bottom"/>
            <w:gridSpan w:val="19"/>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50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54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6580" w:type="dxa"/>
            <w:vAlign w:val="bottom"/>
            <w:gridSpan w:val="2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6980" w:type="dxa"/>
            <w:vAlign w:val="bottom"/>
            <w:gridSpan w:val="3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5"/>
          </w:tcPr>
          <w:p>
            <w:pPr>
              <w:jc w:val="center"/>
              <w:ind w:right="3460"/>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4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 Reserved</w:t>
            </w:r>
          </w:p>
        </w:tc>
        <w:tc>
          <w:tcPr>
            <w:tcW w:w="7040" w:type="dxa"/>
            <w:vAlign w:val="bottom"/>
            <w:gridSpan w:val="3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26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3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9"/>
          </w:tcPr>
          <w:p>
            <w:pPr>
              <w:spacing w:after="0"/>
              <w:rPr>
                <w:sz w:val="17"/>
                <w:szCs w:val="17"/>
                <w:color w:val="auto"/>
              </w:rPr>
            </w:pPr>
          </w:p>
        </w:tc>
        <w:tc>
          <w:tcPr>
            <w:tcW w:w="124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740" w:type="dxa"/>
            <w:vAlign w:val="bottom"/>
            <w:tcBorders>
              <w:top w:val="single" w:sz="8" w:color="0000EE"/>
            </w:tcBorders>
            <w:gridSpan w:val="2"/>
          </w:tcPr>
          <w:p>
            <w:pPr>
              <w:spacing w:after="0"/>
              <w:rPr>
                <w:sz w:val="24"/>
                <w:szCs w:val="24"/>
                <w:color w:val="auto"/>
              </w:rPr>
            </w:pPr>
          </w:p>
        </w:tc>
        <w:tc>
          <w:tcPr>
            <w:tcW w:w="270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52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820" w:type="dxa"/>
            <w:vAlign w:val="bottom"/>
            <w:gridSpan w:val="2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3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21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16"/>
          </w:tcPr>
          <w:p>
            <w:pPr>
              <w:jc w:val="center"/>
              <w:ind w:right="346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300" w:type="dxa"/>
            <w:vAlign w:val="bottom"/>
            <w:gridSpan w:val="4"/>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34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1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80" w:type="dxa"/>
            <w:vAlign w:val="bottom"/>
            <w:gridSpan w:val="2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499"/>
        </w:trPr>
        <w:tc>
          <w:tcPr>
            <w:tcW w:w="2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Annual Report to the “Company,” “Adagio,” “Successor,” “we,” “us,” “our” and similar terms refer to Adagio Medical Holdings, Inc. (f/k/a Aja Holdco, Inc.) and its consolidated subsidiaries. References to “ListCo” refer to Aja Holdco, Inc. prior to the consummation of the Business Combination (as defined below).</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July 31, 2024, or the Closing Date (as defined below),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Legacy Adagio (the “Business Combination Agreement”).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(the “Charter”), and the board of directors of ListCo approved and adopt amended and restated bylaws of ListCo (the “Bylaws”), and (iii) ListCo changed its name to Adagio Medical Holdings, Inc.</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Statement Regarding Forward 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Some of the statements contained in this Annual Report on Form 10-K (“Annual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spacing w:after="0" w:line="77" w:lineRule="exact"/>
        <w:rPr>
          <w:sz w:val="20"/>
          <w:szCs w:val="20"/>
          <w:color w:val="auto"/>
        </w:rPr>
      </w:pPr>
    </w:p>
    <w:p>
      <w:pPr>
        <w:jc w:val="both"/>
        <w:ind w:left="720" w:right="79" w:hanging="319"/>
        <w:spacing w:after="0" w:line="26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recognize the anticipated benefits of the Business Combination (refer to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Merger” </w:t>
      </w:r>
      <w:r>
        <w:rPr>
          <w:rFonts w:ascii="Times New Roman" w:cs="Times New Roman" w:eastAsia="Times New Roman" w:hAnsi="Times New Roman"/>
          <w:sz w:val="18"/>
          <w:szCs w:val="18"/>
          <w:color w:val="auto"/>
        </w:rPr>
        <w:t>for additional details), which may be affected by, among other things, competition and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and manage growth profitably and retain our key employees;</w:t>
      </w:r>
    </w:p>
    <w:p>
      <w:pPr>
        <w:spacing w:after="0" w:line="1"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operating history and no revenues, and you have no basis on which to evaluate our ability to achieve our business objective;</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medical device company that has incurred net losses in every period to date and expect to continue to incur significant losses as we develop our business;</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prospects partially depend on our ability to accelerate the commercialization of our products and to capitalize on market opportunities;</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launch our pipeline portfolio successfully, we may experience material delays in our commercialization program relative to our current expectations;</w:t>
      </w: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life sciences technology market is highly competitive. Competitors include new entrants and established companies, many of which have significantly greater resources than we do. If we fail to compete effectively, our business and results of operation will suffer;</w:t>
      </w: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manufacturing capacity by ourselves or with third-party partners in a timely and cost-effective manner, commercialization of our products would be delayed, which would result in lost revenue and harm our business;</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the commercialization of our products if we fail to establish relationships and successfully collaborate with leading life science companies and research institutions;</w:t>
      </w: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 effective network for commercialization, including effective distribution channels and sales and marketing functions, it may adversely affect our business, financial condition, results of operations, and prospects;</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be able to execute on our business model, including achieving market acceptance of our products;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be successful if there are inadequate physician training, practice and patient selection;</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products are commercialized and achieve broad scientific and market acceptance, if we fail to improve them or introduce compelling new products, our revenue and our prospects could be harmed;</w:t>
      </w:r>
    </w:p>
    <w:p>
      <w:pPr>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products may be smaller than estimated, limiting our ability to successfully sell our products;</w:t>
      </w:r>
    </w:p>
    <w:p>
      <w:pPr>
        <w:ind w:left="720" w:right="79" w:hanging="319"/>
        <w:spacing w:after="0" w:line="29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third-party suppliers and manufacturers, or any difficulties encountered by these suppliers and manufacturers in the production of our products;</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against software or hardware vulnerabilities;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to develop the business development and commercialization plans;</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unfavorable U.S. or global economic conditions as a result of political instability, natural disasters, or otherwise;</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executive officers and other key employees;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hire and retain qualified employees;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federal state and local laws and regulations;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common stock on the Nasdaq Capital Market (“Nasdaq”).</w:t>
      </w:r>
    </w:p>
    <w:p>
      <w:pPr>
        <w:spacing w:after="0" w:line="24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Annual Report, reflect our management’s current expectations, forecasts and assumptions, and involve a number of judgments regarding known and unknown risks, uncertainties, and other factors, many of which are outside of our control, and the control of our directors, officers and affiliates. Accordingly, forward-looking statements should not be relied upon as representing our views as of any subsequent date.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results or performance may be materially different from those expressed or implied by these forward-looking statements. Some factors that could cause actual results to differ are set forth under the heading “Risk Factor Summary” below and those described under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229" w:lineRule="exact"/>
        <w:rPr>
          <w:sz w:val="20"/>
          <w:szCs w:val="20"/>
          <w:color w:val="auto"/>
        </w:rPr>
      </w:pPr>
    </w:p>
    <w:p>
      <w:pPr>
        <w:jc w:val="both"/>
        <w:ind w:left="60" w:right="59" w:firstLine="455"/>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This summary does not address all of the risks that we face. Additional discussion of the risks summarized in this risk factor summary, and other risks that we face, can be found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this Annual Report and should be carefully considered, together with other information in this Annual Report and our other filings with the U.S. Securities and Exchange Commission (“SEC”) before making investment decisions regarding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720" w:right="79" w:hanging="319"/>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and our financial conditions raise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execute our new business strategy and strategic restructuring.</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or restructuring of our businesses may affect the profitability of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and revenue prospects depend on our ability to accelerate the commercialization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be able to execute on our business model.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development and commercialization plans.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market size may be smaller than estimated, limiting our ability to successfully sell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our information technology systems or security incidents could adversely affect us.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anticipated growth effectively.</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partnership increase our capital requirements and otherwise disrupt our operations.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and retain key executives and scientists, we may be unable to achieve our goals.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medical device industry could adversely effect on our revenue and results of operations.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U.S. or global economic conditions could adversely affect us.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 effective system of internal control over financial reporting could harm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or judgments relating to our critical accounting policies could cause a decline in our stock.</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in compliance with Nasdaq’s requirements, which affect the liquidity of our common stock.</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Unavailable or inoperable facilities could adversely affect our business plans.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relating to improper handling, storage or disposal of hazardous materials could be costly.</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Products</w:t>
      </w:r>
    </w:p>
    <w:p>
      <w:pPr>
        <w:spacing w:after="0" w:line="243"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clinical trials are unsuccessful, significantly delayed or incomplete, our business may be harmed.</w:t>
      </w:r>
    </w:p>
    <w:p>
      <w:pPr>
        <w:spacing w:after="0" w:line="27"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trials may not establish an adequate safety or efficacy profile for our products, which would affect market acceptance of our products.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relationships with partners may affect the commercialization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 effective network for commercialization may adversely affect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appropriately train physicians and select patients may negatively affect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improve our products or introduce new products, our prospects could be harmed.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manufacturing capacity would delay commercialization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third-party suppliers and manufacturers could harm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could have unknown defects or errors, which may give rise to claims against us.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9"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maintain sufficient intellectual property (“IP”) protection could adversely affect us.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law relating to intellectual property may adversely impact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IP rights throughout the world, which could harm our business prospects.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Expensive, time consuming IP lawsuits may prevent or delay our efforts.</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covering our products could be found invalid or unenforceable if challenged and could materially impact our business.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trade secrets, the value of our technology could be materially adversely affected.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or ownership of our patents and other IP.</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and enforce our trademarks and trade names or build name recognition.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could be reduced or eliminated for non-compliance with these requirements.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confidentiality or misappropriation claims.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license rights to use technologies may affect commercialization of new products in the future.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terms of the underlying open source software licenses could limit us.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 rights do not necessarily address all potential threats.</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and Legal Compliance Matters</w:t>
      </w:r>
    </w:p>
    <w:p>
      <w:pPr>
        <w:spacing w:after="0" w:line="229" w:lineRule="exact"/>
        <w:rPr>
          <w:sz w:val="20"/>
          <w:szCs w:val="20"/>
          <w:color w:val="auto"/>
        </w:rPr>
      </w:pPr>
    </w:p>
    <w:p>
      <w:pPr>
        <w:ind w:left="720" w:right="79" w:hanging="319"/>
        <w:spacing w:after="0" w:line="268"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assurances that we will obtain the necessary approvals from the U.S. Food and Drug Administration (“FDA”) in the United States.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enforcement action if we engage in improper or off-label marketing or promotion.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impacted by changes in the United States political environment.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findings in post-marketing vigilance or regulatory audits could materially and adversely us.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enforcement action if we engage in improper marketing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regulations could harm our business.</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anti-corruption, anti-bribery and anti-money laundering and similar laws could adversely affect our reputation, business, financial condition and results of operations.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will subject us to an increased risk of inadvertent violation the Foreign Corrupt Practices Act.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regulatory standards and requirements could harm our business.</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Litigation and Regulation</w:t>
      </w:r>
    </w:p>
    <w:p>
      <w:pPr>
        <w:spacing w:after="0" w:line="229"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could result in litigation and substantially harm our business.</w:t>
      </w:r>
    </w:p>
    <w:p>
      <w:pPr>
        <w:spacing w:after="0" w:line="27"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disputes and other legal proceedings, product liability lawsuits, that may be time consuming and costly.</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international trade and sanctions regulations may harm our business.</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Financing Transactions</w:t>
      </w:r>
    </w:p>
    <w:p>
      <w:pPr>
        <w:spacing w:after="0" w:line="229"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guarantees that we can obtain future investments at a reasonable cost or at all.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associated with our convertible notes that could adversely affect our financial condition.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relating to increased interest rates and adverse developments in the credit markets.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w:t>
      </w:r>
    </w:p>
    <w:p>
      <w:pPr>
        <w:spacing w:after="0" w:line="229"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NOL carryforwards and other tax attributes may be limited.</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 U.S. federal excise tax could be imposed on us in connection with redemptions by us of our stock.</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 or in the application thereof, may adversely impact our results of operations.</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229" w:lineRule="exact"/>
        <w:rPr>
          <w:sz w:val="20"/>
          <w:szCs w:val="20"/>
          <w:color w:val="auto"/>
        </w:rPr>
      </w:pPr>
    </w:p>
    <w:p>
      <w:pPr>
        <w:ind w:left="720" w:right="79" w:hanging="319"/>
        <w:spacing w:after="0" w:line="268"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Perceptive PIPE Investor (defined herein) may have control over key decision making as a result of its voting power.</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use our financial resources in ways with which you do not agree or yield a favorable return.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as “emerging growth company” and “smaller reporting company” could make our stock not attractive.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may decline regardless of its operating performance.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the listing of our securities on Nasdaq in the future.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common stock may not be sustained.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by existing stockholders could cause our stock price to decline.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common stock or other equity securities would dilute your ownership.</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or unfavorable research publication about could decline our common stock.</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provisions in our Charter and Bylaws could make a merger, tender offer, or proxy contest difficult, thereby depressing the trading price of its common stock.</w:t>
      </w:r>
    </w:p>
    <w:p>
      <w:pPr>
        <w:ind w:left="720" w:right="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of Chancery of the State of Delaware as the exclusive forum for disputes could limit our stockholders’ ability to obtain a favorable judicial forum for disputes with us or our directors, officers or employees.</w:t>
      </w: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obligations as a result of being a public company.</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and negatively impact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effective internal control over financial reporting could cause our common stock to decline.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remediate these material weaknesses may adversely affect our business and stock price.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class action litigation would be expensive and could divert management’s attention.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published research or reports about us or published negative reports may impact our stock price.</w:t>
      </w:r>
    </w:p>
    <w:p>
      <w:pPr>
        <w:spacing w:after="0" w:line="22" w:lineRule="exact"/>
        <w:rPr>
          <w:rFonts w:ascii="Times New Roman" w:cs="Times New Roman" w:eastAsia="Times New Roman" w:hAnsi="Times New Roman"/>
          <w:sz w:val="18"/>
          <w:szCs w:val="18"/>
          <w:color w:val="auto"/>
        </w:rPr>
      </w:pPr>
    </w:p>
    <w:p>
      <w:pPr>
        <w:ind w:left="720" w:right="79" w:hanging="319"/>
        <w:spacing w:after="0" w:line="29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how such laws or regulations are interpreted or applied, or a failure to comply with any laws or regulations, may adversely affect our business and results of operations.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Times New Roman" w:cs="Times New Roman" w:eastAsia="Times New Roman" w:hAnsi="Times New Roman"/>
          <w:sz w:val="17"/>
          <w:szCs w:val="17"/>
          <w:color w:val="auto"/>
        </w:rPr>
        <w:t>We are a medical device company focused on developing and commercializing products for the treatment of cardiac arrhythmias with our novel, proprietary, catheter-based Ultra-Low Temperature Cryoablation (“UTLC”) technology. Our initial focus is on the treatment of ventricular tachycardia (“VT”). VT is a rapid, abnormal heart rhythm, or arrhythmia, that originates in the heart's lower chambers, or ventricles, leading to blood flow issues and significant symptoms. If sustained, VT can become fatal. VT is strongly associated with coronary artery disease, with an estimated 15% of patients with coronary artery disease found to have VT, and sudden cardiac deaths (“SCD”) caused by VT account for approximately half of the deaths related to cardiac causes. Radiofrequency energy-based (“RF”) ablation catheters currently used to treat VT were initially designed and approved for the treatment of atrial arrhythmias) and are therefore not optimized to treat the specifics of the ventricular anatomy and disease. As a result, VT procedures performed with current devices can be overly complex, often with sub-optimal outcomes potentially inhibiting growth in the market for VT ablations.</w:t>
      </w:r>
    </w:p>
    <w:p>
      <w:pPr>
        <w:spacing w:after="0" w:line="17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clinically tested VT Cryoablation System is purpose-built to treat patients with VT. Our highly differentiated vCLAS™ catheters are designed for large, durable, deep lesions within the ventricle through an endocardial – or from inside the heart - approach. Our ULTC approach is built on the hypothesis that large and durable lesions extending through the depth of both diseased and healthy muscular tissue of the ventricle of the heart (ventricular myocardium) is a foundation for improving the effectiveness of VT ablations and patient outcomes.</w:t>
      </w:r>
    </w:p>
    <w:p>
      <w:pPr>
        <w:spacing w:after="0" w:line="183" w:lineRule="exact"/>
        <w:rPr>
          <w:sz w:val="20"/>
          <w:szCs w:val="20"/>
          <w:color w:val="auto"/>
        </w:rPr>
      </w:pPr>
    </w:p>
    <w:p>
      <w:pPr>
        <w:jc w:val="both"/>
        <w:ind w:left="60" w:right="79" w:firstLine="369"/>
        <w:spacing w:after="0" w:line="282" w:lineRule="auto"/>
        <w:rPr>
          <w:sz w:val="20"/>
          <w:szCs w:val="20"/>
          <w:color w:val="auto"/>
        </w:rPr>
      </w:pPr>
      <w:r>
        <w:rPr>
          <w:rFonts w:ascii="Times New Roman" w:cs="Times New Roman" w:eastAsia="Times New Roman" w:hAnsi="Times New Roman"/>
          <w:sz w:val="18"/>
          <w:szCs w:val="18"/>
          <w:color w:val="auto"/>
        </w:rPr>
        <w:t>We believe that our purpose-built solution has the potential to drive additional market growth in ablative treatment of the large, underserved VT patient population.</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established a robust cadence of clinical data designed to evaluate our VT Cryoablation System and to support regulatory approvals of our product portfolio. Preliminary data suggest that our approach to treating VT offers a favorable combination of safety, acute and chronic effectiveness, compared to the current standard of care, including ablations performed using RF energy. Our first-in-human CRYOCURE-VT trial included 64 patients in nine centers in the E.U. and Canada. The outcomes of this trial, which were used to support the EC certificate of conformity (“CE Mark”) approval of our VT Cryoablation System, include a 0% rate of major adverse events, 94% acute procedural success, 60% freedom from sustained VT and 81% freedom from implantable cardioverter defibrillator shock at six months. In the U.S., our 206-patient FULCRUM-VT pivotal investigational device exemption (“Pivotal IDE”) clinical trial is currently enrolling patients across 20 centers in the U.S. and Canada. Upon completion, which we anticipate in the second half of 2025, we expect to submit the results of this trial to support FDA approval of our VT Cryoablation System.</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also developed a technology that utilizes ULTC in combination with Pulsed Field Ablation, which we call Pulsed Field Cryoablation (“PFCA”). Early demonstration of PFCA technology has been performed in the European PARALELL trial in patients with persistent atrial fibrillation and in preclinical studies targeting VT ablations.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Electrophysiology (“EP”) Market consists of tools for the diagnosis and treatment of abnormal heart rhythms, or arrhythmias. Within the EP market, we estimate the current global market for EP ablation catheters to be valued at approximately $4.5 billion. Advanced catheters, which include radiofrequency (“RF”) ablation catheters, cryoballoon catheters, RF balloon catheters, laser balloon catheters, and pulsed field ablation (“PFA”) catheters, are used in complex ablations, principally for AF and VT, and account for approximately 82% of the ablation catheter market segment, or an estimated market value of $3.7 billion. The advanced ablation catheter EP segment has grown approximately 54% over the last 2 years, driven primarily by the market availability of a new technology called PFA for AF ablations, which offers substantial improvement in speed of the procedure as compared to the RF ablation technologies conventionally used to treat AF.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Ventricular Tachyarrhythmias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VT is a potentially fatal disruption of normal electrical activation of the heart originating in the lower chambers of the heart (ventricles), with a heart rate exceeding 100 beats per minute. The symptoms of VT range from lightheadedness to - a temporary loss of consciousness caused by a sudden decrease in blood flow to the brain, known as syncope, to progression into ventricular fibrillation and possibly sudden cardiac death (“SCD”). VT-associated SCD accounts for approximately 300,000 deaths each year in the U.S. alone. Ventricular tachycardia is prevalent in patients with structural heart disease of both ischemic (related to coronary artery disease) and non-ischemic causes due to the electrically disruptive scarring within the muscle of the heart which blocks or delays normal propagation of the electric signal in the heart. The other relevant group of patients are those with “idiopathic” VT, which is not associated with underlying structural heart disease, including patients with premature ventricular complexes (“PVC”), which are extra heartbeats that begin in one of the heart's two ventricles. While occasional PVCs in people without underlying heart disease usually are not a concern, frequent PVCs can become highly symptomatic and lead to the development of cardiomyopathy, or disease affecting the heart muscle that makes it difficult for the heart to pump blood effectively, even without underlying ischemic or non-ischemic disease.</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first line treatment of VT is anti-arrhythmic drugs, which are unfortunately often toxic and poorly tolerated. Another first line treatment is to implant the patient with an implantable cardioverter-defibrillator (“ICD”), which senses and restores normal heart rhythm through the administration of electrical shocks. While the ICD implants do address the risk of SCD, the patients remain vulnerable to recurrent symptomatic episodes of ventricular arrhythmias. These symptomatic VT episodes could prompt harmful ICD shocks, resulting in reduced quality of life, hospitalizations and/or cardiac decompensations.</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Catheter ablation procedures treat VT by addressing the underlying cause of the disease. In these procedures, electrodes at the tip of the catheter use energy to create what is known as myocardial lesions to destroy – or ablate – the electrical pathway in the muscular tissue of the heart that is causing the VT. It is estimated that there are approximately 100,000 VT ablations worldwide each year and that the global market for advanced catheters for the treatment of VT is approximately $0.3 billion, or approximately 9% of the total advanced EP ablation catheter market. VT ablation procedures have been growing by approximately 7% annually, driven in part by the advances in electroanatomic mapping technologies and operator training as well as by the aging population and the increased incidence of underlying cardiac disease.</w:t>
      </w:r>
    </w:p>
    <w:p>
      <w:pPr>
        <w:spacing w:after="0" w:line="17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Ablation therapy to address VT in patients with structural heart disease has been clinically shown to reduce the frequency of symptomatic ventricular arrhythmias, including repeat, uncontrollable arrhythmias known as VT storms and to reduce ICD shocks. Additionally, the recent VANISH-2 trial demonstrated that VT ablation may be a viable alternative to escalation of the anti-arrhythmic medications, however current clinical guidelines recommend VT ablation therapy for patients with structural heart disease as second-line therapy. We estimate that the world-wide incidence of VT episodes in patients with structural heart disease eligible for ablations is approximately 700,000 per year.</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Symptomatic idiopathic VT comprises approximately 60% of current VT ablations. While the indications for ablative treatment of this patient groups vary significantly based on arrhythmia sub-type and site of origin, the estimated annual incidence of the condition is upwards of 250,000 in the United States, and we estimate that the world-wide incidence of these high-risk patients is approximately 800,000 per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Challenges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Several factors have limited the growth of ablation procedures for VT. Today, VT ablations are performed using RF catheters, which are almost exclusively designed and initially approved to atrial arrhythmias. The majority of atrial ablations are performed using a standardized set of lesions in tissue with thickness of 2 to 5 millimeters. In comparison, VT ablations are performed using a patient-specific and often very extensive set of lesions, which vary - depending on the location of the abnormal electrical circuit and preferred ablation strategy - in the forcefully contracting ventricular myocardium where tissue thickness routinely exceeds 10 millimeters.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principal issue of RF technology for VT is the limited lesion depth of 5 to 6 millimeters in healthy tissue which is further attenuated – or reduced - by approximately 50% in the presence of the myocardial scar. Furthermore, performing RF ablation requires an operator to maintain consistent mechanical contact between the catheter and the tissue which can be technically challenging when ablating VT due to ventricular contractions. In addition, in order to cool the ablating electrode and minimize the chance of a life-threatening complication known as “steam-pop”, advanced RF catheters utilize irrigating fluid, which can lead to the development of acute cardiac decompensation, particularly in patients with structural heart disease. Additionally, the insufficient lesion depth with RF can impact the effectiveness of the preferred endocardial (internal surface of the heart) ablation in some patients. RF catheter stabilization and management of irrigating fluid overload add to the technical challenges of VT ablations.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VT ablations using current technology remain lengthy and technically complex and are associated with a nearly 11.5% rate of serious complications, including death, particularly -but not exclusively- in patients with structural heart disease. This complexity and procedural risk combined with current guidelines for VT ablations as a second-line therapy have limited the growth of the procedural volumes despite significant improvement in the adjunctive technologies such as electroanatomic mapping and emerging evidence on benefits of earlier and prophylactic VT ablations.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proprietary Ultra Low Temperature Cryoablation technology was created to consistently create large and durable lesions extending through the depth of both diseased and healthy ventricular myocardium, which we believe is a foundation for improving the effectiveness and outcomes of VT ablations. Our unique technology portfolio consists of ULTC alone and in combination with Pulsed Field Ablation (also known as Pulsed Field Cryoablation).</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ULTC technology uses nitrogen (N2) gas, which is pressurized beyond its critical point and cooled to its boiling temperature of -196°C. This is in contrast to currently available cryoballoon and focal point cryocatheter technologies, which are based on the rapid evaporation (Joule-Thompson effect) of the compressed nitrous oxide (N2O) with a boiling temperature of -88.5°C. In ULTC, the “near- critical” nitrogen combines the flow properties of gas with density and thermal capacity of liquid, making it an ideal refrigerant for use in the endovascular environment. The high pressure suppresses evaporation and ensures continuous, vapor lock-free flow through small lumen catheters. Under such conditions, the refrigerant can be brought into close proximity and applied to the tissue targeted for ablation through a proprietary cryoablation catheter at temperatures close to -196°C. In pre-clinical experiments, the cryogenic power supplied by such technology was sufficient to achieve the temperatures at or below -30°C deep into the tissue, resulting in formation of intracellular ice and instantaneous and permanent death of cardiac tissue. The size and contiguity of such durable lesions could be assured by length, shape, and mechanical properties of the ablation element, while depth can be titrated by the duration of the freeze.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ULTC for VT ablations include:</w:t>
      </w:r>
    </w:p>
    <w:p>
      <w:pPr>
        <w:spacing w:after="0" w:line="225" w:lineRule="exact"/>
        <w:rPr>
          <w:sz w:val="20"/>
          <w:szCs w:val="20"/>
          <w:color w:val="auto"/>
        </w:rPr>
      </w:pPr>
    </w:p>
    <w:p>
      <w:pPr>
        <w:jc w:val="both"/>
        <w:ind w:left="60" w:right="59" w:hanging="10"/>
        <w:spacing w:after="0" w:line="268" w:lineRule="auto"/>
        <w:tabs>
          <w:tab w:leader="none" w:pos="38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Titratable lesion depth up to and exceeding 10 millimeters </w:t>
      </w:r>
      <w:r>
        <w:rPr>
          <w:rFonts w:ascii="Times New Roman" w:cs="Times New Roman" w:eastAsia="Times New Roman" w:hAnsi="Times New Roman"/>
          <w:sz w:val="18"/>
          <w:szCs w:val="18"/>
          <w:color w:val="auto"/>
        </w:rPr>
        <w:t>provides physicians a new ability to use simple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endocardial-only approach to ablate VT circuits in patients with both ischemic and non-ischemic cardiomyopathy, as well as PVCs.</w:t>
      </w:r>
    </w:p>
    <w:p>
      <w:pPr>
        <w:spacing w:after="0" w:line="170" w:lineRule="exact"/>
        <w:rPr>
          <w:rFonts w:ascii="Times New Roman" w:cs="Times New Roman" w:eastAsia="Times New Roman" w:hAnsi="Times New Roman"/>
          <w:sz w:val="18"/>
          <w:szCs w:val="18"/>
          <w:b w:val="1"/>
          <w:bCs w:val="1"/>
          <w:color w:val="auto"/>
        </w:rPr>
      </w:pPr>
    </w:p>
    <w:p>
      <w:pPr>
        <w:jc w:val="both"/>
        <w:ind w:left="60" w:right="59" w:hanging="10"/>
        <w:spacing w:after="0" w:line="268" w:lineRule="auto"/>
        <w:tabs>
          <w:tab w:leader="none" w:pos="38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large lateral size </w:t>
      </w:r>
      <w:r>
        <w:rPr>
          <w:rFonts w:ascii="Times New Roman" w:cs="Times New Roman" w:eastAsia="Times New Roman" w:hAnsi="Times New Roman"/>
          <w:sz w:val="18"/>
          <w:szCs w:val="18"/>
          <w:color w:val="auto"/>
        </w:rPr>
        <w:t>of the lesions enabled by the length and design of the ULTC ablation element could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physicians the ability to utilize only a small number of ablations, performing otherwise complex procedures faster, safely, and effectively.</w:t>
      </w:r>
    </w:p>
    <w:p>
      <w:pPr>
        <w:spacing w:after="0" w:line="170" w:lineRule="exact"/>
        <w:rPr>
          <w:rFonts w:ascii="Times New Roman" w:cs="Times New Roman" w:eastAsia="Times New Roman" w:hAnsi="Times New Roman"/>
          <w:sz w:val="18"/>
          <w:szCs w:val="18"/>
          <w:b w:val="1"/>
          <w:bCs w:val="1"/>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ULTC preserves intracellular matrix </w:t>
      </w:r>
      <w:r>
        <w:rPr>
          <w:rFonts w:ascii="Times New Roman" w:cs="Times New Roman" w:eastAsia="Times New Roman" w:hAnsi="Times New Roman"/>
          <w:sz w:val="18"/>
          <w:szCs w:val="18"/>
          <w:color w:val="auto"/>
        </w:rPr>
        <w:t>thus avoiding potentially life-threatening complications known as steam-pop.</w:t>
      </w:r>
    </w:p>
    <w:p>
      <w:pPr>
        <w:spacing w:after="0" w:line="225" w:lineRule="exact"/>
        <w:rPr>
          <w:rFonts w:ascii="Times New Roman" w:cs="Times New Roman" w:eastAsia="Times New Roman" w:hAnsi="Times New Roman"/>
          <w:sz w:val="18"/>
          <w:szCs w:val="18"/>
          <w:b w:val="1"/>
          <w:bCs w:val="1"/>
          <w:color w:val="auto"/>
        </w:rPr>
      </w:pPr>
    </w:p>
    <w:p>
      <w:pPr>
        <w:jc w:val="both"/>
        <w:ind w:left="60" w:right="79" w:hanging="10"/>
        <w:spacing w:after="0" w:line="268" w:lineRule="auto"/>
        <w:tabs>
          <w:tab w:leader="none" w:pos="38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Cryoadhesion, </w:t>
      </w:r>
      <w:r>
        <w:rPr>
          <w:rFonts w:ascii="Times New Roman" w:cs="Times New Roman" w:eastAsia="Times New Roman" w:hAnsi="Times New Roman"/>
          <w:sz w:val="18"/>
          <w:szCs w:val="18"/>
          <w:color w:val="auto"/>
        </w:rPr>
        <w:t>or the catheter adhesion to the endocardial surface upon freezing, eliminates the need for the physician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manually maintain contact between the catheter and the tissue during energy delivery, which is of critical importance when ablating in certain anatomic locations, and can also minimize physician’s stress and fatigue.</w:t>
      </w:r>
    </w:p>
    <w:p>
      <w:pPr>
        <w:spacing w:after="0" w:line="170" w:lineRule="exact"/>
        <w:rPr>
          <w:rFonts w:ascii="Times New Roman" w:cs="Times New Roman" w:eastAsia="Times New Roman" w:hAnsi="Times New Roman"/>
          <w:sz w:val="18"/>
          <w:szCs w:val="18"/>
          <w:b w:val="1"/>
          <w:bCs w:val="1"/>
          <w:color w:val="auto"/>
        </w:rPr>
      </w:pPr>
    </w:p>
    <w:p>
      <w:pPr>
        <w:jc w:val="both"/>
        <w:ind w:left="60" w:right="59" w:hanging="10"/>
        <w:spacing w:after="0" w:line="262" w:lineRule="auto"/>
        <w:tabs>
          <w:tab w:leader="none" w:pos="38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Irrigation. </w:t>
      </w:r>
      <w:r>
        <w:rPr>
          <w:rFonts w:ascii="Times New Roman" w:cs="Times New Roman" w:eastAsia="Times New Roman" w:hAnsi="Times New Roman"/>
          <w:sz w:val="18"/>
          <w:szCs w:val="18"/>
          <w:color w:val="auto"/>
        </w:rPr>
        <w:t>ULTC technology does not require catheter irrigation, eliminating the possibility of fluid overload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VT patients, and thereby eliminating the associated increased risk of acute cardiac decompensation and renal failure in structural heart disease patients already susceptible to cardio-renal syndrome, and potentially shortening post-procedural recovery time.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performance of our vCLAS catheter for ablation of monomorphic, VTs in patients with structural heart disease was evaluated in the 64-patient CRYOCURE-VT study at nine sites in Europe and Canada. Monomorphic VTs arise from a single aberrant electrical circuit in the ventricle and are the most prevalent type of VT. The trial completed its primary chronic effectiveness endpoint, which supported CE-mark approval of Adagio’s VT Cryoablation System and vCLAS catheter in the first quarter of 2024. The study demonstrated 94% acute procedural success, 60% freedom from sustained VT and 81% freedom from implantable cardioverter defibrillator shock at six months. In addition, the study demonstrated significant reduction in burden of the ventricular arrhythmias and over 50% reduction in use of antiarrhythmic medication. Further analysis demonstrated that these benefits were sustained through twelve months of follow-up and that the freedom from VT-related and Heart Failure-related hospitalizations remained high through the duration of the follow-up.</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4, 2022, we received FDA approval to conduct Early Feasibility IDE (EFS) FULCRUM-VT study of VT Cryoablation System in 20 patients with both ischemic and non-ischemic cardiomyopathy at up to 5 sites. Based on the results of this study, in April 2024 we received FDA approval to convert the EFS study to a single-cohort Pivotal IDE study of our VT Cryoablation System, expanding the number of sites to 20 and the number of patients to 206 for pooled analysis of patients with ischemic and non-ischemic heart disease, including patients with arrhythmogenic right ventricular cardiomyopathy. Subsequently, on September 30, 2024, we received a letter from U.S. Center for Medicare and Medicare Services (“CMS”) granting FULCRUM-VT Class B designation with full reimbursement of both the ablation procedure and vCLAS catheter.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Pulsed Field Cryoablation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PFCA technology is intended to combine the proprietary benefits of ULTC and PFA while minimizing their respective limitations. PFCA consists of the short duration ULTC freeze followed by PFA delivered through the same catheter. Our work has shown that ULTC results in significant increase in the impedance and electric field generated by PFA within the frozen tissue while decreasing electric field and parasitic electric current elsewhere. This latter capability helps eliminate muscle and phrenic nerve capture while minimizing the microbubbles and possibility of vasospasm, thus potentially addressing a key limitation of stand-alone PFA. In effect, ULTC pre-treatment could have the effect to “focus” PFA, further increasing the selectivity of ablation and, since the area of the increased impedance extends deeper in the tissue than the -30°C isotherm, PFCA lesions of a desired depth could potentially be achieved in a fraction of time required for equivalent ULTC alone.</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principle of PFCA was demonstrated in PARALLEL study of atrial ablations in patients with persistent atrial fibrillation. In a cohort of the patients with cryogenic energy delivery above the threshold, PFCA was 100% effective in isolation of pulmonary veins and the posterior wall of the left atrium, with fewer than 1% of energy applications accompanied by observations of microbubbles or faint muscle contractions. The pre-clinical investigation of ventricular PFCA in the animal model demonstrated lesion depth is equivalent to the ULTC at half the total freeze duration with minimal attenuation by the scar tissue.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 Portfolio</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First Generation Ablation System</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VT Cryoablation System is comprised of the vCLAS™ catheter and ULTC cryoablation console. The vCLAS ventricular catheter has been purposefully designed for the treatment of the ventricular arrhythmia. The 9 French bi-directionally deflectable catheter features a 15 millimeter long non-flexible ablation element with eight electrodes for intracardiac sensing/pacing.</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Generation Ablation System</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the second half of 2024 we initiated a product design optimization initiative intended to further improve the performance of our vCLAS catheter based on initial clinical feedback and to further improve catheter cost-structure to support future commercialization activities.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major players in cardiac EP and advanced ablation catheter markets are Biosense Webster, Inc. (a division of Johnson &amp; Johnson), Abbott, Medtronic, and Boston Scientific. Today, VT ablations are predominantly performed using point-by-point RF ablation catheter technology. In the U.S. the RF catheters by Biosense Webster (Navistar™ Thermocool® Deflectable Diagnostic/Ablation Catheter) and Abbott Electrophysiology (FlexAbility™ Ablation Catheter, Sensor Enabled™), both originally designed for treatment of AF, have expanded indications for the ablation of sustained, drug-refractory monomorphic ventricular tachycardia.</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Saline-enhanced RF needle catheter has been suggested to overcome lesion-depth limitations of the standard RF ablations. The needle can be inserted deeper into myocardial tissue and the injected saline creates a virtual electrode for RF application, resulting in large and deep (9.9 ± 2.7 millimeter) myocardial lesions in the preclinical models. Several small clinical studies on catheters of two principal designs have been conducted in patients with both structural heart disease VTs and PVCs, all demonstrating moderate effectiveness with 13-20% rates of serious complications. Thermedical, Inc. is conducting an upcoming 130-patient multicenter U.S. FDA Trial, which is expected to conclude in 2027, but as of this print, the trial was not yet recruiting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rapid adoption of PFA technology for ablation of atrial arrhythmias combined with the mode of action not affected by lesion depth attenuation in the scar tissue spurred the interest to apply PFA to ventricular ablations. We believe the use of PFA in VT may require significant adjustment to achieve lesion depth required for ventricular ablations, including, potentially, substantial increase in pulse voltage. To date, the clinical evidence for ventricular PFA is limited to a small number of cases and a small case series of the off-label use of the atrial catheters. Three early human feasibility studies to study PFA for VT are currently ongoing: a 20-patient study using a combined RF-PFA spherical multi-electrode catheter by Medtronic in patients with ischemic cardiomyopathy, a 30-patient study using Biosense Webster RF-PFA dual energy endocardial ablation system with SmartTouch SF catheter in patients referred for VT ablations, and another 60-patient feasibility study sponsored by Field Medical, which uses their dedicated ventricular PFA system in patients with PVC and VT.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consists of 75 issued patents and 40 patent applications in the United States, Japan, China, Australia, Republic of Korea, Brazil, Israel, United Kingdom, and countries of European Union, covering 20-21 patent families ranging from the disclosures of foundational ULTC technology to the details and components of catheter and accessory designs. Our early patents were issued in 2004 and the latest disclosures related to Tissue Contact Verification, VT- and multi-modality PFCA catheters were filed in 2023. We believe that in combination with the trade secrets and other proprietary information related to the manufacturing processes of catheters and consoles, this patent portfolio creates significant entry barrier for competitive ULTC and PFCA entries near term, allowing the company to remain a single-source provider of these differentiating technologies in Cardiac EP. However, trade secrets and proprietary information can be difficult to protect. We seek to protect our trade secrets and proprietary information, in part, by confidentiality agreements and proprietary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 measures we take to protect and preserve our trade secrets and proprietary information, there may be instances in which they may not provide meaningful protection. Such measures can be breached, and we may not have adequate remedies for any such breach. In addition, our trade secrets may otherwise become known or be independently discovered by competitors or misused by any collaborator to whom we disclose such information. Despite any measures taken to protect our intellectual property, unauthorized parties may attempt to copy aspects of our products or to obtain or use information that we regard as proprietary. As a result, we may be unable to meaningfully protect our trade secrets and proprietary information.</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trademark portfolio covers all of the main product families: iCLAS™ for ULTC AF ablation catheter and system, vCLAS™ for ULTC VT catheter, and Cryopulse™ for PFCA catheters. The trademarks have been registered or pending in Canada, United Kingdom, United States and European Union. We maintain our priority filings for trademarks in the United States through periodic extensions to ensure their availability at the time of products’ commercial availability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Food &amp; Drug Administration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products and operations are subject to extensive and ongoing regulation by the FDA under the Federal Food, Drug, and Cosmetic Act (“FDCA”), and its implementing regulations, as well as other federal and state regulatory bodies in the United States. The laws and regulations govern, among other things, product design and development, laboratory testing, preclinical and clinical testing, manufacturing and release, packaging, labeling, storage, record keeping and reporting, premarket clearance or approval, establishment registration and device listing, marketing, distribution, promotion, import and export, product complaints, recalls and field safety corrective actions, and post-marketing surveillance.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a de novo classification request, or approval from the FDA of a premarket approval (“PMA”) application. Generally, if a new device is considered low- or moderate-risk and has a predicate that is already on the market under a 510(k) clearance, the FDA will allow that new device to be marketed under a 510(k) clearance; otherwise, a de novo or PMA is required. The 510(k) clearance, de novo classification request and PMA processes can be resource intensive, expensive, and lengthy, and require payment of significant user fees, unless an exemption is available.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Device Classification</w:t>
      </w:r>
    </w:p>
    <w:p>
      <w:pPr>
        <w:spacing w:after="0" w:line="229"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spacing w:after="0" w:line="176"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Class I includes devices deemed to be the lowest risk to the patient and are those for which safety and effectiveness can be reasonably assured by adherence to general controls that include compliance with the applicable portions of the FDA’s Quality System Regulation (“QSR”), facility registration and product listing, reporting of adverse events and malfunctions, and appropriate, truthful and non-misleading labeling, advertising and promotional materials. Some Class I devices, called Class I reserved devices, require premarket clearance by the FDA through the 510(k) premarket notification process described below. Most Class I products, however, are exempt from the premarket notification requirements and therefore may be commercially distributed without obtaining 510(k) clearance from the FDA.</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Class II devices are those that are subject to the general controls, and special controls as deemed necessary by the FDA to provide reasonable assurance of the safety and effectiveness of the device. These special controls can include performance standards, patient registries, FDA guidance documents and post-market surveillance. Most Class II devices are subject to premarket review and clearance by the FDA. As a result, most Class II devices require the manufacturer to submit to the FDA a Premarket Notification 510(k) requesting permission to commercially distribute the devices meeting the threshold for substantial equivalence.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Investigational Device Process</w:t>
      </w:r>
    </w:p>
    <w:p>
      <w:pPr>
        <w:spacing w:after="0" w:line="229"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the United States, absent certain limited exceptions, human clinical trials intended to support medical device clearance, de novo classification, or approval require compliance with FDA investigational device exemption (“</w:t>
      </w:r>
      <w:r>
        <w:rPr>
          <w:rFonts w:ascii="Times New Roman" w:cs="Times New Roman" w:eastAsia="Times New Roman" w:hAnsi="Times New Roman"/>
          <w:sz w:val="18"/>
          <w:szCs w:val="18"/>
          <w:b w:val="1"/>
          <w:bCs w:val="1"/>
          <w:color w:val="auto"/>
        </w:rPr>
        <w:t>IDE</w:t>
      </w:r>
      <w:r>
        <w:rPr>
          <w:rFonts w:ascii="Times New Roman" w:cs="Times New Roman" w:eastAsia="Times New Roman" w:hAnsi="Times New Roman"/>
          <w:sz w:val="18"/>
          <w:szCs w:val="18"/>
          <w:color w:val="auto"/>
        </w:rPr>
        <w:t>”) regulations in 21 CFR Part 812. Trials that present “non-significant risk” do not require FDA review or approval of an IDE application. These non-significant risk trials are deemed to have an approved IDE once certain requirements are addressed, and institutional review board (IRB) approval is obtained. If a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the risks to subjects are outweighed by the anticipated benefits and that the testing protocol is scientifically sound. The IDE application must be approved in advance by the FDA for a specified number of subjects at specified study sites. Generally, clinical trials for a significant risk device may begin once the IDE application is approved by the FDA and the trial protocol and informed consent are approved by appropriate IRBs.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There can be no assurance that submission of an IDE application will result in the ability to commence clinical trials, and although the FDA’s approval of an IDE application allows clinical testing to go forward for a specified number of subjects,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trial sponsors and trial investigators. Clinical trials must further comply with the FDA’s good clinical practice regulations for IRB approval and for informed consent and other human subject protections. Required records and reports are subject to inspection by the FDA. The FDA or the IRB may withdraw approval of a clinical trial, or place a trial on clinical hold at any time for various reasons, including a belief that the risks to study subjects outweigh the benefits or a failure to comply with FDA or IBM requirements. Even if a trial is complete, the results of clinical testing may be unfavorable, or, even if the intended safety and effectiveness success criteria are achieved, may not be considered sufficient for the FDA to grant marketing approval or clearance of a product.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510(k) Clearance Process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Under the 510(k) clearance process, the manufacturer must submit to the FDA a premarket notification with adequate information demonstrating that the device is “substantially equivalent,” as defined in the FDCA, to a legally marketed predicate device.</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 predicate device is a legally marketed device that is not subject to premarket approval,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for the new device, permitting the applicant to commercially market the device. The FDA may also require post-market surveillance for certain devices cleared under a 510(k) notification, such as implants or life-supporting or life-sustaining devices used outside a device user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If the FDA determines that the device is not “substantially equivalent” to a predicate device, or if there is no adequate predicate to which a manufacturer can compare the device such that the device is automatically classified into Class III, the device sponsor must then fulfill the much more rigorous premarketing requirements of the PMA approval process, or seek reclassification of the device through the de novo process. A manufacturer can also submit a petition for direct de novo review if the manufacturer is unable to identify an appropriate predicate device and the new device or new use of the device presents a moderate or low risk.</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FDA requires each manufacturer to determine whether the proposed change requires submission of a 510(k) or a PMA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notification to obtain clearance for such change. The FDA can always review these letters to file in an inspection.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PMA Approval Process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data from preclinical studies and one or more clinical trials, a full description of the methods, facilities and controls used for manufacturing, proposed labeling and financial disclosure information for the clinical investigators in device trials. The PMA application must provide valid scientific evidence that demonstrates to the FDA’s satisfaction a reasonable assurance of the safety and effectiveness of the device for its intended use.</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by regulation, has 180 days to review a filed PMA application, although the review of an application more often occurs over a significantly longer period.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180"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device may not be shown safe or effective to the FDA’s satisfaction;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and/or clinical trials may be found unreliable or insufficient to support approval;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contains a false statement of material fact;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or clinical studies were not conducted in accordance with applicable regulations;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device labeling is false or misleading;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approval policies or adoption of new regulations may require additional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may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committee panel, depending on the nature of the proposed change.</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approving a PMA application, as a condition of approval, the FDA may also require some form of post-approval study or post-market surveillance, whereby the applicant conducts a follow-up clinical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Regulation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After a device is placed on the market in the U.S., numerous regulatory requirements continue to apply. These include:</w:t>
      </w:r>
    </w:p>
    <w:p>
      <w:pPr>
        <w:spacing w:after="0" w:line="22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and updating establishment registration and device listings with the FDA;</w:t>
      </w:r>
    </w:p>
    <w:p>
      <w:pPr>
        <w:spacing w:after="0" w:line="2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QSR, which requires manufacturers, including their suppliers, to follow stringent design, testing, control, documentation, record maintenance, including maintenance of complaint and related investigation files, and other quality assurance procedures during all aspects of the manufacturing process;</w:t>
      </w:r>
    </w:p>
    <w:p>
      <w:pPr>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or unannounced for-cause device facility inspections by the FDA, which may include the manufacturing facilities of subcontractors;</w:t>
      </w:r>
    </w:p>
    <w:p>
      <w:pPr>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which prohibit the promotion of products for uncleared, unapproved or off-label uses and impose other restrictions relating to promotional activities;</w:t>
      </w: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jc w:val="both"/>
        <w:ind w:left="720" w:right="79" w:hanging="319"/>
        <w:spacing w:after="0" w:line="26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recalls, which require that manufacturers report to the FDA field corrections or removals of a medical device, provided the recall was initiated to either reduce a risk to health posed by the device, or to remedy a violation of the FDCA caused by the device that may present a risk to health; and</w:t>
      </w:r>
    </w:p>
    <w:p>
      <w:pPr>
        <w:spacing w:after="0" w:line="2" w:lineRule="exact"/>
        <w:rPr>
          <w:rFonts w:ascii="Times New Roman" w:cs="Times New Roman" w:eastAsia="Times New Roman" w:hAnsi="Times New Roman"/>
          <w:sz w:val="18"/>
          <w:szCs w:val="18"/>
          <w:color w:val="auto"/>
        </w:rPr>
      </w:pPr>
    </w:p>
    <w:p>
      <w:pPr>
        <w:ind w:left="720" w:right="79" w:hanging="319"/>
        <w:spacing w:after="0" w:line="27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to certain Class II or III devices when necessary to protect the public health or to provide additional safety and effectiveness data for the device.</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obtained a manufacturing license from the California Department of Public Health (“CDPH”). The FDA and CDPH have broad post-market and regulatory enforcement powers. We are (or upon FDA clearance or approval, will be) subject to announced and unannounced inspections by the FDA and the Food and Drug Branch of CDPH to determine our compliance with the QSR and other regulations, and these inspections may include the manufacturing facilities of our suppliers. Additionally, our Notified Body, TÜV SÜD, regularly inspects our manufacturing, design and operational facilities to ensure ongoing ISO 13485:2016 compliance in order to maintain our CE Mark.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Failure to comply with applicable regulatory requirements can result in enforcement actions, which may include any of the following sanctions:</w:t>
      </w:r>
    </w:p>
    <w:p>
      <w:pPr>
        <w:spacing w:after="0" w:line="162"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injunctions, consent decrees and civil penalties;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products, new intended uses or modifications to existing products;</w:t>
      </w: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may have already been granted;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Export of Our Products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Export of products subject to the 510(k) notification requirements, but not yet cleared to market in the United States, is permitted with FDA authorization provided certain requirements are met. Similarly, unapproved or uncleared products subject to the PMA requirements may be exported certain statutory criteria are met and the Company submits a “Simple Notification” to FDA when it begins to export. Importantly, however, export of such products may be limited to certain countries designated by statutory provisions, and petitions may need to be submitted to FDA to enable export to countries other than those designated in the statutory provisions. The petitioning process can be difficult, and FDA may not authorize unapproved or uncleared products to be exported to countries to which a manufacturer wishes to export. Devices that are adulterated, devices whose label and labeling does not comply with requirements of the country receiving the product, and devices that are not promoted in accordance with the law of the receiving country, among others, cannot be exported.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Federal, State and Foreign Fraud and Abuse Laws</w:t>
      </w:r>
    </w:p>
    <w:p>
      <w:pPr>
        <w:spacing w:after="0" w:line="229"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The federal and state governments have enacted, and actively enforce, a number of laws to address fraud and abuse in federal healthcare programs. Our business is subject to compliance with these laws. Violations of such laws could result in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Anti-Kickback Statutes</w:t>
      </w:r>
    </w:p>
    <w:p>
      <w:pPr>
        <w:spacing w:after="0" w:line="12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in exchange for or to induce either the referral of an individual for, or the furnishing, recommending, purchasing, leasing, ordering or arranging for a good or service, for which payment may be made under a federal healthcare program, such as Medicare or Medicaid. A person or entity does not need to have actual knowledge of the statute or specific intent to violate it to have committed a violation.</w:t>
      </w:r>
    </w:p>
    <w:p>
      <w:pPr>
        <w:spacing w:after="0" w:line="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definition of “remuneration” has been broadly interpreted to include anything of value, including, for example, gifts, certain discounts, the furnishing of free supplies, equipment or services, credit arrangements, payment of cash, waivers of payments and providing anything of value at less than fair market value. Several courts have interpreted the statute’s intent requirement to mean that if any one purpose of an arrangement involving remuneration is to induce referrals of federal healthcare covered businesses, the statute has been violated. In addition, the Patient Protection and Affordable Care Act, as amended by the Health Care and Education Reconciliation Act of 2010, or collectively, the Affordable Care Act, codified case law that a claim including items or services resulting from a violation of the federal Anti-Kickback Statute constitutes a false or fraudulent claim for purposes of the Federal False Claims Act. There are a number of statutory exceptions and regulatory safe harbors protecting some common activities from prosecution, but the exceptions and safe harbors are drawn narrowly and require strict compliance in order to offer protection.</w:t>
      </w:r>
    </w:p>
    <w:p>
      <w:pPr>
        <w:spacing w:after="0" w:line="8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failure of a transaction or arrangement to fit precisely within one or more safe harbors does not necessarily mean that it is illegal or that prosecution will be pursued. The legality of the arrangement will be evaluated on a case-by-case basis based on a cumulative review of all of its facts and circumstances. However, conduct and business arrangements that do not fully satisfy an applicable statutory exception or regulatory safe harbor may result in increased scrutiny by government enforcement authorities such as the Office of Inspector General, or OIG, of U.S. Department of Health and Human Services.</w:t>
      </w:r>
    </w:p>
    <w:p>
      <w:pPr>
        <w:spacing w:after="0" w:line="7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Many states have adopted laws similar to the Anti-Kickback Statute. Some of these state prohibitions apply to referral of recipients for healthcare products or services reimbursed by any source, not only government healthcare programs, and may apply to payments made directly by the patient.</w:t>
      </w:r>
    </w:p>
    <w:p>
      <w:pPr>
        <w:spacing w:after="0" w:line="6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Government officials have continued their enforcement efforts related to the marketing of healthcare services and products, among other activities, and continue to bring cases against companies, and certain individual sales, marketing and executive personnel, for allegedly offering unlawful inducements to potential or existing customers in an attempt to procure their business.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False Claims Act</w:t>
      </w:r>
    </w:p>
    <w:p>
      <w:pPr>
        <w:spacing w:after="0" w:line="12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federal False Claims Act (“FCA”), imposes liability on any person or entity that, among other things, knowingly presents, or causes to be presented, a false or fraudulent claim for payment by a federal healthcare program.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FCA allow a private individual to bring actions on behalf of the federal government alleging that the defendant has violated the FCA and to share in any monetary recovery. In addition, various states have enacted false claims laws analogous to the FCA, and many of these state laws apply where a claim is submitted to any third-party payor and not only a federal healthcare program or other state program.</w:t>
      </w:r>
    </w:p>
    <w:p>
      <w:pPr>
        <w:spacing w:after="0" w:line="7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When an entity is determined to have violated the FCA, it may be required to pay up to three times the actual damages sustained by the government, plus significant civil fines and penalties. As part of any settlement, the government may require the entity to enter into a corporate integrity agreement, which imposes certain compliance, certification and reporting obligations. There are many potential bases for liability under the FCA. Liability arises, primarily, when an entity knowingly submits, or causes another to submit, a false claim for reimbursement to the federal government. For example, the federal government has used the FCA to assert liability on the basis of kickbacks, or in instances in which manufacturers have provided billing or coding advice to providers that the government considered to be inaccurate. In these cases, the manufacturer faces liability for “causing” a false claim. In addition, the federal government has prosecuted companies under the FCA in connection with off-label promotion of products. Our future activities relating to information affecting federal, state and third-party reimbursement of our products and the sale and marketing of our products may be subject to scrutiny under these laws.</w:t>
      </w:r>
    </w:p>
    <w:p>
      <w:pPr>
        <w:spacing w:after="0" w:line="8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While we are unaware of any current matters, we are unable to predict whether it will be subject to actions under the FCA or a similar state law, or the impact of such actions. However, the costs of defending such claims, as well as any sanctions imposed, could significantly affect our financial performance.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federal Civil Monetary Penalty laws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Open Payments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Physician Payments Sunshine Act, known as “Open Payments” and enacted as part of the Affordable Care Act, requires certain pharmaceutical and medical device manufacturers of products covered by Medicare, Medicaid or the Children’s Health Insurance Program to report annually to the CMS: direct and indirect payments and other transfers of value to physicians (defined to include doctors, dentists, optometrists, podiatrists, and chiropractors), other healthcare professionals (such as physician assistants and nurse practitioners), and teaching hospitals, and applicable manufacturers and group purchasing organizations. Applicable manufacturers must also report annually ownership and investment interests held by physicians and their immediate family members. Applicable manufacturers are required to submit annual reports to the CMS. Failure to submit required information in a timely, complete and accurate manner may result in significant civil monetary penalties. We are subject to Open Payments and the information it discloses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U.S. companies and officers, directors, and employees; foreign subsidiaries of U.S. entities; and agents or intermediaries operating on behalf of a U.S. company from paying, offering, promising to pay, or authorizing payment or offering of anything of value, directly or indirectly, to any foreign government official, government staff member, political party or candidate for the purpose of improperly influencing any act or decision of a foreign government entity to obtain, retain, or direct business. The FCPA also obligates companies whose securities are listed on a national securities exchange in the United States to comply with accounting provisions which require the maintenance of books, records, and accounts that accurately and fairly reflect all transactions and dispositions of assets of the corporation, including international subsidiaries, if any, and to devise and maintain an adequate system of internal accounting controls.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Laws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Europe, various countries have adopted anti-bribery laws providing for severe consequences in the form of criminal penalties and significant fines for individuals or companies committing a bribery offense.</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Violations of these anti-bribery laws, or allegations of such violations, could have a negative impact on our business, results of operations and reputation.</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instance, in the United Kingdom, the U.K. Bribery Act 2010 covers both public and private sector bribery, and prohibits the offer, provision, or promise to give a financial or other advantage to induce or reward another individual to improperly perform their relevant functions or activities, including any function of a public nature. Bribery of foreign public officials also falls within the scope of the U.K. Bribery Act 2010. An individual found in violation of the U.K. Bribery Act 2010 faces imprisonment of up to ten years. In addition, individuals can be subject to an unlimited fine, as can commercial organizations for failure to prevent bribery.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Laws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company is subject to other laws and regulations governing its international operations, including regulations administered by the U.S. Department of Commerce’s Bureau of Industry and Security, the U.S. Department of Treasury’s Office of Foreign Assets Control (“OFAC”), and various non-U.S. government entities, including applicable export control regulations, economic sanctions on countries and persons, customs requirements, currency exchange regulations, and transfer pricing regulations.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Commerce regulates certain “dual use” items, as well as associated foreign assistance. OFAC administers and enforces economic sanctions programs primarily against countries and groups of individuals. Sanctions can be either comprehensive or selective, using the blocking of assets and trade restrictions to accomplish foreign policy and national security goals. U.S. persons must comply with OFAC regulations, including all U.S. citizens and permanent resident aliens regardless of where they are located, all persons and entities within the United States, all U.S. incorporated entities, and their foreign branches. In the cases of certain programs, foreign subsidiaries owned or controlled by U.S. companies also must comply.</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Governmental authorizations may be required before we can export technology, equipment or materials, our services, or to collaborate with foreign entities.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Health Reform</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Changes in healthcare policy could increase our costs and subject it to additional regulatory requirements that may interrupt commercialization of our current and future solutions. Changes in healthcare policy could increase our costs, decrease our revenue and impact sales of and reimbursement for our current and future products. For example, the Affordable Care Act substantially changed the way healthcare is financed by both governmental and private insurers, and significantly impacts the life sciences industry. 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9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implementation of the Affordable Care Act in the United States, for example, has changed healthcare financing and delivery by both governmental and private insurers substantially, and affected medical device manufacturers significantly. Any changes to, or repeal of, the Affordable Care Act may have a material adverse effect on our results of operations.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Should our products under development be cleared or approved for commercialization by the FDA, reimbursement may not be available in the United States or other countries, or the amount of reimbursement may not be sufficient to allow sales of our products on a profitable basis.</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Third-party payors are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Coverage policies and third-party reimbursement rates may change at any time. Even if favorable coverage and reimbursement status is attained for procedures that utilize one or more products for which we might receive regulatory clearance and approval, less favorable coverage policies and reimbursement rates may be implemented in the future. It is uncertain whether our current products or any planned or future products will be viewed as sufficiently cost effective to warrant coverage and adequate reimbursement levels for procedures using such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consists of 75 issued patents and 40 patent applications in the United States, Japan, China, Australia, Republic of Korea, Brazil, Israel, United Kingdom, and countries of European Union, covering 20 to 21 patent families ranging from the disclosures of foundational ULTC technology to the details and components of catheter and accessory designs. Our early patents were issued in 2004 and the latest disclosures related to Tissue Contact Verification, VT- and multi-modality PFCA catheters were filed in 2023. We believe that in combination with the trade secrets and other proprietary information related to the manufacturing processes of catheters and consoles, this patent portfolio creates significant entry barrier for competitive ULTC and PFCA entries near term, allowing the Company to remain a single-source provider of these differentiating technologies in Cardiac EP. However, trade secrets and proprietary information can be difficult to protect. We seek to protect our trade secrets and proprietary information, in part, by confidentiality agreements and proprietary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 measures we take to protect and preserve our trade secrets and proprietary information, there may be instances in which they may not provide meaningful protection. Such measures can be breached, and we may not have adequate remedies for any such breach. In addition, our trade secrets may otherwise become known or be independently discovered by competitors or misused by any collaborator to whom we disclose such information. Despite any measures taken to protect our intellectual property, unauthorized parties may attempt to copy aspects of our products or to obtain or use information that we regard as proprietary. As a result, we may be unable to meaningfully protect our trade secrets and proprietary information.</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trademark portfolio covers all of the main product families: iCLAS™ for ULTC AF ablation catheter and system, vCLAS™ for ULTC VT catheter, and Cryopulse™ for PFCA catheters. The trademarks have been registered or pending in Canada, United Kingdom, United States and European Union. We maintain our priority filings for trademarks in the United States through periodic extensions to ensure their availability at the time of products’ commercial availability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 Manufacturing and Supply</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corporate headquarters and manufacturing, storage and distribution centers for our catheters and consoles are located at Laguna Hills, California. The facility is approximately 14,600 square feet, which includes clean room space. Our wholly-owned subsidiary, Adagio Germany, operates out of a leased facility of approximately 227 square meters in Holzkirchen, Germany, which is used for general administrative purposes and as a distribution center for our European operation. We do not own any real property and believe that our current facilities are sufficient to support our operations and growth plans and that, additional space, if needed, will be available on commercially reasonably terms.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and distribution operations are subject to regulatory requirements of the European Medical Devices Directive 93/42/EEC and amendments (“MDD”), and certain aspects of the European Medical Devices Regulation 2017/745 and amendments, or MDR, for medical devices marketed in the European Union. When we begin marketing and distributing our products in the United States, we will be subject to the FDA’s Quality System Regulation, or QSR, set forth in 21 CFR part 820. Our Laguna Hills facility is certified to have established and is maintaining a quality management system pursuant to the requirements of the ISO 13485:2016 standard. In February 2026, the FDA’s QSR will be harmonized with ISO 13485 and will be titled the Quality Management System Regulation, with which we believe we are prepared to comply given our existing ISO 13485 certification. In addition, the Laguna Hills facility is licensed by the California Department of Public Health, or CDPH. We are also subject to applicable local regulations relating to the environment, waste management and health and safety matters, including measures relating to the release, use, storage, treatment, transportation, discharge, disposal, sale, labeling, collection, recycling, treatment and remediation of hazardous substances.</w:t>
      </w:r>
    </w:p>
    <w:p>
      <w:pPr>
        <w:spacing w:after="0" w:line="19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TÜV SÜD Product Service GmbH (München, Germany) (TÜV SÜD) monitors our compliance with the MDD requirements through annual scheduled audits and unannounced audits of the Laguna Hills facilities.</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failure, or the failure of our suppliers or third-party manufacturers, to maintain acceptable quality requirements could result in the shutdown of our manufacturing operations or the recall of our products, which would harm our business. In the event that one of our suppliers or third-party manufacturers fails to maintain acceptable quality requirements, we may have to qualify a new supplier and could experience a material adverse effect to manufacturing and manufacturing delays as a result.</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procure a broad range of the components and raw materials required for manufacturing of our catheters and consoles, including plastic and precious metals components and raw materials, complex electromechanical assemblies, electronic components and electronic assemblies. In addition, the Esophageal Warming Balloon marketed as a part of iCLAS™ Cryoablation System is supplied to us by third party manufacturer. The identification and qualification of the suppliers is governed by the relevant provisions of our QMS. As such, we can be materially adversely affected by disruptions in global supply chain, as well as inability of our suppliers to maintain required quality of the components and raw materials supplied to us, resulting in temporary hold or shutdown of our manufacturing and distribution operations.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will pursue the opportunities for facility expansion as well as the transfer of the part or whole of the manufacturing operation to qualified third-party suppliers as warranted by business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Adagio Team</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we had 71 full-time employees, located in the U.S., and 9 full-time employees of Adagio Germany with five located in Germany, two in the Netherlands three in England, and one in Belgium. None of our employees are represented by a labor union or are a party to a collective bargaining agreement. We believe that the success of our business will depend, in part, on our ability to attract and retain qualified personnel. We have not experienced and do not expect any significant strikes or work stoppages and believe our relations with employees are in good standing.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Availability of SEC Filings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amendments to reports filed or furnished pursuant to Sections 13(a), 14, and 15(d) of the Securities and Exchange Act of 1934, as amended, or the Exchange Act. The SEC maintains a website at http://www.sec.gov that contains reports, and other information regarding us and other companies that file materials with the SEC electronically. Copies of our reports on Forms 10-K, Forms 10-Q, and Forms 8-K, may be obtained, free of charge, electronically through our corporate website at https://us.adagiomedical.com as soon as reasonably practicable after we file such material electronically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harmed by any of these risks, as well as other risks not currently known to us or that we currently consider immaterial. If any of such risks and uncertainties actually occurs, our business, prospects, financial condition, cash flows, or operating results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For more information, see the section titled “Special Note Regarding Forward-Looking Statements” included elsewhere in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We are a medical device company that has incurred net losses in every period to date and expect to continue to incur significant losses as we develop our business, and our financial conditions raise substantial doubt about our ability to continue as a going concern.</w:t>
      </w:r>
    </w:p>
    <w:p>
      <w:pPr>
        <w:spacing w:after="0" w:line="1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a medical device company that has incurred net losses in each quarterly and annual period since inception and that has not yet generated any meaningful revenue. We expect to incur increasing costs as we continue to devote substantially all of our resources towards the development and anticipated further commercialization of our main product, vCLAS. We cannot be certain if we will ever generate meaningful revenue or if or when we will produce sufficient revenue from operations to support our costs. Even if profitability is achieved, we may not be able to sustain profitability. Adagio Medical incurred net losses of $75.0 million and $36.6 million in 2024 and 2023, respectively. As of December 31, 2024 and December 31, 2023, Adagio Medical had an accumulated deficit of $70.6 and $133.6 million. We expect to incur substantial losses and negative cash flows for the foreseeable future. In addition, as a public company, we incur significant legal, accounting, and other expenses that we did not incur as a private company. These increased expenses make it harder for us to achieve and sustain future profitability. We may incur significant losses in the future for a number of reasons, many of which are beyond our control, including the other risks described in this report and in our other filings with the SEC. These conditions raise substantial doubt about our ability to continue as a going concern.</w:t>
      </w:r>
    </w:p>
    <w:p>
      <w:pPr>
        <w:spacing w:after="0" w:line="19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independent auditors have included an explanatory paragraph in their audit report regarding the Company’s ability to continue as a going concern. This going concern risk may materially limit our ability to raise additional funds through the issuance of new debt or equity or may adversely affect the terms upon which such capital may be available. The inability to obtain sufficient financing on acceptable terms could have a material adverse effect on the Company’s financial condition, results of operations, and business prospects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actively pursuing strategies to mitigate these risks, including a recent restructuring of its business. However, there can be no assurance that these efforts will prove successful or that we will achieve its intended financial stability. The failure to successfully address these going concern risks may materially and adversely affect our business, financial condition, and results of operations. Investors should consider the substantial risks and uncertainties inherent in our business before investing in our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execute our new business strategy and strategic restructuring.</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February 2025, we announced a corporate restructuring and realignment of resources to prioritize its FULCRUM-VT US Pivotal IDE clinical trial activities and its new product design optimization program. The streamlining of the Company operations includes a pause in the limited European launch of the vCLAS catheter, while the product design optimization program is instituted. The limited launch provided valuable insights from European electrophysiology professionals, including gaining a more in-depth understanding of the broad applicability and unique clinical benefits of Adagio’s proprietary ultra-low temperature cryoablation technology. There can be no assurances that our new strategic direction will result in the commercialization and sale of our products, and we cannot provide any assurances that our focus on the FULCRUM-VT US Pivotal IDE will be successful.</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forecasted cost savings from our plan to restructure our business strategy based on a number of assumptions and expectations which, if achieved, would improve our cash flows from operating activities. However, there can be no assurance that the expected results will be achieved. The estimated costs and benefits associated with the plan are preliminary and may vary based on various factors including: the timing of execution of the plan, outcome of negotiations with third parties, and changes in management’s assumptions and projections. As a result, delays and unexpected costs may occur, which could result in our not realizing all, or any, of the anticipated benefits associated with the plan.</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this new business strategy, the Company has been evaluating the prospects of its FULCRUM-VT US Pivotal IDE clinical trial. The Company is attempting to negotiate terminations of certain non-wearable injector customer and supplier contracts. There can be no assurance that the Company will be able to successfully negotiate the termination of these contracts and the Company may incur material expenses in exiting customer and/or supplier contracts. Certain of these customer contracts contain material cancellation penalties which the Company is in the process of negotiating. While the Company believes it may be able to eliminate or significantly reduce these penalties, there can be no assurance that the Company will be successful in doing so.</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Further, our new business strategy can potentially present risks that may otherwise harm our business, including failure to meet customer or regulatory requirements due to the loss of employees or inadequate transfer of knowledge and negative impact on employee morale and increasing attrition among our workforce.</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business strategy or restructuring of our businesses may increase our costs or otherwise affect the profitability of our businesses or the value of our assets.</w:t>
      </w:r>
    </w:p>
    <w:p>
      <w:pPr>
        <w:spacing w:after="0" w:line="159" w:lineRule="exact"/>
        <w:rPr>
          <w:sz w:val="20"/>
          <w:szCs w:val="20"/>
          <w:color w:val="auto"/>
        </w:rPr>
      </w:pPr>
    </w:p>
    <w:p>
      <w:pPr>
        <w:jc w:val="both"/>
        <w:ind w:left="60" w:right="59" w:firstLine="324"/>
        <w:spacing w:after="0" w:line="269" w:lineRule="auto"/>
        <w:rPr>
          <w:sz w:val="20"/>
          <w:szCs w:val="20"/>
          <w:color w:val="auto"/>
        </w:rPr>
      </w:pPr>
      <w:r>
        <w:rPr>
          <w:rFonts w:ascii="Times New Roman" w:cs="Times New Roman" w:eastAsia="Times New Roman" w:hAnsi="Times New Roman"/>
          <w:sz w:val="17"/>
          <w:szCs w:val="17"/>
          <w:color w:val="auto"/>
        </w:rPr>
        <w:t>As changes in our business environment occur we have adjusted, and may further, adjust our business strategies to meet these changes and we may otherwise decide to further restructure our operations or particular businesses or assets. Our new organization and strategies may not produce the anticipated benefits, such as supporting our growth strategies and enhancing shareholder value. Our new organization and strategies could be less successful than our previous organizational structure and strategies. In addition, external events including changes in technology, changes in acceptance of our products and changes in macroeconomic conditions may impair the value of our assets. When these changes or events occur, we may incur costs to change our business strategy and may need to write-down the value of assets. For example, current economic conditions, including relatively high interest rates, inflation and potential economic slowdowns, as well as our business decisions, may reduce the value of some of our assets. We also make investments in existing or new businesses, including re-investing in the expansion of our sales and build-out of our efforts in Europe. In any of these events, our costs may increase or returns on new investments may be lower than prior to the change in strategy or restructuring.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and revenue prospects partially depend on our ability to accelerate the commercialization of our products and to capitalize on market opportunities.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largely dependent on our ability to successfully develop and commercialize our pipeline products, which are based on innovative yet complex technologies and at any time, can be in various stages of development. We are investing substantially all of our management efforts and financial resources in the development and commercialization of such products. For planning purposes, we estimate the timing of the accomplishment of various scientific, clinical, regulatory and other product development and commercialization goals, which we sometimes refer to as milestones. These milestones include the commencement or completion of scientific studies and clinical studies and the submission of regulatory applications. We base these milestones on a variety of assumptions, which are subject to numerous risks and uncertainties. There is a risk we will not achieve these milestones on a timely basis or at all. Even if we achieve these milestones, the actual timing of the achievement of these milestones can vary dramatically compared to our estimates, often for reasons beyond our control. Our ability to achieve milestones and generate future revenue from our current and/or future products depends on a number of additional factors, including:</w:t>
      </w:r>
    </w:p>
    <w:p>
      <w:pPr>
        <w:spacing w:after="0" w:line="200" w:lineRule="exact"/>
        <w:rPr>
          <w:sz w:val="20"/>
          <w:szCs w:val="20"/>
          <w:color w:val="auto"/>
        </w:rPr>
      </w:pPr>
    </w:p>
    <w:p>
      <w:pPr>
        <w:spacing w:after="0" w:line="208"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and results of our clinical studies and research and development activities;</w:t>
      </w:r>
    </w:p>
    <w:p>
      <w:pPr>
        <w:spacing w:after="0" w:line="27" w:lineRule="exact"/>
        <w:rPr>
          <w:rFonts w:ascii="Times New Roman" w:cs="Times New Roman" w:eastAsia="Times New Roman" w:hAnsi="Times New Roman"/>
          <w:sz w:val="18"/>
          <w:szCs w:val="18"/>
          <w:color w:val="auto"/>
        </w:rPr>
      </w:pPr>
    </w:p>
    <w:p>
      <w:pPr>
        <w:ind w:left="720" w:right="5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clinical development of our products, including necessary clinical studies;</w:t>
      </w: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acceptance of our clinical trial data by the FDA or foreign regulatory authorities;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optimize and scale up the manufacturing processes for our products;</w:t>
      </w:r>
    </w:p>
    <w:p>
      <w:pPr>
        <w:spacing w:after="0" w:line="22" w:lineRule="exact"/>
        <w:rPr>
          <w:rFonts w:ascii="Times New Roman" w:cs="Times New Roman" w:eastAsia="Times New Roman" w:hAnsi="Times New Roman"/>
          <w:sz w:val="18"/>
          <w:szCs w:val="18"/>
          <w:color w:val="auto"/>
        </w:rPr>
      </w:pPr>
    </w:p>
    <w:p>
      <w:pPr>
        <w:ind w:left="720" w:right="33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supply and manufacturing relationships with third parties that ensure adequate and legally-compliant production of our products;</w:t>
      </w:r>
    </w:p>
    <w:p>
      <w:pPr>
        <w:ind w:left="720" w:right="43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and/or the ability of third parties to manufacture our products, including our ability to source critical components or materials for the manufacture of our products;</w:t>
      </w:r>
    </w:p>
    <w:p>
      <w:pPr>
        <w:ind w:left="720" w:right="999" w:hanging="319"/>
        <w:spacing w:after="0" w:line="258"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submit necessary applications for regulatory clearances, approvals or certifications for our products in the United States and elsewhere;</w:t>
      </w:r>
    </w:p>
    <w:p>
      <w:pPr>
        <w:ind w:left="720" w:right="259" w:hanging="319"/>
        <w:spacing w:after="0" w:line="258"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requirements enforced by the FDA, and other comparable regulatory authorities with respect to our marketing of products;</w:t>
      </w:r>
    </w:p>
    <w:p>
      <w:pPr>
        <w:ind w:left="720" w:right="79" w:hanging="319"/>
        <w:spacing w:after="0" w:line="25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standards of FDA or foreign regulatory agencies and obtain necessary FDA or foreign regulatory clearances, approvals, or certifications, for our products or for future product modifications or proposed expansions in indication for any of our products that receive regulatory approval or certification;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by regulators, including actions related to a class of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effective sales and marketing capabilities;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more established or better funded competitors;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patient, physician, and market acceptance for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protect our intellectual property rights;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34"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completing clinical studies and obtaining necessary clearances, approvals or certifications, we are unable to predict the timing or amount of our expenses, or if or when we will achieve or maintain revenues or profitability. In addition, our expenses could increase beyond expectations if we decide to or are required by the FDA or foreign regulatory authorities to perform studies or trials for our products in addition to those that we currently anticipate. If we complete the development and regulatory processes of our products, we anticipate incurring significant costs associated with launching and commercializing our products. Even if we generate revenues from the sale of our products, we may not be profitable and may need to obtain additional funding to continue operations. If we fail to achieve profitability or do not sustain profitability on a continuing basis, then we may be unable to continue our operations at planned levels and be forced to reduce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other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cause fluctuations in our quarterly and annual results include, without limitation:</w:t>
      </w:r>
    </w:p>
    <w:p>
      <w:pPr>
        <w:spacing w:after="0" w:line="225"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 from period to period;</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22" w:lineRule="exact"/>
        <w:rPr>
          <w:rFonts w:ascii="Times New Roman" w:cs="Times New Roman" w:eastAsia="Times New Roman" w:hAnsi="Times New Roman"/>
          <w:sz w:val="18"/>
          <w:szCs w:val="18"/>
          <w:color w:val="auto"/>
        </w:rPr>
      </w:pPr>
    </w:p>
    <w:p>
      <w:pPr>
        <w:ind w:left="720" w:right="2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clinical trials, including obtaining regulatory approvals or clearances for planned or future products;</w:t>
      </w:r>
    </w:p>
    <w:p>
      <w:pPr>
        <w:ind w:left="720" w:right="1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ind w:left="720" w:right="579" w:hanging="319"/>
        <w:spacing w:after="0" w:line="250"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ind w:left="720" w:right="19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the procedures using our products and potential future products that compete with our products;</w:t>
      </w:r>
    </w:p>
    <w:p>
      <w:pPr>
        <w:ind w:left="720" w:right="1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current or planned products or any future products we develop or competing products;</w:t>
      </w:r>
    </w:p>
    <w:p>
      <w:pPr>
        <w:ind w:left="720" w:right="89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products, which may change from time to time;</w:t>
      </w:r>
    </w:p>
    <w:p>
      <w:pPr>
        <w:ind w:left="720" w:right="3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agreements with third-party suppliers and manufacturers;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outbreaks of disease or public health crises;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nature of any future acquisitions or strategic partnerships;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6"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Because our quarterly and annual results may fluctuate, period-to-period comparisons may not be the best indication of the underlying results of our business and should only be relied upon as one factor in determining how our business is performing.</w:t>
      </w:r>
    </w:p>
    <w:p>
      <w:pPr>
        <w:spacing w:after="0" w:line="176"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In addition, this variability and unpredictability could result in us failing to meet the expectations of industry or financial analysts or investors for any period. If our revenue or operating results fall below the expectations of analysts or investors or below any forecasts we may provide to the market, it may result in a decrease in the share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be able to execute on our business model, including achieving market acceptance of our products.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ability to execute our business model is dependent on a number of factors, including:</w:t>
      </w:r>
    </w:p>
    <w:p>
      <w:pPr>
        <w:spacing w:after="0" w:line="117"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senior management team to execute our business model;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begin or maintain our pace of product development, manufacturing and commercialization;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the changing needs of the catheter market;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market acceptance of our product;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employees to perform at a high level.</w:t>
      </w:r>
    </w:p>
    <w:p>
      <w:pPr>
        <w:spacing w:after="0" w:line="112" w:lineRule="exact"/>
        <w:rPr>
          <w:sz w:val="20"/>
          <w:szCs w:val="20"/>
          <w:color w:val="auto"/>
        </w:rPr>
      </w:pPr>
    </w:p>
    <w:p>
      <w:pPr>
        <w:jc w:val="both"/>
        <w:ind w:left="60" w:right="59" w:firstLine="360"/>
        <w:spacing w:after="0" w:line="275" w:lineRule="auto"/>
        <w:rPr>
          <w:sz w:val="20"/>
          <w:szCs w:val="20"/>
          <w:color w:val="auto"/>
        </w:rPr>
      </w:pPr>
      <w:r>
        <w:rPr>
          <w:rFonts w:ascii="Times New Roman" w:cs="Times New Roman" w:eastAsia="Times New Roman" w:hAnsi="Times New Roman"/>
          <w:sz w:val="18"/>
          <w:szCs w:val="18"/>
          <w:color w:val="auto"/>
        </w:rPr>
        <w:t>If we are unable to execute our business model, or if our business model does not drive the growth that we anticipate, or if our market opportunity is not as large as we have estimated, it could adversely affect our business and our prospects.</w:t>
      </w:r>
    </w:p>
    <w:p>
      <w:pPr>
        <w:spacing w:after="0" w:line="282"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the acceptance of our products as safe, effective and, with respect to providers, cost-effective. We cannot predict how quickly, if at all, hospitals, physicians, patients or payors will accept our products or, if accepted, how frequently they will be used. Our products and planned or future products we may develop or market may never gain broad market acceptance for some or all of our targeted indications. Hospitals, physicians, patients and payors must believe that our products offer benefits over alternative treatment methods. Our future growth and profitability largely depend on our ability to increase physician awareness of our system and our products and on the willingness of hospitals, physicians, patients or payors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Healthcare providers must believe that our products offer benefits over alternative treatment methods. Even if we are able to raise awareness, physicians tend to be slow in changing their medical treatment practices and may be hesitant to select our products for recommendation to their hospitals or patients for a variety of reasons, including:</w:t>
      </w:r>
    </w:p>
    <w:p>
      <w:pPr>
        <w:spacing w:after="0" w:line="200" w:lineRule="exact"/>
        <w:rPr>
          <w:sz w:val="20"/>
          <w:szCs w:val="20"/>
          <w:color w:val="auto"/>
        </w:rPr>
      </w:pPr>
    </w:p>
    <w:p>
      <w:pPr>
        <w:spacing w:after="0" w:line="206"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the market;</w:t>
      </w:r>
    </w:p>
    <w:p>
      <w:pPr>
        <w:spacing w:after="0" w:line="22"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safety or clinical benefits; and</w:t>
      </w:r>
    </w:p>
    <w:p>
      <w:pPr>
        <w:ind w:left="720" w:right="319" w:hanging="319"/>
        <w:spacing w:after="0" w:line="260"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our products.</w:t>
      </w:r>
    </w:p>
    <w:p>
      <w:pPr>
        <w:spacing w:after="0" w:line="195"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Physicians play a significant role in determining the course of a patient’s treatment, and, as a result, the type of treatment that will be utilized and provided to a patient. We focus our sales, marketing and education efforts primarily on cardiac electrophysiologists, and aim to educate referring physicians regarding the patient population that would benefit from our products. However, we cannot assure you that we will achieve broad market acceptance among these practitioners.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2" w:lineRule="auto"/>
        <w:rPr>
          <w:sz w:val="20"/>
          <w:szCs w:val="20"/>
          <w:color w:val="auto"/>
        </w:rPr>
      </w:pPr>
      <w:r>
        <w:rPr>
          <w:rFonts w:ascii="Times New Roman" w:cs="Times New Roman" w:eastAsia="Times New Roman" w:hAnsi="Times New Roman"/>
          <w:sz w:val="18"/>
          <w:szCs w:val="18"/>
          <w:color w:val="auto"/>
        </w:rPr>
        <w:t>For example, if electrophysiologists are not made aware of our products, they may not recommend ablation for their patients or the use of our product in their hospitals. In addition, some physicians may choose to utilize our products on only a subset of their total patient population or may not adopt our products at all. If we are not able to effectively demonstrate that the use of our products is beneficial in a broad range of patients, adoption of our products will be limited and may not occur as rapidly as we anticipate or at all, which would have a material adverse effect on our business, financial condition and results of operations. We cannot assure you that our products will achieve broad market acceptance among hospitals and physicians.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4"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Our reputation among our current or potential customers, as well as among electrophysiologists,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could harm our future prospects and have a material adverse effect on our business, financial condition and results of operations.</w:t>
      </w:r>
    </w:p>
    <w:p>
      <w:pPr>
        <w:spacing w:after="0" w:line="187" w:lineRule="exact"/>
        <w:rPr>
          <w:sz w:val="20"/>
          <w:szCs w:val="20"/>
          <w:color w:val="auto"/>
        </w:rPr>
      </w:pPr>
    </w:p>
    <w:p>
      <w:pPr>
        <w:jc w:val="both"/>
        <w:ind w:left="60" w:right="59" w:firstLine="363"/>
        <w:spacing w:after="0" w:line="258" w:lineRule="auto"/>
        <w:rPr>
          <w:sz w:val="20"/>
          <w:szCs w:val="20"/>
          <w:color w:val="auto"/>
        </w:rPr>
      </w:pPr>
      <w:r>
        <w:rPr>
          <w:rFonts w:ascii="Times New Roman" w:cs="Times New Roman" w:eastAsia="Times New Roman" w:hAnsi="Times New Roman"/>
          <w:sz w:val="18"/>
          <w:szCs w:val="18"/>
          <w:color w:val="auto"/>
        </w:rPr>
        <w:t>In the United States, before a hospital can purchase our product for the first time, our system must be approved for use by a hospital’s new product or value analysis committee, or the staff of a hospital or health system. Such approvals could deter or delay the use of our products by physicians. We cannot provide assurance that our efforts to obtain such approvals or generate adoption will be successful or increase the use of our products, and if we are not successful, it could have a material adverse effect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development and commercialization plans.</w:t>
      </w:r>
    </w:p>
    <w:p>
      <w:pPr>
        <w:spacing w:after="0" w:line="229" w:lineRule="exact"/>
        <w:rPr>
          <w:sz w:val="20"/>
          <w:szCs w:val="20"/>
          <w:color w:val="auto"/>
        </w:rPr>
      </w:pPr>
    </w:p>
    <w:p>
      <w:pPr>
        <w:jc w:val="both"/>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If our available cash resources are insufficient to satisfy our liquidity requirements including because the realization of other risks described in this Annual Report, we may be required to raise additional capital prior to such time through issuances of equity or convertible debt securities, enter into a credit facility or another form of third-party funding or seek other debt financing.</w:t>
      </w:r>
    </w:p>
    <w:p>
      <w:pPr>
        <w:spacing w:after="0" w:line="180" w:lineRule="exact"/>
        <w:rPr>
          <w:sz w:val="20"/>
          <w:szCs w:val="20"/>
          <w:color w:val="auto"/>
        </w:rPr>
      </w:pPr>
    </w:p>
    <w:p>
      <w:pPr>
        <w:jc w:val="both"/>
        <w:ind w:left="60" w:right="79" w:firstLine="360"/>
        <w:spacing w:after="0" w:line="282"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62"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ablation technology or any other future products;</w:t>
      </w:r>
    </w:p>
    <w:p>
      <w:pPr>
        <w:spacing w:after="0" w:line="27" w:lineRule="exact"/>
        <w:rPr>
          <w:rFonts w:ascii="Times New Roman" w:cs="Times New Roman" w:eastAsia="Times New Roman" w:hAnsi="Times New Roman"/>
          <w:sz w:val="18"/>
          <w:szCs w:val="18"/>
          <w:color w:val="auto"/>
        </w:rPr>
      </w:pPr>
    </w:p>
    <w:p>
      <w:pPr>
        <w:ind w:left="720" w:right="51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ablation technology;</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22" w:lineRule="exact"/>
        <w:rPr>
          <w:rFonts w:ascii="Times New Roman" w:cs="Times New Roman" w:eastAsia="Times New Roman" w:hAnsi="Times New Roman"/>
          <w:sz w:val="18"/>
          <w:szCs w:val="18"/>
          <w:color w:val="auto"/>
        </w:rPr>
      </w:pPr>
    </w:p>
    <w:p>
      <w:pPr>
        <w:ind w:left="720" w:right="459" w:hanging="319"/>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225"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22" w:lineRule="exact"/>
        <w:rPr>
          <w:rFonts w:ascii="Times New Roman" w:cs="Times New Roman" w:eastAsia="Times New Roman" w:hAnsi="Times New Roman"/>
          <w:sz w:val="18"/>
          <w:szCs w:val="18"/>
          <w:color w:val="auto"/>
        </w:rPr>
      </w:pPr>
    </w:p>
    <w:p>
      <w:pPr>
        <w:ind w:left="720" w:right="359"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 and</w:t>
      </w:r>
    </w:p>
    <w:p>
      <w:pPr>
        <w:spacing w:after="0" w:line="31"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5" w:lineRule="exact"/>
        <w:rPr>
          <w:sz w:val="20"/>
          <w:szCs w:val="20"/>
          <w:color w:val="auto"/>
        </w:rPr>
      </w:pPr>
    </w:p>
    <w:p>
      <w:pPr>
        <w:jc w:val="both"/>
        <w:ind w:left="60" w:right="79" w:firstLine="360"/>
        <w:spacing w:after="0" w:line="253"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The size of the markets for our products may be smaller than estimated, limiting our ability to successfully sell our products.</w:t>
      </w:r>
    </w:p>
    <w:p>
      <w:pPr>
        <w:spacing w:after="0" w:line="241"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Our estimates of the total addressable markets for our current products and products under development are based on a number of internal and third-party estimates, including, without limitation, the number of patients with cardiac arrhythmias and the assumed prices at which we can sell our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patients who would benefit from our products, the price at which we can sell products, or the total addressable market for our products is smaller than we have estimated, it may impair our sales growth and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security incidents, our business could be adversely affected, including our ability to operate, the loss of confidential and proprietary information, increased remediation costs, and reputational damage.</w:t>
      </w:r>
    </w:p>
    <w:p>
      <w:pPr>
        <w:spacing w:after="0" w:line="175"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2"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addition, U.S. and international laws and regulations that have been applied to protect user privacy (including laws regarding unfair and deceptive practices in the U.S. and the General Data Protection Regulation in the European Union)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common stock.</w:t>
      </w:r>
    </w:p>
    <w:p>
      <w:pPr>
        <w:spacing w:after="0" w:line="200" w:lineRule="exact"/>
        <w:rPr>
          <w:sz w:val="20"/>
          <w:szCs w:val="20"/>
          <w:color w:val="auto"/>
        </w:rPr>
      </w:pPr>
    </w:p>
    <w:p>
      <w:pPr>
        <w:spacing w:after="0" w:line="215"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22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2024, we had 80 employees. To execute our anticipated growth successfully, we must continue to attract and retain qualified personnel and manage and train them effectively. Developing and commercializing the ablation technology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200" w:lineRule="exact"/>
        <w:rPr>
          <w:sz w:val="20"/>
          <w:szCs w:val="20"/>
          <w:color w:val="auto"/>
        </w:rPr>
      </w:pPr>
    </w:p>
    <w:p>
      <w:pPr>
        <w:spacing w:after="0" w:line="210"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6"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Our ability to successfully transition from a largely development stage company to a full scale commercial operation is uncertain given the fact that we have been in operation since 2011.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financial condition, results of operations,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or form strategic partnerships with other companies, which could divert our management’s attention, increase our capital requirements, and otherwise disrupt our operations, subject us to other risks and harm our operating results.</w:t>
      </w:r>
    </w:p>
    <w:p>
      <w:pPr>
        <w:spacing w:after="0" w:line="175"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ablation technology product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0" w:lineRule="exact"/>
        <w:rPr>
          <w:sz w:val="20"/>
          <w:szCs w:val="20"/>
          <w:color w:val="auto"/>
        </w:rPr>
      </w:pPr>
    </w:p>
    <w:p>
      <w:pPr>
        <w:spacing w:after="0" w:line="203"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229"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continued services of key members of our executive management team and others in key management positions. We do not currently maintain key person life insurance policies on any of our employees. If we lose one or more key employees, we may experience difficulties in competing effectively, developing our technologies and implementing our business strategy.</w:t>
      </w:r>
    </w:p>
    <w:p>
      <w:pPr>
        <w:spacing w:after="0" w:line="18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In addition, our research and development programs, clinical operations and sales and marketing efforts depend on our ability to attract and retain highly skilled scientists, engineers and sales professionals. Competition for skilled personnel in our market is intense, and we have from time to time experienced, and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could be harmed.</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medical device industry could have an adverse effect on our revenue and results of operations.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their products. If we reduce our prices because of consolidation in the medical device industry, our revenue would decrease,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Unfavorable U.S. or global economic conditions as a result of a pandemic, political instability, natural disasters, or otherwise, could adversely affect our ability to raise capital and our business, financial condition and results of operations.</w:t>
      </w:r>
    </w:p>
    <w:p>
      <w:pPr>
        <w:spacing w:after="0" w:line="136"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Any future health related crisis or pandemic may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In addition, our results of operations could be adversely affected by general conditions in the global economy and financial markets. A severe or prolonged economic downturn could result in a variety of risks to our business, including weakened demand for our products and our ability to raise additional capital when needed on favorable terms, if at all. A weak or declining economy could strain our customers’ budgets or cause delays in their payments to us. Further, health related crises and pandemics could in the future continue to cause, and other factors could contribute to causing delays or disruptions in our supply chain and labor shortages and shutdowns. Any of the foregoing could harm our business, and we cannot anticipate all of the ways in which the current economic climate and financial market conditions could adversely impact our ability to raise capital and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could harm our business.</w:t>
      </w:r>
    </w:p>
    <w:p>
      <w:pPr>
        <w:spacing w:after="0" w:line="15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any subsequent testing by our independent registered public accounting firm in connection with Section 404(b) of the Sarbanes-Oxley Act,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common stock.</w:t>
      </w:r>
    </w:p>
    <w:p>
      <w:pPr>
        <w:spacing w:after="0" w:line="200" w:lineRule="exact"/>
        <w:rPr>
          <w:sz w:val="20"/>
          <w:szCs w:val="20"/>
          <w:color w:val="auto"/>
        </w:rPr>
      </w:pPr>
    </w:p>
    <w:p>
      <w:pPr>
        <w:spacing w:after="0" w:line="21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within the meaning of the Securities Act as modified by the Jumpstart Our Business Startups Act of 2012, as amended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the Sarbanes-Oxley Act.</w:t>
      </w:r>
    </w:p>
    <w:p>
      <w:pPr>
        <w:spacing w:after="0" w:line="200" w:lineRule="exact"/>
        <w:rPr>
          <w:sz w:val="20"/>
          <w:szCs w:val="20"/>
          <w:color w:val="auto"/>
        </w:rPr>
      </w:pPr>
    </w:p>
    <w:p>
      <w:pPr>
        <w:spacing w:after="0" w:line="208"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To achieve compliance with Section 404(a) of the Sarbanes-Oxley Act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both"/>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from the date of the ARYA initial public offering.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common stock.</w:t>
      </w:r>
    </w:p>
    <w:p>
      <w:pPr>
        <w:spacing w:after="0" w:line="17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common stock.</w:t>
      </w:r>
    </w:p>
    <w:p>
      <w:pPr>
        <w:spacing w:after="0" w:line="183"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in compliance with Nasdaq’s audit committee requirements, and as a result our common stock may be delisted, which could have a material adverse effect on the liquidity of our common stock.</w:t>
      </w:r>
    </w:p>
    <w:p>
      <w:pPr>
        <w:spacing w:after="0" w:line="15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On December 19, 2024, Shahram Moaddeb notified our Board Directors (the “Board”) of his resignation as a director of the Company, effective January 1, 2025. Mr. Moaddeb was an independent director, serving on the audit committee and compensation committee and as a result of his resignation, we are no longer in compliance with Nasdaq’s audit committee requirements as set forth in Listing Rule 5605. Under Nasdaq Listing Rule 5605(c)(4), Nasdaq provided the Company a cure period in order to regain compliance as follows: (i) until the earlier of the Company’s next annual shareholders’ meeting or January 2, 2026 or (ii) if the next annual shareholders’ meeting is held before June 30, 2025, then the Company must evidence compliance no later than June 30, 2025. The Company is in the process of reviewing and evaluating potential options to regain compliance with these continued listing requirements noted above in a manner consistent with the cure period. There can be no assurance that the Company will successfully regain compliance with these continued listing requirements within the applicable cure period.</w:t>
      </w:r>
    </w:p>
    <w:p>
      <w:pPr>
        <w:spacing w:after="0" w:line="190"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affected, which could materially and adversely impact our business, financial condition and results of operations.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currently maintain our research, development, manufacturing and administrative operations in a building located in Laguna Hills, California, and we do not have redundant facilities. Should our building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Because of the time required to authorize manufacturing in a new facility under federal, state and non-U.S. regulatory requirements, we may not be able to resume production on a timely basis even if we were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If our facilities become inoperable, the inability to perform our research, development and manufacturing activities, combined with our limited inventory of materials and components and manufactured products, may cause physicians to discontinue using our products or harm our reputation, and we may be unable to re-establish relationships with such physicians in the future. Consequently, a catastrophic event at our current facility or any future facilities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Our research and development processes and manufacturing involve the controlled use of hazardous materials, including select chemicals that may be flammables, toxic or corrosives. We do not currently have research processes involving biohazard materials. We cannot eliminate the risk of accidental contamination or discharge and any resultant injury from these materials. In addition, the products involve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22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are unsuccessful or significantly delayed, or if we do not complete our clinical trials, our business may be harmed.</w:t>
      </w:r>
    </w:p>
    <w:p>
      <w:pPr>
        <w:spacing w:after="0" w:line="159"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Clinical development is a long, expensive and uncertain process and is subject to delays and the risk that products may ultimately prove unsafe or ineffective in treating the indications for which they are designed.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at each site, in recruiting patients to participate in a trial or in obtaining sufficient supplies of clinical trial materials.</w:t>
      </w:r>
    </w:p>
    <w:p>
      <w:pPr>
        <w:spacing w:after="0" w:line="18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In September 2023, we announced the first Ventricular Tachycardia (VT) ULTC procedure performed using the Adagio VT Cryoablation System in the United States as part of the FULCRUM-VT early feasibility (EFS IDE) clinical trial. Delays in the completion of these and other clinical testing could significantly affect our product development costs. The completion of clinical trials can be delayed for a number of reasons, including delays related to: inability to enroll sufficient numbers of study subjects in a timely manner; unexpected or serious adverse effects related to our medical device candidate experienced by patients in a clinical trial; and retaining patients who have initiated a clinical trial, but may withdraw due to treatment protocol, adverse effects from the therapy, lack of effectiveness from the treatment or personal issues or who may not return for a sufficient number of post-operative visits. Clinical trials may also be delayed, suspended or terminated as a result of ambiguous or negative interim results, or results that are inconsistent with earlier results. In addition, a clinical trial may be suspended or terminated by us, the FDA, other regulatory authorities, or other numerous unforeseen factors or events during or because of the clinical trial process, including:</w:t>
      </w:r>
    </w:p>
    <w:p>
      <w:pPr>
        <w:spacing w:after="0" w:line="200" w:lineRule="exact"/>
        <w:rPr>
          <w:sz w:val="20"/>
          <w:szCs w:val="20"/>
          <w:color w:val="auto"/>
        </w:rPr>
      </w:pPr>
    </w:p>
    <w:p>
      <w:pPr>
        <w:spacing w:after="0" w:line="208"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7"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may be slower than we anticipate, or we may experience high screen failure rates in our clinical trials, resulting in significant delays;</w:t>
      </w:r>
    </w:p>
    <w:p>
      <w:pPr>
        <w:ind w:left="720" w:right="579" w:hanging="319"/>
        <w:spacing w:after="0" w:line="25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not meet the level of statistical significance required by the FDA or other regulatory authorities;</w:t>
      </w:r>
    </w:p>
    <w:p>
      <w:pPr>
        <w:ind w:left="720" w:right="9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the product is not sufficiently safe for investigational use in humans;</w:t>
      </w:r>
    </w:p>
    <w:p>
      <w:pPr>
        <w:ind w:left="720" w:right="43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interpret data from preclinical testing and clinical trials in different ways than we do;</w:t>
      </w:r>
    </w:p>
    <w:p>
      <w:pPr>
        <w:ind w:left="720" w:right="41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or failure in obtaining approval of our clinical trial protocols from the FDA or other regulatory authorities;</w:t>
      </w:r>
    </w:p>
    <w:p>
      <w:pPr>
        <w:ind w:left="720" w:right="5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obtaining IRB approvals or governmental approvals to conduct clinical trials at prospective sites;</w:t>
      </w:r>
    </w:p>
    <w:p>
      <w:pPr>
        <w:ind w:left="720" w:right="15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our or our suppliers’ manufacturing processes or facilities unsatisfactory;</w:t>
      </w:r>
    </w:p>
    <w:p>
      <w:pPr>
        <w:ind w:left="720" w:right="139" w:hanging="319"/>
        <w:spacing w:after="0" w:line="255"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in managing multiple clinical sites;</w:t>
      </w:r>
    </w:p>
    <w:p>
      <w:pPr>
        <w:spacing w:after="0" w:line="22" w:lineRule="exact"/>
        <w:rPr>
          <w:rFonts w:ascii="Times New Roman" w:cs="Times New Roman" w:eastAsia="Times New Roman" w:hAnsi="Times New Roman"/>
          <w:sz w:val="18"/>
          <w:szCs w:val="18"/>
          <w:color w:val="auto"/>
        </w:rPr>
      </w:pPr>
    </w:p>
    <w:p>
      <w:pPr>
        <w:ind w:left="720" w:right="219" w:hanging="319"/>
        <w:spacing w:after="0" w:line="27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agreeing on acceptable terms with third-party research organizations and trial sites that may help us conduct the clinical trials;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regulators, may suspend or terminate our clinical trials because the participating patients are being exposed to unacceptable health or safety risks, such as the death of a patient in our iCLAS IDE trial in October 2021, which caused our to voluntarily pause the study for six months (between November 2021 and April 2022) in order to investigate and take corrective actions and obtain FDA approval to resume the study.</w:t>
      </w:r>
    </w:p>
    <w:p>
      <w:pPr>
        <w:spacing w:after="0" w:line="193"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Delays in clinical development or delays in our ability to achieve regulatory clearance or approval, if at all, may impact the costs, timing or successful completion of a clinical trial. Moreover, failures or perceived failures in our clinical trials will delay and may prevent our product development and regulatory clearance or approval process, damage our business prospects and negatively affect our reputation and competitive position.</w:t>
      </w:r>
    </w:p>
    <w:p>
      <w:pPr>
        <w:spacing w:after="0" w:line="176" w:lineRule="exact"/>
        <w:rPr>
          <w:sz w:val="20"/>
          <w:szCs w:val="20"/>
          <w:color w:val="auto"/>
        </w:rPr>
      </w:pPr>
    </w:p>
    <w:p>
      <w:pPr>
        <w:ind w:left="60" w:right="2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limited data and experience regarding the safety and efficacy of our products. Results of earlier trials may not be predictive of future clinical trial results, and planned trials may not establish an adequate safety or efficacy profile for such products and other planned or future products, which would affect market acceptance of these products.</w:t>
      </w:r>
    </w:p>
    <w:p>
      <w:pPr>
        <w:spacing w:after="0" w:line="15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performed clinical trials with only limited patient populations. The long-term effects of using our products in a large number of patients has not been studied and the results of short-term clinical use of such products do not necessarily predict long-term clinical benefits or reveal long-term adverse effects. The results of clinical trials of our products conducted to date and ongoing or future trials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such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200" w:lineRule="exact"/>
        <w:rPr>
          <w:sz w:val="20"/>
          <w:szCs w:val="20"/>
          <w:color w:val="auto"/>
        </w:rPr>
      </w:pPr>
    </w:p>
    <w:p>
      <w:pPr>
        <w:spacing w:after="0" w:line="204" w:lineRule="exact"/>
        <w:rPr>
          <w:sz w:val="20"/>
          <w:szCs w:val="20"/>
          <w:color w:val="auto"/>
        </w:rPr>
      </w:pPr>
    </w:p>
    <w:p>
      <w:pPr>
        <w:ind w:left="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the commercialization of our products if we fail to establish relationships and successfully collaborate with leading life science companies and research institutions.</w:t>
      </w:r>
    </w:p>
    <w:p>
      <w:pPr>
        <w:spacing w:after="0" w:line="159"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To remain competitive, we must launch new products and technologies. To accomplish this, we will need to work with leading life science companies, research institutions and other third-party collaborators and service providers in the design, development and commercialization of our products and product candidates. Establishing collaborations is difficult, time consuming and may require our significant financial investment, including substantial upfront payments in such collaborations, which may negatively impact our reported earnings. In addition, potential collaborators may elect not to work with us based on their assessment of our financial, regulatory, or intellectual property position.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even if we establish new collaborations, they may not result in the successful development or commercialization of our products or technology. Relatedly, collaborating with such parties for multiple aspects of our drug development and commercialization activities might lead to less control over many aspects of those activities. Third parties may not complete activities on schedule or in accordance with our expectations. Failure by one or more of these third parties to meet their contractual, regulatory or other obligations to us, or any disruption in the relationships between us and these third parties, could delay or prevent the development, approval or commercialization of our products and product candidates, and could also result in non-compliance or reputational harm, all with potential negative implications for our product pipeline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an effective network for commercialization, including effective distribution channels and sales and marketing functions, it may adversely affect our business, financial condition, results of operations, and prospects.</w:t>
      </w:r>
    </w:p>
    <w:p>
      <w:pPr>
        <w:spacing w:after="0" w:line="13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limited commercialization experience and no approved or cleared products in the United States make it difficult to evaluate our current business and assess our prospects. We also currently have limited sales and marketing experience. If we are unable to establish effective sales and marketing capabilities or if we are unable to commercialize any of our products, we may not be able to effectively generate product revenue, sustain revenue growth and compete effectively. 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and our higher fixed costs may slow our ability to reduce costs in the face of a sudden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200" w:lineRule="exact"/>
        <w:rPr>
          <w:sz w:val="20"/>
          <w:szCs w:val="20"/>
          <w:color w:val="auto"/>
        </w:rPr>
      </w:pPr>
    </w:p>
    <w:p>
      <w:pPr>
        <w:spacing w:after="0" w:line="209"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will also depend to a significant extent on our ability to expand our marketing efforts as we plan to dedicate significant resources to our marketing programs.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physician awareness or increased revenue, and even if they do, any increase in revenue may not offset the costs and expenses we incur in building our brand. If we fail to successfully promote, maintain and protect our brand, or if we incur substantial expenses in an unsuccessful attempt to promote and maintain our brand, we may fail to attract or retain the physician acceptance necessary to realize a sufficient return on our brand building efforts, or to achieve the level of brand awareness that is critical for broad adoption of our products, which would have an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broaden our commercial portfolio offerings and obtain FDA 510(k) clearance or PMA approval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not be successful if there are inadequate physician training, practice and patient selection.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success of our products depends in part on the skill of the physician performing the catheter-based procedures and on their adherence to our stated patient selection criteria and proper techniques that we provide in training sessions. For example, we train physicians to ensure correct use of our products; however, physicians rely on their previous medical training and experience when performing catheter-based procedures, and we cannot guarantee that all such physicians will have the necessary skills or experience to safely and effectively perform these procedures. We do not control which physicians perform these procedures or how much training they receive, and physicians who have not completed our training sessions may nonetheless attempt to perform catheter-based procedures with our products. In addition, a perception by physicians that our products are difficult to use may negatively impact adoption. If physicians perform these procedures in a manner that is inconsistent with our labeled indications, with components that are not our products, with patients who are not indicated for treatment with our products or without adhering to or completing our training sessions, the patient outcomes may be negative or inconsistent with the outcomes achieved in clinical trials. This could negatively impact the perception of patient benefits and safety associated with our products and limit adoption of our products and catheter-based thrombectomy procedures generally, which could have a material adverse effect on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life sciences industry is highly competitive. Even if our products are commercialized and achieve broad scientific and market acceptance, if we fail to improve them or introduce compelling new products, our revenue and our prospects could be harmed.</w:t>
      </w:r>
    </w:p>
    <w:p>
      <w:pPr>
        <w:spacing w:after="0" w:line="175"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We compete primarily on the basis that our products are designed to enable more physicians to treat more patients more efficiently and effectively. Our continued success depends on our ability to:</w:t>
      </w:r>
    </w:p>
    <w:p>
      <w:pPr>
        <w:spacing w:after="0" w:line="180" w:lineRule="exact"/>
        <w:rPr>
          <w:sz w:val="20"/>
          <w:szCs w:val="20"/>
          <w:color w:val="auto"/>
        </w:rPr>
      </w:pPr>
    </w:p>
    <w:p>
      <w:pPr>
        <w:ind w:left="720" w:right="1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physicians;</w:t>
      </w: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physician awareness;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 and</w:t>
      </w:r>
    </w:p>
    <w:p>
      <w:pPr>
        <w:spacing w:after="0" w:line="22" w:lineRule="exact"/>
        <w:rPr>
          <w:rFonts w:ascii="Times New Roman" w:cs="Times New Roman" w:eastAsia="Times New Roman" w:hAnsi="Times New Roman"/>
          <w:sz w:val="18"/>
          <w:szCs w:val="18"/>
          <w:color w:val="auto"/>
        </w:rPr>
      </w:pPr>
    </w:p>
    <w:p>
      <w:pPr>
        <w:ind w:left="720" w:right="639" w:hanging="319"/>
        <w:spacing w:after="0" w:line="27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67" w:lineRule="exact"/>
        <w:rPr>
          <w:sz w:val="20"/>
          <w:szCs w:val="20"/>
          <w:color w:val="auto"/>
        </w:rPr>
      </w:pPr>
    </w:p>
    <w:p>
      <w:pPr>
        <w:ind w:left="60" w:right="59" w:firstLine="360"/>
        <w:spacing w:after="0" w:line="282" w:lineRule="auto"/>
        <w:rPr>
          <w:sz w:val="20"/>
          <w:szCs w:val="20"/>
          <w:color w:val="auto"/>
        </w:rPr>
      </w:pPr>
      <w:r>
        <w:rPr>
          <w:rFonts w:ascii="Times New Roman" w:cs="Times New Roman" w:eastAsia="Times New Roman" w:hAnsi="Times New Roman"/>
          <w:sz w:val="18"/>
          <w:szCs w:val="18"/>
          <w:color w:val="auto"/>
        </w:rPr>
        <w:t>Even if we are able to achieve broad scientific and market acceptance of our ablation technologies, any one of our competitors could reduce or eliminate our commercial opportunities if they develop or market products that:</w:t>
      </w:r>
    </w:p>
    <w:p>
      <w:pPr>
        <w:spacing w:after="0" w:line="162"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effective;</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fewer or less severe adverse side effects;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easier to use; 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less expensive than our products.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0"/>
        <w:spacing w:after="0" w:line="263" w:lineRule="auto"/>
        <w:rPr>
          <w:sz w:val="20"/>
          <w:szCs w:val="20"/>
          <w:color w:val="auto"/>
        </w:rPr>
      </w:pPr>
      <w:r>
        <w:rPr>
          <w:rFonts w:ascii="Times New Roman" w:cs="Times New Roman" w:eastAsia="Times New Roman" w:hAnsi="Times New Roman"/>
          <w:sz w:val="18"/>
          <w:szCs w:val="18"/>
          <w:color w:val="auto"/>
        </w:rPr>
        <w:t>In addition, our ability to attract new customers and increase revenue from existing customers will depend in large part on our ability to enhance and improve our technologies and to introduce compelling new products. The success of any enhancement to our ablation technologies or introduction of new products depends on several factors, including:</w:t>
      </w:r>
    </w:p>
    <w:p>
      <w:pPr>
        <w:spacing w:after="0" w:line="400"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delivery;</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quality testing;</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existing technologies;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freedom from intellectual property encumbrance;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timed and staged introduction;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acceptance.</w:t>
      </w:r>
    </w:p>
    <w:p>
      <w:pPr>
        <w:spacing w:after="0" w:line="234"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Any new product or enhancement to the ablation technologies that we develop may not be introduced in a timely or cost-effective manner, may contain defects, errors, vulnerabilities or bugs, or may not achieve the market acceptance necessary to generate significant revenue. 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w:t>
      </w:r>
    </w:p>
    <w:p>
      <w:pPr>
        <w:spacing w:after="0" w:line="194"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we will be successful in developing new products or commercializing them in ways that achieve market acceptance. If we develop new products, sales of those products may reduce revenue generated from our existing products or may not compete effectively with competitor products. Moreover, any significant delays in our product launches may significantly impede our ability to enter or compete in a given market and may reduce the sales that we are able to generate from these products. We may experience delays in any phase of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develop new products, enhance our ablation technologies to meet customer requirements, compete with alternative products, or otherwise gain and maintain market acceptance, our business, financial condition and results of operations could be harmed.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manufacturing capacity by ourselves or with third-party partners in a timely and cost-effective manner, commercialization of our products would be delayed, which would result in lost revenue and harm our business.</w:t>
      </w:r>
    </w:p>
    <w:p>
      <w:pPr>
        <w:spacing w:after="0" w:line="136" w:lineRule="exact"/>
        <w:rPr>
          <w:sz w:val="20"/>
          <w:szCs w:val="20"/>
          <w:color w:val="auto"/>
        </w:rPr>
      </w:pPr>
    </w:p>
    <w:p>
      <w:pPr>
        <w:jc w:val="both"/>
        <w:ind w:left="60" w:right="59" w:firstLine="360"/>
        <w:spacing w:after="0" w:line="275" w:lineRule="auto"/>
        <w:rPr>
          <w:sz w:val="20"/>
          <w:szCs w:val="20"/>
          <w:color w:val="auto"/>
        </w:rPr>
      </w:pPr>
      <w:r>
        <w:rPr>
          <w:rFonts w:ascii="Times New Roman" w:cs="Times New Roman" w:eastAsia="Times New Roman" w:hAnsi="Times New Roman"/>
          <w:sz w:val="18"/>
          <w:szCs w:val="18"/>
          <w:color w:val="auto"/>
        </w:rPr>
        <w:t>We may encounter production delays or shortfalls because of our limited experience in manufacturing our products in commercial quantities. Such production delays or shortfalls may be caused by many factors, including the following:</w:t>
      </w:r>
    </w:p>
    <w:p>
      <w:pPr>
        <w:spacing w:after="0" w:line="390" w:lineRule="exact"/>
        <w:rPr>
          <w:sz w:val="20"/>
          <w:szCs w:val="20"/>
          <w:color w:val="auto"/>
        </w:rPr>
      </w:pPr>
    </w:p>
    <w:p>
      <w:pPr>
        <w:ind w:left="720" w:right="19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expand our manufacturing capacity, as a result of which our production processes may have to change;</w:t>
      </w:r>
    </w:p>
    <w:p>
      <w:pPr>
        <w:ind w:left="720" w:right="99" w:hanging="319"/>
        <w:spacing w:after="0" w:line="254"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components of our products are provided by a single supplier or limited number of suppliers, and we do not maintain large inventory levels of these components; if we experience a shortage or quality issues in any of these components, we would need to identify and qualify new supply sources, which could increase our expenses and result in manufacturing delays;</w:t>
      </w:r>
    </w:p>
    <w:p>
      <w:pPr>
        <w:spacing w:after="0" w:line="1" w:lineRule="exact"/>
        <w:rPr>
          <w:rFonts w:ascii="Times New Roman" w:cs="Times New Roman" w:eastAsia="Times New Roman" w:hAnsi="Times New Roman"/>
          <w:sz w:val="18"/>
          <w:szCs w:val="18"/>
          <w:color w:val="auto"/>
        </w:rPr>
      </w:pPr>
    </w:p>
    <w:p>
      <w:pPr>
        <w:ind w:left="720" w:right="619" w:hanging="319"/>
        <w:spacing w:after="0" w:line="250"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completing validation and verification testing for new controlled environment rooms at our manufacturing facility;</w:t>
      </w:r>
    </w:p>
    <w:p>
      <w:pPr>
        <w:ind w:left="720" w:right="199" w:hanging="319"/>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regulations, including the FDA’s Quality System Regulation (“QSR”), for the manufacture of our products, noncompliance with which could cause an interruption in our manufacturing; and</w:t>
      </w:r>
    </w:p>
    <w:p>
      <w:pPr>
        <w:ind w:left="720" w:right="559" w:hanging="319"/>
        <w:spacing w:after="0" w:line="27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attraction and retention of qualified employees for our operations in order to significantly increase our manufacturing output.</w:t>
      </w:r>
    </w:p>
    <w:p>
      <w:pPr>
        <w:spacing w:after="0" w:line="181"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If we are unable to keep up with demand for our products, our growth could be impaired, and market acceptance for our products could be harmed and physicians may instead elect to use our competitors’ products. Our inability to successfully manufacture our products in sufficient quantities could materially harm our business.</w:t>
      </w:r>
    </w:p>
    <w:p>
      <w:pPr>
        <w:spacing w:after="0" w:line="176"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In addition, our manufacturing facility and processes and those of our third-party suppliers are subject to announced or unannounced FDA and state regulatory inspections or audits for compliance with the QSR, state equivalent requirements, and international manufacturing standards. Developing and maintaining a compliant quality system is time consuming and expensive. Failure to maintain compliance with, or not fully complying with the requirements of the FDA, state, or foreign regulators, could result in enforcement actions against us or our third-party suppliers, which could include the issuance of warning letters, seizures, prohibitions on product sales, recalls and civil and criminal penalties, any one of which could significantly impact our manufacturing supply and impair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limited third-party suppliers and manufacturers for some of the components and materials used in our products, and so long as we remain dependent on them, the loss of any of these suppliers and manufacturers, or any difficulties encountered by these suppliers and manufacturers in the production of our products, could harm our business.</w:t>
      </w:r>
    </w:p>
    <w:p>
      <w:pPr>
        <w:spacing w:after="0" w:line="157"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rely on third-party suppliers to provide us with certain components of our products, some of which are single-source suppliers. In some cases, we do not have long-term supply agreements with, or guaranteed commitments from, our suppliers, including single-source suppliers. We depend on our suppliers to provide us and our customers with components and materials in a timely manner that meet our and their quality, quantity and cost requirements. These suppliers may encounter problems during manufacturing for a variety of reasons, any of which could delay or impede their ability to meet our demand. Our suppliers may also fail to comply with applicable federal, state or foreign laws or regulations, cease producing the components and materials required for our products or otherwise decide to cease doing business with us. If the suppliers, including the single-source suppliers, that we use are unable or unwilling to manufacture the components or materials in our required volumes, or at specified times, we may have to identify and qualify acceptable additional or alternative suppliers. This qualification process could take up to a few months and we may not find sufficient capacity in a timely manner or at an acceptable cost to satisfy our production requirements. Any supply interruption from our suppliers or failure to obtain alternative suppliers for any of the components used in our products would limit our ability to manufacture our products and could have a material adverse effect on our business, financial condition and results of operations.</w:t>
      </w:r>
    </w:p>
    <w:p>
      <w:pPr>
        <w:spacing w:after="0" w:line="197"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FDA review and approval of a new supplier may be required if these components or materials become unavailable from our current suppliers. Although there may be other suppliers that have equivalent components or materials that would be available to us, FDA approval of any alternate suppliers, if required, could take several months or more to obtain, if it is able to be obtained at all. Any delay, interruption or cessation of production by our third-party suppliers of important components or materials, or any delay in qualifying new components or materials, if necessary, would prevent or delay our ability to manufacture our products.</w:t>
      </w:r>
    </w:p>
    <w:p>
      <w:pPr>
        <w:spacing w:after="0" w:line="18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products.</w:t>
      </w:r>
    </w:p>
    <w:p>
      <w:pPr>
        <w:spacing w:after="0" w:line="159" w:lineRule="exact"/>
        <w:rPr>
          <w:sz w:val="20"/>
          <w:szCs w:val="20"/>
          <w:color w:val="auto"/>
        </w:rPr>
      </w:pPr>
    </w:p>
    <w:p>
      <w:pPr>
        <w:jc w:val="both"/>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the design, manufacturing,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discovered after commercial shipment or during commercial use could result in an unsafe condition or the injury or death of a patient. These problems could lead to a voluntary recall or market withdrawal of, or issuance of a safety alert relating to, our products and could result in significant costs, negative publicity and adverse competitive pressure. Furthermore, the reporting of product defects or voluntary recalls to the FDA or analogous regulatory bodies outside the United States could result in manufacturing audits, inspections and broader recalls or other disruptions to our manufacturing processes. The circumstances giving rise to recalls are unpredictable, and any recalls of existing or future products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ind w:left="60" w:right="59" w:firstLine="363"/>
        <w:spacing w:after="0" w:line="258"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offers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and any recovery from such vendor or supplier may not be adequate.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hospitals, physicians or others purchasing or using our products, even if our products were not the actual cause of such injury or death. We may choose to settle any such claims even if we believe that such injuries were not due to failure of our products. An adverse outcome of any such claim involving one of our products could result in reduced market acceptance and demand for any or all of our products and could harm our reputation or brand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8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Although we carry product liability insurance, including for clinical trials and product marketing, we can give no assurance that such coverage will be available or adequate to satisfy any claims. Product liability insurance is expensive, subject to significant deductibles and exclusions, and may not continue to be available on acceptable terms, if at all. Any product liability claims brought against us, with or without merit, could increase our product liability insurance rates or prevent us from securing continuing coverage, harm our reputation, significantly increase our expenses, and reduce product sales. If we are unable to obtain or maintain insurance at an acceptable cost or on acceptable terms with adequate coverage or otherwise protect against potential product liability claims, we could be exposed to significant liabilities. Product liability claims could cause us to incur significant legal fees and deductibles and claims in excess of our insurance coverage would be paid out of cash reserves, harming our financial condition and operating results. Defending a suit, regardless of our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required to file adverse event reports under Medical Device Reporting (“MDR”) regulations with the FDA, which reports are publicly available on the FDA’s website. We are required to file MDRs if our products may have caused or contributed to a serious injury or death or malfunctioned in a way that would be likely to cause or contribute to a serious injury or death if it were to recur. Any such MDR that reports a significant adverse event could result in negative publicity, which could harm our reputation and future sales. If we fail to report these events to the FDA within the required timeframes, or at all, the FDA could take enforcement action against us. Any such adverse event involving our products could also result in future voluntary corrective actions, such as recalls or customer notifications, or agency action, such as inspection or enforcement action. Any corrective action, whether voluntary or involuntary, as well as defending against potential lawsuits, will require the dedication of our time and capital, distract management from operating our business, and may harm our reputation and financial results. Analogous reporting obligations exist in the European Union and other jurisdictions outside the United States. See “-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Regulatory and Legal Compliance Matters</w:t>
      </w:r>
      <w:r>
        <w:rPr>
          <w:rFonts w:ascii="Times New Roman" w:cs="Times New Roman" w:eastAsia="Times New Roman" w:hAnsi="Times New Roman"/>
          <w:sz w:val="18"/>
          <w:szCs w:val="18"/>
          <w:color w:val="auto"/>
        </w:rPr>
        <w:t>” for further detail.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2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sufficient intellectual property protection for our products and technology, or if the scope of the intellectual property protection obtained is not sufficiently broad, competitors could develop and commercialize products similar or identical to our products, and our ability to successfully commercialize our products may be impaired.</w:t>
      </w:r>
    </w:p>
    <w:p>
      <w:pPr>
        <w:spacing w:after="0" w:line="157"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protect and enforce our intellectual property, third parties may be able to compete more effectively against us. In addition, we may incur substantial litigation costs in our attempts to maintain, recover, enforce or otherwise restrict the use of our intellectual property.</w:t>
      </w:r>
    </w:p>
    <w:p>
      <w:pPr>
        <w:spacing w:after="0" w:line="187"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83"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maintaining,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protect any patents that may issue from such patent applications, at a reasonable cost or in a timely manner or in all jurisdictions. It is possible that defects of form in the preparation or filing of our patents or patent applications may exist, or may arise in the future, for example with respect to proper priority claims, inventorship, assignment, recordation, document formalities, fees, claim scope or requests for patent term adjustments. It is also possible that we will fail to identify patentable aspects of our research and development output before it is too late to obtain patent protection. If we delay filing a patent application, and a competitor files a patent application on the same or similar invention before we do, or the subject matter otherwise is made public by us or a competitor, our ability to secure patent rights may be limited or we may not be able to patent the invention at all. Even if we can patent the invention, we may be able to patent only a limited scope of the invention, and the limited scope may be inadequate to protect our products and technologies, or to block a competitor’s products and technologies that are similar or adjacent. Our earliest patent filings have been published. A competitor may review our published patents and arrive at the same or similar technology advances for our products as it develops. If the competitor files a patent application on such an advance before we do, then we may no longer be able to protect that aspect of our products and technologies and we may require a license from the competitor, which may not be available on commercially viable terms. Moreover, we may not develop additional proprietary products, methods and technologies that are patentable. It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5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(the “AIA”). These changes include, among others, allowing third-party submission of prior art to the United States Patent and Trademark Office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The changes brought about by the AIA have not been extensively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4"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200" w:lineRule="exact"/>
        <w:rPr>
          <w:sz w:val="20"/>
          <w:szCs w:val="20"/>
          <w:color w:val="auto"/>
        </w:rPr>
      </w:pPr>
    </w:p>
    <w:p>
      <w:pPr>
        <w:spacing w:after="0" w:line="20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 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harm our business prospects.</w:t>
      </w:r>
    </w:p>
    <w:p>
      <w:pPr>
        <w:spacing w:after="0" w:line="159"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Filing, prosecuting, maintaining, and defending patents on our products in all countries throughout the world would be prohibitively expensive, and our intellectual property rights in some countries outside the United States can be less extensive than those in the United States.</w:t>
      </w:r>
    </w:p>
    <w:p>
      <w:pPr>
        <w:spacing w:after="0" w:line="176"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any future licensor’s patents or other intellectual property rights may not be effective or sufficient to prevent competitors from marketing competing products.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200" w:lineRule="exact"/>
        <w:rPr>
          <w:sz w:val="20"/>
          <w:szCs w:val="20"/>
          <w:color w:val="auto"/>
        </w:rPr>
      </w:pPr>
    </w:p>
    <w:p>
      <w:pPr>
        <w:spacing w:after="0" w:line="21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88"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us and any future licensor’s patents at risk of being invalidated or interpreted narrowly and us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7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5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some or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200" w:lineRule="exact"/>
        <w:rPr>
          <w:sz w:val="20"/>
          <w:szCs w:val="20"/>
          <w:color w:val="auto"/>
        </w:rPr>
      </w:pPr>
    </w:p>
    <w:p>
      <w:pPr>
        <w:spacing w:after="0" w:line="215"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76"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their proprietary technology without authorization.</w:t>
      </w:r>
    </w:p>
    <w:p>
      <w:pPr>
        <w:spacing w:after="0" w:line="183" w:lineRule="exact"/>
        <w:rPr>
          <w:sz w:val="20"/>
          <w:szCs w:val="20"/>
          <w:color w:val="auto"/>
        </w:rPr>
      </w:pPr>
    </w:p>
    <w:p>
      <w:pPr>
        <w:jc w:val="both"/>
        <w:ind w:left="60" w:right="79" w:firstLine="360"/>
        <w:spacing w:after="0" w:line="259"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 and could materially impact our business.</w:t>
      </w:r>
    </w:p>
    <w:p>
      <w:pPr>
        <w:spacing w:after="0" w:line="159"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Our owned patents and any future licensed patents and patent applications may be subject to validity, enforceability, inventorship, and priority disputes. The issuance of a patent is not conclusive as to its inventorship, scope, validity or enforceability. Some of our patents or patent applications may be challenged at a future point in time in litigation,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and which could have a materially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for validity/patentability, including, but not limited to, patentable subject matter, lack of novelty, obviousness, non-enablement or sufficiency of the written description of the invention. Grounds for an unenforceability assertion could be an allegation that someone connected with prosecution of the patent withheld materially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competing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219"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59"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the ULTC and PFCA products,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8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both"/>
        <w:ind w:left="60" w:right="59" w:firstLine="360"/>
        <w:spacing w:after="0" w:line="259"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20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reverse-engineer or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which could have a material adverse effect on our business.</w:t>
      </w:r>
    </w:p>
    <w:p>
      <w:pPr>
        <w:spacing w:after="0" w:line="159"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we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products.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ind w:left="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protect and enforce our trademarks and trade names or build name recognition in our markets of interest thereby harming our competitive position, which could have a material adverse effect on our business.</w:t>
      </w:r>
    </w:p>
    <w:p>
      <w:pPr>
        <w:spacing w:after="0" w:line="136"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owned by third parties. We may not be able to protect our rights in these trademarks and trade names, which we need in order to build name recognition. In addition, third parties may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of our products for an adequate amount of time and may adversely affect our business.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effective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portfolio may not provide us with sufficient rights to exclude others from commercializing products similar or identical to ours, which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 which could have a material adverse effect on our business.</w:t>
      </w:r>
    </w:p>
    <w:p>
      <w:pPr>
        <w:spacing w:after="0" w:line="18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payments and other similar provisions during the patent application process, and during the lifetime of the patent. In certain circumstances, we may rely on any future licensor, or third-party annuity payment service,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200" w:lineRule="exact"/>
        <w:rPr>
          <w:sz w:val="20"/>
          <w:szCs w:val="20"/>
          <w:color w:val="auto"/>
        </w:rPr>
      </w:pPr>
    </w:p>
    <w:p>
      <w:pPr>
        <w:spacing w:after="0" w:line="202"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independent contractors or any third parties that have access to our confidential information or trade secrets have wrongfully used or disclosed confidential information of third parties or that our employees have wrongfully used or disclosed trade secrets of their former employers, which could have a material adverse effect on our business.</w:t>
      </w:r>
    </w:p>
    <w:p>
      <w:pPr>
        <w:spacing w:after="0" w:line="180"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misappropriated,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200" w:lineRule="exact"/>
        <w:rPr>
          <w:sz w:val="20"/>
          <w:szCs w:val="20"/>
          <w:color w:val="auto"/>
        </w:rPr>
      </w:pPr>
    </w:p>
    <w:p>
      <w:pPr>
        <w:spacing w:after="0" w:line="21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we may be ineffective in perfecting ownership of inventions developed by that individual, which could have a material adverse effect on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4"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8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futured and thus materially harm our business.</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the ULTC and PFCA products.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200" w:lineRule="exact"/>
        <w:rPr>
          <w:sz w:val="20"/>
          <w:szCs w:val="20"/>
          <w:color w:val="auto"/>
        </w:rPr>
      </w:pPr>
    </w:p>
    <w:p>
      <w:pPr>
        <w:spacing w:after="0" w:line="20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would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59"/>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access to our proprietary software, which could have a material adverse effect on our business.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contains modules licensed for use from third-party authors under open source licenses. In particular, some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materially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223"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Although we review and monitor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and such risk could have a material adverse effect on our business.</w:t>
      </w:r>
    </w:p>
    <w:p>
      <w:pPr>
        <w:spacing w:after="0" w:line="172" w:lineRule="exact"/>
        <w:rPr>
          <w:sz w:val="20"/>
          <w:szCs w:val="20"/>
          <w:color w:val="auto"/>
        </w:rPr>
      </w:pPr>
    </w:p>
    <w:p>
      <w:pPr>
        <w:jc w:val="both"/>
        <w:ind w:left="60" w:right="79" w:firstLine="360"/>
        <w:spacing w:after="0" w:line="275"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example:</w:t>
      </w:r>
    </w:p>
    <w:p>
      <w:pPr>
        <w:spacing w:after="0" w:line="239" w:lineRule="exact"/>
        <w:rPr>
          <w:sz w:val="20"/>
          <w:szCs w:val="20"/>
          <w:color w:val="auto"/>
        </w:rPr>
      </w:pPr>
    </w:p>
    <w:p>
      <w:pPr>
        <w:ind w:left="720" w:right="279" w:hanging="319"/>
        <w:spacing w:after="0" w:line="257"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 now or in the future;</w:t>
      </w:r>
    </w:p>
    <w:p>
      <w:pPr>
        <w:spacing w:after="0" w:line="1" w:lineRule="exact"/>
        <w:rPr>
          <w:rFonts w:ascii="Times New Roman" w:cs="Times New Roman" w:eastAsia="Times New Roman" w:hAnsi="Times New Roman"/>
          <w:sz w:val="18"/>
          <w:szCs w:val="18"/>
          <w:color w:val="auto"/>
        </w:rPr>
      </w:pPr>
    </w:p>
    <w:p>
      <w:pPr>
        <w:ind w:left="720" w:right="45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own, license or may own in the future;</w:t>
      </w:r>
    </w:p>
    <w:p>
      <w:pPr>
        <w:ind w:left="720" w:right="15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ind w:left="720" w:right="319" w:hanging="319"/>
        <w:spacing w:after="0" w:line="255"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ind w:left="720" w:right="479" w:hanging="319"/>
        <w:spacing w:after="0" w:line="258"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ind w:left="720" w:right="79" w:hanging="319"/>
        <w:spacing w:after="0" w:line="255"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 w:lineRule="exact"/>
        <w:rPr>
          <w:rFonts w:ascii="Times New Roman" w:cs="Times New Roman" w:eastAsia="Times New Roman" w:hAnsi="Times New Roman"/>
          <w:sz w:val="18"/>
          <w:szCs w:val="18"/>
          <w:color w:val="auto"/>
        </w:rPr>
      </w:pPr>
    </w:p>
    <w:p>
      <w:pPr>
        <w:ind w:left="720" w:right="1139" w:hanging="319"/>
        <w:spacing w:after="0" w:line="27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81" w:lineRule="exact"/>
        <w:rPr>
          <w:sz w:val="20"/>
          <w:szCs w:val="20"/>
          <w:color w:val="auto"/>
        </w:rPr>
      </w:pPr>
    </w:p>
    <w:p>
      <w:pPr>
        <w:ind w:left="60" w:right="79" w:firstLine="36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225" w:lineRule="exact"/>
        <w:rPr>
          <w:sz w:val="20"/>
          <w:szCs w:val="20"/>
          <w:color w:val="auto"/>
        </w:rPr>
      </w:pPr>
    </w:p>
    <w:p>
      <w:pPr>
        <w:jc w:val="both"/>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expenses in our pursuit of regulatory clearances and approvals for our products in the United States and can provide no assurances that we will obtain the necessary approvals from the FDA to market our products in the United States.</w:t>
      </w:r>
    </w:p>
    <w:p>
      <w:pPr>
        <w:spacing w:after="0" w:line="17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The United States is a key market for commercialization of our products. Before we can market our products in the United States, we must conduct and successfully complete extensive clinical trials and then receive 510(k) clearance or Premarket Approval (“PMA”) from the FDA. The time required to obtain approval by the FDA and comparable non-U.S. regulatory authorities may be unpredictable and depends upon numerous factors, including the substantial discretion of such regulatory authorities. In addition, policies, regulations or the type and amount of preclinical and clinical data necessary to gain clearance or approval may change during the course of a product’s lifecycle. We are required to undertake and complete certain studies to generate data required to support submissions to the FDA and certain other regulatory authorities, which studies may require additional capital and time. The FDA can delay, limit or deny clearance or approval of a device for many reasons, including:</w:t>
      </w:r>
    </w:p>
    <w:p>
      <w:pPr>
        <w:spacing w:after="0" w:line="188" w:lineRule="exact"/>
        <w:rPr>
          <w:sz w:val="20"/>
          <w:szCs w:val="20"/>
          <w:color w:val="auto"/>
        </w:rPr>
      </w:pPr>
    </w:p>
    <w:p>
      <w:pPr>
        <w:ind w:left="720" w:right="459" w:hanging="319"/>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safe and effective for their intended uses;</w:t>
      </w:r>
    </w:p>
    <w:p>
      <w:pPr>
        <w:ind w:left="720" w:right="11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or the interpretation of data from preclinical studies or clinical trials;</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22"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product outweigh the risks;</w:t>
      </w:r>
    </w:p>
    <w:p>
      <w:pPr>
        <w:spacing w:after="0" w:line="22" w:lineRule="exact"/>
        <w:rPr>
          <w:rFonts w:ascii="Times New Roman" w:cs="Times New Roman" w:eastAsia="Times New Roman" w:hAnsi="Times New Roman"/>
          <w:sz w:val="18"/>
          <w:szCs w:val="18"/>
          <w:color w:val="auto"/>
        </w:rPr>
      </w:pPr>
    </w:p>
    <w:p>
      <w:pPr>
        <w:ind w:left="720" w:right="73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facilities, or third-party manufacturers or suppliers we use may not meet applicable requirements;</w:t>
      </w:r>
    </w:p>
    <w:p>
      <w:pPr>
        <w:ind w:left="720" w:right="47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compliance with preclinical, clinical or other regulations by us, our clinical investigators, or clinical trial service provides (e.g., contract research organizations); and</w:t>
      </w:r>
    </w:p>
    <w:p>
      <w:pPr>
        <w:ind w:left="720" w:right="79" w:hanging="319"/>
        <w:spacing w:after="0" w:line="27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200" w:lineRule="exact"/>
        <w:rPr>
          <w:sz w:val="20"/>
          <w:szCs w:val="20"/>
          <w:color w:val="auto"/>
        </w:rPr>
      </w:pPr>
    </w:p>
    <w:p>
      <w:pPr>
        <w:spacing w:after="0" w:line="20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products or any products we may seek to develop in the future will ever be cleared or approved by the FDA. Any delays in, or failure to receive or maintain, clearance or approval for our products could prevent us from generating revenue from these products or achieve profitability. Furthermore, even if we were to obtain 501(k) clearance or PMA approval for our products, neither clearance nor approval by the FDA nor our existing CE Marks ensures approval by regulatory authorities in other countries or jurisdictions that we may target for commercialization of the vCLAS system, and approval by one regulatory authority does not ensure approval by regulatory authorities in other countries or clearance or approval by the FDA. If we do not receive or maintain regulatory clearances or approvals for our products in the United States and other jurisdictions that we target for commercialization of our products, we will not be able to successfully commercialize our products, which could substantially impair our ability to generate revenues and materially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improper or off-label marketing or promotion of our products, including significant legal liability, fines, penalties, and injunctions, which could materially and adversely affect our business, financial condition, and results of operations.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not permitted to promote or market our products in the United States until FDA clearance or approval is obtained. After clearance or approval, our promotional materials and user training methods must comply with the requirements of the FDA and other applicable laws and regulations, including the prohibition of the promotion of unapproved, or “off-label,” uses. Practitioners may use our products off-label, as the FDA does not restrict or regulate a practitioner’s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or criminal prosecution. Other federal, state, or foreign enforcement authorities, including the U.S. Department of Justice, might also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which may lead to reduced or non-acceptance of our proposed product candidates by the market. In addition, the off-label use of our products may increase the risk of product liability claims. Product liability claims are expensive to defend and could divert the attention of our management, result in substantial damage awards against us, and harm our reputation.</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changes in the United States political environment.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Any policy changes as a result of the new presidential administration and Congress could significantly affect our business. Specific legislative and regulatory proposals discussed during election campaigns and more recently that might materially impact our business include, but are not limited to, promoting access to healthcare via market competition and pricing transparency, enhancing flexibility and choice in healthcare at the state and individual level, prioritizing domestic production and increasing tariffs on imports (which may complicate and increase costs associated with our supply chain), and rolling back regulatory initiatives adopted under the previous administration. We cannot predict whether industry initiatives to seek tariff carve-outs for devices or other life sciences goods and products will be successful. Additionally, the new administration is expected to evaluate potential budgetary cuts and reallocation of regulatory priorities by key federal agencies that oversee our products, services, and associated reimbursement, including FDA and the U.S. Department of Health and Human Services more broadly. The new administration also has issued, and is expected to continue relying upon, Executive Orders to address a wide range of policy areas, some of which may impact our business. Such political developments may require us to allocate significant time, resources, and expense to modifying our policies and procedures, processes, systems, and practices to ensure compliance or adapt to the new regulatory climate, particularly to the extent such actions are subject to protracted and uncertain legal challenges. To the extent changes in the political environment have a negative impact on us or on our markets, our business, results of operation, and financial condition could be materially and adversely affected in the future.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findings in post-marketing vigilance or regulatory audits could subject us to suspension or withdrawal of our certificates of conformity, mandatory product recalls and significant legal liability, which could materially and adversely affect our business, financial condition, and results of operations.</w:t>
      </w:r>
    </w:p>
    <w:p>
      <w:pPr>
        <w:spacing w:after="0" w:line="175"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May 2020, Adagio Medical received a CE Mark from its notified body (a private organization designated by the competent authorities of the European Economic Area (“EEA”), to conduct conformity assessments and verify the conformity of manufacturers and their medical devices with the Essential Requirements of the EU Medical Devices Directive and the EU Medical Devices Regulations) for its Cryoablation Console, iCLAS Cryoablation Catheter, Shaped Stylets, and Esophageal Warming Balloon Catheter allowing the CE Mark to be affixed to such products permitting such products to be placed on the market within any state in the EEA and, through mutual recognition agreements, Switzerland (subject to certain localized registration and language requirements). In March 2024, Adagio Medical received an EC certificate of conformity for the VT Cryoablation System (vCLAS™ Catheter and updated Cryoablation Console) under the EU Medical Devices Regulation (i.e., European Union Regulation 2017/745). The updated Console is compatible with both iCLAS and vCLAS catheters. Manufacturers of medical devices in the EEA are required to implement post-marketing vigilance procedures with respect to their CE Marked medical devices in accordance with the rules governing the Medical Device Vigilance System provided for in European Commission’s MDR Chapter VII. Such post-marketing vigilance procedures include surveillance of patient and user complaints and alleged incidents associated with the use of CE Marked medical devices. MDR Article 2(64) and (65) define incidents as any malfunction or deterioration in the characteristics and/or performance of a device made available on the market, including user error due to ergonomic features, as well as any inadequacy in information supplied by the manufacturer and any undesirable side-effects and serious incidents as any incident which, directly or indirectly, led, might lead to or might have led to (a) the death of a patient, or user or of other persons, (b) to the temporary or permanent serious deterioration in their state of health, or (c) serious public health threat. When a medical device is suspected to have a causal relationship with an incident that led or might have led to death of or the serious deterioration of the health of a patient, or user or of other person, its manufacturer or authorized representative in the EU must report it to the competent authority in whose territory the incident occurred. Serious incidents must be reported no later than 15 calendar days, and in some cases no later than 2 calendar days, after the manufacturer becomes aware of the incident. In addition to reporting the serious incidents, the manufacturer must investigate and take any corrective action required, including Field Safety Corrective Actions (“</w:t>
      </w:r>
      <w:r>
        <w:rPr>
          <w:rFonts w:ascii="Times New Roman" w:cs="Times New Roman" w:eastAsia="Times New Roman" w:hAnsi="Times New Roman"/>
          <w:sz w:val="18"/>
          <w:szCs w:val="18"/>
          <w:b w:val="1"/>
          <w:bCs w:val="1"/>
          <w:color w:val="auto"/>
        </w:rPr>
        <w:t>FSCAs</w:t>
      </w:r>
      <w:r>
        <w:rPr>
          <w:rFonts w:ascii="Times New Roman" w:cs="Times New Roman" w:eastAsia="Times New Roman" w:hAnsi="Times New Roman"/>
          <w:sz w:val="18"/>
          <w:szCs w:val="18"/>
          <w:color w:val="auto"/>
        </w:rPr>
        <w:t>”). For a reportable serious incident, the manufacturer’s investigation is monitored by the competent authority, which may intervene, or initiate an independent investigation if considered appropriate. The required corrective action depends on the seriousness of the incident and varies from the issuance of advisory notices to the implementation of FSCAs or product recalls. FSCAs must be reported by the manufacturer or its authorized representative to the competent authorities of the countries affected by the FSCA. Customers and/or the end users of the medical device must also be notified. Incidents not requiring reporting to the competent authorities must be documented, reviewed, investigated and analyzed on a regular basis by the manufacturer to determine whether trending conclusions can be made concerning the safety or performance of the medical device and whether actions must be taken in relation to the continued marketing of medical devices currently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2" w:lineRule="auto"/>
        <w:rPr>
          <w:sz w:val="20"/>
          <w:szCs w:val="20"/>
          <w:color w:val="auto"/>
        </w:rPr>
      </w:pPr>
      <w:r>
        <w:rPr>
          <w:rFonts w:ascii="Times New Roman" w:cs="Times New Roman" w:eastAsia="Times New Roman" w:hAnsi="Times New Roman"/>
          <w:sz w:val="18"/>
          <w:szCs w:val="18"/>
          <w:color w:val="auto"/>
        </w:rPr>
        <w:t>In May 2022, for example, Adagio Medical submitted a FSCA to the competent authorities relating to a serious adverse event that occurred in October 2021 during the U.S. pivotal IDE clinical study of the CE marked iCLAS™ Cryoablation System. The U.S. IDE clinical study was put on a voluntary hold during the investigation of the incident, even though the iCLAS™ Cryoablation Catheter remained commercially available in the EU during such investigation. The procedure was performed with a guiding sheath that Adagio Medical had not authorized for use with the Adagio iCLAS™ Cryoablation Catheter in the study. After the catheter successfully completed 20 freeze cycles, it was removed from the patient for post-mapping and was subsequently re-inserted into the patient without completing the functional test freeze. After re-insertion, the freeze application was initiated followed by the receipt of a console alert of a system error. The patient’s heart rate declined rapidly and the presence of nitrogen in the left atrium was confirmed with intracardiac echocardiography. The patient subsequently died. After investigation, it was determined that the guiding sheath was damaged and therefore, severely compromised the Adagio iCLAS™ Cryoablation Catheter. During catheter removal, the force applied to retract the Adagio iCLAS™ Cryoablation Catheter caused its electrode band to cut into its freezing element and sever the two layers of high-pressure tubes containing the cryogen. This resulted in an external gas leak into the patient leading to air/gas embolism and death. The FSCA reported to the competent authorities described the corrective actions implemented by us including software and labeling update and retraining requirements, and the competent authorities accepted the corrective actions. The patient’s death was also reported to the FDA.</w:t>
      </w:r>
    </w:p>
    <w:p>
      <w:pPr>
        <w:spacing w:after="0" w:line="200" w:lineRule="exact"/>
        <w:rPr>
          <w:sz w:val="20"/>
          <w:szCs w:val="20"/>
          <w:color w:val="auto"/>
        </w:rPr>
      </w:pPr>
    </w:p>
    <w:p>
      <w:pPr>
        <w:spacing w:after="0" w:line="211"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We expect to incur ongoing costs to comply with these post-market vigilance obligations in EEA markets for so long as we continue to market and sell products in those markets. Moreover, any patient or user complaints and/or adverse events discovered during such post-market vigilance could subject us to suspension or withdrawal of our EC certificates of conformity or CE Mark, mandatory product recalls and significant legal liability, which would materially and adversely affect our business, financial condition and results of operation. In addition, a notified body or competent authority in an EEA country may perform post-marketing audits on our products and premises from time to time. Failure to comply with such requests in a timely manner, and any adverse findings in any such audit, could subject us to suspension or withdrawal of our EC certificates of conformity or CE Mark, mandatory product recalls and significant legal liability, which could materially and adversely affect our business, financial condition and results of operations.</w:t>
      </w:r>
    </w:p>
    <w:p>
      <w:pPr>
        <w:spacing w:after="0" w:line="400"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marketing of our products pursuant to improper regulatory classifications in the EU, including suspension or withdrawal of our certificates of conformity, mandatory product recalls and significant legal liability, fines, penalties, and injunctions, which could materially and adversely affect our business, financial condition and results of operations.</w:t>
      </w:r>
    </w:p>
    <w:p>
      <w:pPr>
        <w:spacing w:after="0" w:line="180"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To place a medical device on the market in the EU, a manufacturer must have a valid CE mark for the device, issued after the completion of a conformity assessment. For class I, II, or III medical devices, a third-party notified body must be involved in the conformity assessment procedure and issue an EC Certificate. For Class I devices, the manufacturer conducts its own conformity assessment and self-certifies the devices; the notified body is not involved. The components of the iCLAS and VT Cryoablation systems as placed on the market in the EU are individually classified and fall into different classifications. If an EU competent authority determines that an Adagio medical device is marketed under improper classification and/or improper or invalid EC Certificate, the authority may initiate enforcement action, such as ordering us to recall and withdraw the respective medical device from the market and/or pursue criminal penalties under national member state law.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211"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breaches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92"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or will be subject to anti-corruption and anti-bribery and anti-money laundering and similar laws, and non-compliance with such laws can subject us to administrative, civil and criminal fines and penalties, collateral consequences, remedial measures and legal expenses, all of which could adversely affect our reputation, business, financial condition and results of operations.</w:t>
      </w:r>
    </w:p>
    <w:p>
      <w:pPr>
        <w:spacing w:after="0" w:line="180"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We are or will be subject to anti-corruption and anti-bribery and anti-money laundering and similar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80"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This includes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83"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As we expand our commercial operations outside of the United States, we will need to comply with non-U.S. regulatory requirements, will need to expand business relationships with various third parties, and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developments and commercialization activities outside of the United States, we will be subject to an increased risk of inadvertently conducting activities in a manner that violates the FCPA and similar laws. If that occurs, we may be subject to civil or criminal penalties, which could have a material adverse effect on our business, financial condition, results of operations and growth prospects.</w:t>
      </w:r>
    </w:p>
    <w:p>
      <w:pPr>
        <w:spacing w:after="0" w:line="18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or other similar laws, we may be subject to significant civil and criminal penalties, which could have a material adverse effect on our financial condition and results of operations.</w:t>
      </w:r>
    </w:p>
    <w:p>
      <w:pPr>
        <w:spacing w:after="0" w:line="190" w:lineRule="exact"/>
        <w:rPr>
          <w:sz w:val="20"/>
          <w:szCs w:val="20"/>
          <w:color w:val="auto"/>
        </w:rPr>
      </w:pPr>
    </w:p>
    <w:p>
      <w:pPr>
        <w:ind w:left="60" w:right="7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3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If any of the physicians or other health care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22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extensive laws and regulations of the United States and foreign regulatory agencies that could impose substantial costs, legal prohibitions and restrictions, or unfavorable changes upon our operations, and any failure to comply with these laws and regulations, including as they evolve, could delay or entirely prevent the commercialization of our products or result in litigation and substantially harm our business and results of operations.</w:t>
      </w:r>
    </w:p>
    <w:p>
      <w:pPr>
        <w:spacing w:after="0" w:line="16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We are and will be subject to environmental, manufacturing, and health and safety laws and regulations at numerous jurisdictional levels, including laws relating to the use, handling, storage, recycling, disposal and human exposure to hazardous materials and with respect to constructing, expanding and maintaining our facilities. Any violations of these laws may result in substantial fines and penalties, remediation costs, third party damages, or a suspension or cessation of our operations. The costs of compliance, including remediating contamination, if any, is found on our properties, or any related changes to our operations, may be significant. 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w:t>
      </w:r>
    </w:p>
    <w:p>
      <w:pPr>
        <w:spacing w:after="0" w:line="188"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addition, the medical device industry is regulated extensively by governmental authorities, principally the FDA and corresponding state and foreign regulatory agencies and authorities, such as the EU legislative bodies and the EEA Member State Competent Authorities.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effectiveness; establishment registration and device listing; marketing, sales and distribution; regulatory authorization, including but not limited to pre-market clearance and approval; service operations; product traceability and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 Any failures to comply with applicable laws, regulations and standards could result in significant expenses, delays, fines, or other sanctions. The laws and regulations to which we are subject are complex and change from time to time. Legal or regulatory changes, and FDA’s interpretation of regulations and guidance, could result in restrictions on our ability to carry on or expand our operations, higher than anticipated costs or lower than anticipated sales. The FDA and foreign regulatory agencies enforce these regulatory requirements through, among other means, periodic announced and unannounced inspections. We do not know whether we will be found compliant in connection with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Regulatory enforcement or inquiries, or other increased scrutiny of us, could dissuade physicians from using our products and adversely affect our reputation and the perceived safety and effectiveness of our products.</w:t>
      </w:r>
    </w:p>
    <w:p>
      <w:pPr>
        <w:spacing w:after="0" w:line="200" w:lineRule="exact"/>
        <w:rPr>
          <w:sz w:val="20"/>
          <w:szCs w:val="20"/>
          <w:color w:val="auto"/>
        </w:rPr>
      </w:pPr>
    </w:p>
    <w:p>
      <w:pPr>
        <w:spacing w:after="0" w:line="222"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also expect to become subject to laws and regulations applicable to the supply, manufacture, import, sale, and service of our products, including in those countries and markets we intend to enter in the future. Compliance with such regulations will require additional time, effort and expense to ensure regulatory compliance in those countries.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disputes and other legal proceedings, product liability lawsuits, that may be time consuming and costly.</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design, development, testing, manufacture and marketing of medical devices. This risk exists even if a device or product is cleared or approved for commercial sale or testing by FDA or other foreign regulators and manufactured in facilities registered with and regulated by FDA or an applicable foreign regulatory authority. Any manufacturing or design defects, misuse (including, but not limited to, inadequate sterilization or product cooling) by trained medical professionals or others, or abuse associated with our products could result in patient injury or death. The medical device industry has historically been subject to extensive litigation over product liability claims, and we cannot offer any assurance that we will not face product liability suits.</w:t>
      </w:r>
    </w:p>
    <w:p>
      <w:pPr>
        <w:spacing w:after="0" w:line="200" w:lineRule="exact"/>
        <w:rPr>
          <w:sz w:val="20"/>
          <w:szCs w:val="20"/>
          <w:color w:val="auto"/>
        </w:rPr>
      </w:pPr>
    </w:p>
    <w:p>
      <w:pPr>
        <w:spacing w:after="0" w:line="205"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In addition, an injury that is caused by the activities of our suppliers, such as those who provide us with components and raw materials, or hired medical professional field specialists, such as third-party hospitals and medical professionals carrying out field tests, may be the basis for a claim against us. Product liability or wrongful death claims may be brought against us by patients, health care providers or others coming into contact with, or providing services using, our products. If we cannot successfully defend ourselves against these or similar claims, or if we or our suppliers have inadequate product liability insurance, we may incur substantial liabilities and reputational harm. In addition, regardless of merit or eventual outcome, product liability claims may result in:</w:t>
      </w:r>
    </w:p>
    <w:p>
      <w:pPr>
        <w:spacing w:after="0" w:line="189"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brand and/or business reputation;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costly litigation;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and other related legal liabilities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recall or market withdrawal efforts, or adequate medical training regarding the use of our devices, that may be required in the future or that these efforts will have the intended effect of preventing product malfunctions or wrongful use and the accompanying product liability that may result. Any such recalls and market withdrawals may also be used by our competitors to harm our reputation for safety or be perceived by patients as a safety risk when considering the use of our products, either of which could have an adverse effect on our business, financial condition and results of operations.</w:t>
      </w:r>
    </w:p>
    <w:p>
      <w:pPr>
        <w:spacing w:after="0" w:line="184" w:lineRule="exact"/>
        <w:rPr>
          <w:sz w:val="20"/>
          <w:szCs w:val="20"/>
          <w:color w:val="auto"/>
        </w:rPr>
      </w:pPr>
    </w:p>
    <w:p>
      <w:pPr>
        <w:ind w:left="60" w:right="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lack of a trade compliance program leaves certain regulatory trade risk inherent in international business unmitigated. If we fail to comply with applicable international trade and sanctions regulations, we may become subject to regulatory investigations, penalties, and fines. A trade compliance program including a screening process for customers, independent contractors, and other third parties would help avoid violations, and if a violation occurred, having a trade compliance program is often a mitigating factor in determining penalties.</w:t>
      </w:r>
    </w:p>
    <w:p>
      <w:pPr>
        <w:spacing w:after="0" w:line="183"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We have business activities and contracts with customers, independent contractors, vendors/suppliers, or other third parties in North America and internationally. However, we do not have any policies related to trade controls, including export and import controls, economic sanctions, anti-boycott requirements, and regulations, or anti-bribery and anti-corruption laws. We also do not have any dedicated international trade or sanctions compliance personnel or process for monitoring compliance with the international trade-related legal and regulatory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Financing Transactions</w:t>
      </w:r>
    </w:p>
    <w:p>
      <w:pPr>
        <w:spacing w:after="0" w:line="225"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financing risks. There are no guarantees that we can meet our financing needs for our operations and future investments at a reasonable cost or at all.</w:t>
      </w:r>
    </w:p>
    <w:p>
      <w:pPr>
        <w:spacing w:after="0" w:line="159"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Our ability to generate cash is essential for the funding of our operations and the servicing of our debt. If existing cash balances together with the borrowing capacity under our credit facilities were not sufficient to make future investments, make acquisitions or provide needed working capital, we may require financing from other sources. Our ability to obtain such additional financing in the future will depend on a number of factors including prevailing capital market conditions, conditions in the industries in which we operate, our credit rating, our operating results and creditworthiness, and the purpose for such financing. These factors may affect our ability to arrange additional financing (including any additional financing) on terms that are acceptable to us. If additional funds are not available on acceptable terms, we may not be able to make future investments, take advantage of acquisitions or pursue other opportunities.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convertible notes that could adversely affect our business and financial condition.</w:t>
      </w:r>
    </w:p>
    <w:p>
      <w:pPr>
        <w:spacing w:after="0" w:line="229" w:lineRule="exact"/>
        <w:rPr>
          <w:sz w:val="20"/>
          <w:szCs w:val="20"/>
          <w:color w:val="auto"/>
        </w:rPr>
      </w:pPr>
    </w:p>
    <w:p>
      <w:pPr>
        <w:jc w:val="both"/>
        <w:ind w:left="60" w:right="79" w:firstLine="360"/>
        <w:spacing w:after="0" w:line="255" w:lineRule="auto"/>
        <w:rPr>
          <w:sz w:val="20"/>
          <w:szCs w:val="20"/>
          <w:color w:val="auto"/>
        </w:rPr>
      </w:pPr>
      <w:r>
        <w:rPr>
          <w:rFonts w:ascii="Times New Roman" w:cs="Times New Roman" w:eastAsia="Times New Roman" w:hAnsi="Times New Roman"/>
          <w:sz w:val="18"/>
          <w:szCs w:val="18"/>
          <w:color w:val="auto"/>
        </w:rPr>
        <w:t>We have an aggregate principal amount of $20,000,000 of outstanding indebtedness under the Convertible Securities Notes, (as defined below) which have a maturity of April 30, 2028. The Convertible Securities Notes accrue interest at a rate of 13% per annum, which is due quarterly and, at our election, either payable-in-kind (in which case, such interest will accrue and remain unpaid until maturity) or payable in cash. Further, the Convertible Securities Notes are, at the option of the holders of the Convertible Securities Notes (subject to certain conditions), convertible into shares of common stock at a rate of $10.00 per share, each subject to adjustment in accordance with the terms and conditions of the Convertible Securities Notes.</w:t>
      </w:r>
    </w:p>
    <w:p>
      <w:pPr>
        <w:spacing w:after="0" w:line="18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The Convertible Securities Notes provide for certain customary events of default, including, among others, payment defaults (subject to customary grace for interest and fees), voluntary or involuntary bankruptcy, material misrepresentations, covenants breaches (subject to grace in certain instances), material judgements and material cross-defaults to other indebtedness. The Convertible Securities Notes also include certain customary affirmative and negative covenants, including, among others, limitations on incurring additional indebtedness, the creation of additional liens on our assets, and entering into investments, in each case subject to customary exceptions, as well as a minimum liquidity requirement and an asset sale mandatory prepayment requirement, subject to customary reinvestment rights. In addition, a Change of Control, as defined in the Convertible Securities Notes, includes, among others, certain mergers, asset sales, tender offers, business combinations and reorganizations, which would give the holders of the Convertible Securities Notes the right to redeem the outstanding indebtedness in cash.</w:t>
      </w:r>
    </w:p>
    <w:p>
      <w:pPr>
        <w:spacing w:after="0" w:line="194" w:lineRule="exact"/>
        <w:rPr>
          <w:sz w:val="20"/>
          <w:szCs w:val="20"/>
          <w:color w:val="auto"/>
        </w:rPr>
      </w:pPr>
    </w:p>
    <w:p>
      <w:pPr>
        <w:jc w:val="both"/>
        <w:ind w:left="60" w:right="79" w:firstLine="360"/>
        <w:spacing w:after="0" w:line="263" w:lineRule="auto"/>
        <w:rPr>
          <w:sz w:val="20"/>
          <w:szCs w:val="20"/>
          <w:color w:val="auto"/>
        </w:rPr>
      </w:pPr>
      <w:r>
        <w:rPr>
          <w:rFonts w:ascii="Times New Roman" w:cs="Times New Roman" w:eastAsia="Times New Roman" w:hAnsi="Times New Roman"/>
          <w:sz w:val="18"/>
          <w:szCs w:val="18"/>
          <w:color w:val="auto"/>
        </w:rPr>
        <w:t>Our ability to remain in compliance with the covenants under the Convertible Securities Notes depends on, among other things, our operating performance, competitive developments and financial market conditions, all of which are significantly affected by financial, business, economic and other factors, many of which we are not able to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Convertible Notes could have other important consequences, including the following:</w:t>
      </w:r>
    </w:p>
    <w:p>
      <w:pPr>
        <w:spacing w:after="0" w:line="225" w:lineRule="exact"/>
        <w:rPr>
          <w:sz w:val="20"/>
          <w:szCs w:val="20"/>
          <w:color w:val="auto"/>
        </w:rPr>
      </w:pPr>
    </w:p>
    <w:p>
      <w:pPr>
        <w:ind w:left="720" w:right="179" w:hanging="319"/>
        <w:spacing w:after="0" w:line="263"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imposed by the Convertible Notes on our ability to incur additional debt and to take other actions might significantly impair our ability to obtain other financing. This could have serious consequences to our financial condition and results of operations and could cause us to become bankrupt or insolvent;</w:t>
      </w:r>
    </w:p>
    <w:p>
      <w:pPr>
        <w:spacing w:after="0" w:line="201"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substantial portion of our cash flow from operations to repay the principal and accrued and unpaid interest on the Convertible Notes if an event of default occurs prior to maturity, which would reduce funds available to us to fund our business plan and other general corporate purposes;</w:t>
      </w:r>
    </w:p>
    <w:p>
      <w:pPr>
        <w:spacing w:after="0" w:line="1" w:lineRule="exact"/>
        <w:rPr>
          <w:rFonts w:ascii="Times New Roman" w:cs="Times New Roman" w:eastAsia="Times New Roman" w:hAnsi="Times New Roman"/>
          <w:sz w:val="18"/>
          <w:szCs w:val="18"/>
          <w:color w:val="auto"/>
        </w:rPr>
      </w:pPr>
    </w:p>
    <w:p>
      <w:pPr>
        <w:ind w:left="720" w:right="119" w:hanging="319"/>
        <w:spacing w:after="0" w:line="253"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refinance the Convertible Notes (at all or on terms that are satisfactory) or to otherwise repay the Convertible Notes at maturity, including any unpaid and accrued interest therein, and we may be unable to obtain additional financing for our business plan, working capital, capital expenditures, acquisitions or general corporate purposes. Any refinancing of the Convertible Note could be at significantly higher interest rates, incur significant transaction fees or include more restrictive covenants;</w:t>
      </w:r>
    </w:p>
    <w:p>
      <w:pPr>
        <w:spacing w:after="0" w:line="2"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comply with the covenants in the Convertible Notes due to business developments or financial market conditions, which could result in an event of default that, if not cured or waived, gives the holders of the Convertible Notes the right to accelerate the Convertible Notes or otherwise exercise any other remedies available to them under applicable law. Among those remedies, the holders would have the right to seize any of our assets pledged to the holders of the Convertible Notes and/or to convert the Convertible Notes into shares of common stock. An event of default could cause a significant decline in the value of the shares of common stock and may force us into bankruptcy or liquidation;</w:t>
      </w:r>
    </w:p>
    <w:p>
      <w:pPr>
        <w:spacing w:after="0" w:line="4" w:lineRule="exact"/>
        <w:rPr>
          <w:rFonts w:ascii="Times New Roman" w:cs="Times New Roman" w:eastAsia="Times New Roman" w:hAnsi="Times New Roman"/>
          <w:sz w:val="18"/>
          <w:szCs w:val="18"/>
          <w:color w:val="auto"/>
        </w:rPr>
      </w:pPr>
    </w:p>
    <w:p>
      <w:pPr>
        <w:ind w:left="720" w:right="199" w:hanging="319"/>
        <w:spacing w:after="0" w:line="258"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Convertible Notes into shares of common stock could result in significant dilution to our existing stockholders and cause the market price of the common stock to decline; and</w:t>
      </w:r>
    </w:p>
    <w:p>
      <w:pPr>
        <w:ind w:left="720" w:right="759" w:hanging="319"/>
        <w:spacing w:after="0" w:line="27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an economic downturn or recession and adverse developments in our business given our lack of revenues as a development stage company.</w:t>
      </w:r>
    </w:p>
    <w:p>
      <w:pPr>
        <w:spacing w:after="0" w:line="181" w:lineRule="exact"/>
        <w:rPr>
          <w:sz w:val="20"/>
          <w:szCs w:val="20"/>
          <w:color w:val="auto"/>
        </w:rPr>
      </w:pPr>
    </w:p>
    <w:p>
      <w:pPr>
        <w:jc w:val="both"/>
        <w:ind w:left="60" w:right="59" w:firstLine="360"/>
        <w:spacing w:after="0" w:line="259" w:lineRule="auto"/>
        <w:rPr>
          <w:sz w:val="20"/>
          <w:szCs w:val="20"/>
          <w:color w:val="auto"/>
        </w:rPr>
      </w:pPr>
      <w:r>
        <w:rPr>
          <w:rFonts w:ascii="Times New Roman" w:cs="Times New Roman" w:eastAsia="Times New Roman" w:hAnsi="Times New Roman"/>
          <w:sz w:val="18"/>
          <w:szCs w:val="18"/>
          <w:color w:val="auto"/>
        </w:rPr>
        <w:t>There can be no assurance that we will be able to manage any of the risks described above successfully. Further, capital and credit markets, which have been disrupted by macroeconomic pressures, have experienced increased volatility. As a result, access to additional financing may be challenging and is largely dependent upon evolving market conditions and other factors, which could materially impact our business, results of operations, financial condition and prospects.</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increased interest rates and any adverse developments in the credit markets.</w:t>
      </w:r>
    </w:p>
    <w:p>
      <w:pPr>
        <w:spacing w:after="0" w:line="22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Adverse developments in the credit markets, including reduced liquidity or rising interest rates, could reduce the availability of funding for our projects. Volatility in the credit and equity markets could reduce our ability to raise additional capital through equity, equity-linked or debt financings, which could negatively impact our short-term and long-term liquidity and our ability to operate in accordance with our operating plan, or at all, or our ability to fund our growth. Additionally, our results of operations could be adversely affected by general conditions in the global economy and financial markets. A severe or prolonged economic downturn could result in a variety of risks to our business, including weakened demand for our products and technologies, and our ability to raise additional capital when needed on favorable terms, if at all. In addition, increased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(“NOL”) carryforwards and other tax attributes may be limited as a result of the Business Combination or other ownership changes.</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incurred NOLs during our history that have yet to be utilized. To the extent that we continue to generate NOLs, unused losses will carry forward to offset future taxable income, if any, until such unused losses expire, if at all (depending on the tax year in which such losses were incurred). Under Sections 382 and 383 of the U.S. Internal Revenue Code of 1986, as amended (the “Code”) and similar provisions of state and local law, U.S. federal, state, and local NOL carryforwards and other tax attributes (e.g., tax credits) may become subject to an annual limitation in the event of certain cumulative changes in our ownership.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Similar rules may apply under state or local tax laws.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and/or the ability of the U.S. federal consolidated group of which we are a member to utilize NOL carryforwards and other tax attributes to offset future taxable income or tax liabilities may be limited as a result of ownership changes, including potential changes arising as a result of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NOL carryforwards and other tax attributes. In addition, under current U.S. federal income tax laws, NOLs arising in future tax years may be utilized to offset no more than 80% of the taxable income annually. If we (or the consolidated group of which we are a member) earn taxable income, such limitations could result in increased future income tax liability to us and our future cash flows could be adversely affected.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new 1% U.S. federal excise tax could be imposed on us in connection with redemptions by us of our stock.</w:t>
      </w:r>
    </w:p>
    <w:p>
      <w:pPr>
        <w:spacing w:after="0" w:line="229" w:lineRule="exact"/>
        <w:rPr>
          <w:sz w:val="20"/>
          <w:szCs w:val="20"/>
          <w:color w:val="auto"/>
        </w:rPr>
      </w:pPr>
    </w:p>
    <w:p>
      <w:pPr>
        <w:jc w:val="both"/>
        <w:ind w:left="60" w:right="79" w:firstLine="360"/>
        <w:spacing w:after="0" w:line="263" w:lineRule="auto"/>
        <w:rPr>
          <w:sz w:val="20"/>
          <w:szCs w:val="20"/>
          <w:color w:val="auto"/>
        </w:rPr>
      </w:pPr>
      <w:r>
        <w:rPr>
          <w:rFonts w:ascii="Times New Roman" w:cs="Times New Roman" w:eastAsia="Times New Roman" w:hAnsi="Times New Roman"/>
          <w:sz w:val="18"/>
          <w:szCs w:val="18"/>
          <w:color w:val="auto"/>
        </w:rPr>
        <w:t>The Inflation Reduction Act provides for, among other things, a U.S. federal 1% excise tax on certain repurchases (including certain redemptions) of stock by publicly traded U.S. corporations and certain U.S. subsidiaries of publicly traded non-U.S. corporations (each, a “covered corporation”) that occur after December 31, 2022.</w:t>
      </w:r>
    </w:p>
    <w:p>
      <w:pPr>
        <w:spacing w:after="0" w:line="400" w:lineRule="exact"/>
        <w:rPr>
          <w:sz w:val="20"/>
          <w:szCs w:val="20"/>
          <w:color w:val="auto"/>
        </w:rPr>
      </w:pPr>
    </w:p>
    <w:p>
      <w:pPr>
        <w:jc w:val="both"/>
        <w:ind w:left="60" w:right="79" w:firstLine="360"/>
        <w:spacing w:after="0" w:line="282" w:lineRule="auto"/>
        <w:rPr>
          <w:sz w:val="20"/>
          <w:szCs w:val="20"/>
          <w:color w:val="auto"/>
        </w:rPr>
      </w:pPr>
      <w:r>
        <w:rPr>
          <w:rFonts w:ascii="Times New Roman" w:cs="Times New Roman" w:eastAsia="Times New Roman" w:hAnsi="Times New Roman"/>
          <w:sz w:val="18"/>
          <w:szCs w:val="18"/>
          <w:color w:val="auto"/>
        </w:rPr>
        <w:t>The excise tax is imposed on the repurchasing corporation itself, not its stockholders from which shares are repurchased.</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Because we are a Delaware corporation and our securities trade on Nasdaq, we are a “covered corporation.” Accordingly, any redemptions by us may be subject to the excise tax. However, certain exceptions apply to the excise tax. Whether and to what extent we would be subject to the excise tax on a redemption of our stock would depend on a number of factors. As noted above, the excise tax would be payable by us, and not by the redeeming holder. Any redemptions by us may be subject to the excise tax. Whether and to what extent we would be subject to the excise tax on a redemption of our stock would depend on a number of factors. As noted above, the excise tax would be payable by us, and not by the redeeming holder.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changes in tax rates or in the application of the existing tax laws to us may adversely impact our results of operations.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products.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plans to operate. These contemplated tax initiatives, if finalized and adopted by countries or subnational jurisdictions, and the other tax issues described above may materially and adversely impact our operating activities, effective tax rate, deferred tax assets, operating income, and cash flows.</w:t>
      </w:r>
    </w:p>
    <w:p>
      <w:pPr>
        <w:spacing w:after="0" w:line="200" w:lineRule="exact"/>
        <w:rPr>
          <w:sz w:val="20"/>
          <w:szCs w:val="20"/>
          <w:color w:val="auto"/>
        </w:rPr>
      </w:pPr>
    </w:p>
    <w:p>
      <w:pPr>
        <w:spacing w:after="0" w:line="20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Additionally, the Organization for Economic Cooperation and Development’s (“OECD”) Base Erosion and Profit Shifting (“BEPS”) project has resulted in considerable new reporting obligations worldwide as OECD member countries have implemented its guidance and includes a global minimum tax of 15%. The OECD continues to publish guidance pursuant to the BEPS and other projects which, if adopted by member countries, may increase our tax obligations and affect our tax positions in many of the countries in which we do business. Furthermore, our effective tax rate may also vary significantly from period to period, including due to changes in the relative proportions of revenues and income before taxes in the various jurisdictions in which we operate that have differing statutory tax rates, changes in overall levels of pretax earnings, the future levels of tax benefits of stock-based compensation, and settlement of income tax audits.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Perceptive PIPE Investor has control over key decision making as a result of its control of a majority of the voting power of our outstanding common stock.</w:t>
      </w:r>
    </w:p>
    <w:p>
      <w:pPr>
        <w:spacing w:after="0" w:line="159"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The Perceptive PIPE Investor is able to exercise voting rights with respect to over 66% of the voting power of our common stock. For so long as the Perceptive PIPE Investor continues to beneficially own at least approximately 66% of the issued and outstanding shares of common stock, the Perceptive PIPE Investor will continue to control the outcome of matters submitted to stockholders of the Company for approval. This concentrated control will limit or preclude your ability to influence corporate matters for the foreseeable future.</w:t>
      </w:r>
    </w:p>
    <w:p>
      <w:pPr>
        <w:spacing w:after="0" w:line="183"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common stock and might harm the trading price of our common stock. As a stockholder, even a controlling stockholder, the Perceptive PIPE Investor is entitled to vote its shares in its own interests, which may not always be in the interests of our stockholders generally.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may use our financial resources in ways with which you do not agree and in ways that may not yield a favorable return.</w:t>
      </w:r>
    </w:p>
    <w:p>
      <w:pPr>
        <w:spacing w:after="0" w:line="241"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over the use of our financial resources, including the net proceeds from all of our equity financings. Stockholders may not deem such uses desirable. Our use of our financial resources may vary substantially from our currently planned uses. We cannot assure you that we will apply such proceeds effectively or that we will invest such proceeds in a manner that will yield a favorable return or any return at all.</w:t>
      </w:r>
    </w:p>
    <w:p>
      <w:pPr>
        <w:spacing w:after="0" w:line="176"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within the meaning of the Securities Act and if it takes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8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such, we are eligible for and intends to take advantage of certain exemptions from various reporting requirements applicable to other public companies that are not emerging growth companies for as long as it continues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shares of common stock that are held by non-affiliates exceeds $700 million as of June 30 of that fiscal year, (ii) the last day of the fiscal year in which it has total annual gross revenue of $1.235 billion or more during such fiscal year (as indexed for inflation), (iii) the date on which it has issued more than $1 billion in non-convertible debt in the prior three-year period or (iv) December 31, 2026, which is the last day of the fiscal year following the fifth anniversary of the date of the first sale of ordinary shares in the ARYA initial public offering. We cannot predict whether investors will find our securities less attractive because it will rely on these exemptions. If some investors find our securities less attractive as a result of its reliance on these exemptions, the trading prices of our securities may be lower than they otherwise would be, there may be a less active trading market for our securities and the trading prices of our securities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8"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also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shares of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200" w:lineRule="exact"/>
        <w:rPr>
          <w:sz w:val="20"/>
          <w:szCs w:val="20"/>
          <w:color w:val="auto"/>
        </w:rPr>
      </w:pPr>
    </w:p>
    <w:p>
      <w:pPr>
        <w:spacing w:after="0" w:line="204" w:lineRule="exact"/>
        <w:rPr>
          <w:sz w:val="20"/>
          <w:szCs w:val="20"/>
          <w:color w:val="auto"/>
        </w:rPr>
      </w:pPr>
    </w:p>
    <w:p>
      <w:pPr>
        <w:jc w:val="both"/>
        <w:ind w:left="60" w:right="79" w:firstLine="363"/>
        <w:spacing w:after="0" w:line="254" w:lineRule="auto"/>
        <w:rPr>
          <w:sz w:val="20"/>
          <w:szCs w:val="20"/>
          <w:color w:val="auto"/>
        </w:rPr>
      </w:pPr>
      <w:r>
        <w:rPr>
          <w:rFonts w:ascii="Times New Roman" w:cs="Times New Roman" w:eastAsia="Times New Roman" w:hAnsi="Times New Roman"/>
          <w:sz w:val="18"/>
          <w:szCs w:val="18"/>
          <w:color w:val="auto"/>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expect that we will remain a smaller reporting company until the last day of any fiscal year for so long as either (a) the market value of the common stock held by non-affiliates does not equal or exceed $250 million as of the end of that year’s second quarter, or (b) our annual revenues did not equal or exceed $100 million during such completed fiscal year and the market value of the common stock held by non-affiliates did not equal or exceed $700 million as of the end of that year’s second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regardless of its operating performance.</w:t>
      </w:r>
    </w:p>
    <w:p>
      <w:pPr>
        <w:spacing w:after="0" w:line="229" w:lineRule="exact"/>
        <w:rPr>
          <w:sz w:val="20"/>
          <w:szCs w:val="20"/>
          <w:color w:val="auto"/>
        </w:rPr>
      </w:pPr>
    </w:p>
    <w:p>
      <w:pPr>
        <w:jc w:val="both"/>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numerous factors and may continue to fluctuate for these and other reasons, many of which are beyond our control, including, but not limited to:</w:t>
      </w: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results of operations;</w:t>
      </w:r>
    </w:p>
    <w:p>
      <w:pPr>
        <w:spacing w:after="0" w:line="9"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projections we may provide to the public in the future, any changes in these projections or its failure to meet these projections;</w:t>
      </w:r>
    </w:p>
    <w:p>
      <w:pPr>
        <w:ind w:left="720" w:right="219" w:hanging="319"/>
        <w:spacing w:after="0" w:line="27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and maintain our coverage, changes in financial estimates or ratings by any securities analysts who follow us or its failure to meet these estimates or the expectations of investors;</w:t>
      </w:r>
    </w:p>
    <w:p>
      <w:pPr>
        <w:spacing w:after="0" w:line="194" w:lineRule="exact"/>
        <w:rPr>
          <w:rFonts w:ascii="Times New Roman" w:cs="Times New Roman" w:eastAsia="Times New Roman" w:hAnsi="Times New Roman"/>
          <w:sz w:val="18"/>
          <w:szCs w:val="18"/>
          <w:color w:val="auto"/>
        </w:rPr>
      </w:pPr>
    </w:p>
    <w:p>
      <w:pPr>
        <w:ind w:left="720" w:right="779" w:hanging="319"/>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results of operations or capital commitments;</w:t>
      </w:r>
    </w:p>
    <w:p>
      <w:pPr>
        <w:ind w:left="720" w:right="119" w:hanging="319"/>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life sciences companies generally, or those in the biotechnology industry in particular;</w:t>
      </w:r>
    </w:p>
    <w:p>
      <w:pPr>
        <w:ind w:left="720" w:right="99" w:hanging="319"/>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removal of our common stock from any indices;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Board or management;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common stock by directors, officers, affiliates and other major investors;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22" w:lineRule="exact"/>
        <w:rPr>
          <w:rFonts w:ascii="Times New Roman" w:cs="Times New Roman" w:eastAsia="Times New Roman" w:hAnsi="Times New Roman"/>
          <w:sz w:val="18"/>
          <w:szCs w:val="18"/>
          <w:color w:val="auto"/>
        </w:rPr>
      </w:pPr>
    </w:p>
    <w:p>
      <w:pPr>
        <w:ind w:left="720" w:right="1579" w:hanging="319"/>
        <w:spacing w:after="0" w:line="26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other markets in which we operate; pandemics or other public health crises, including, but not limited to;</w:t>
      </w:r>
    </w:p>
    <w:p>
      <w:pPr>
        <w:ind w:left="720" w:right="559" w:hanging="319"/>
        <w:spacing w:after="0" w:line="250"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 and</w:t>
      </w: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34" w:lineRule="exact"/>
        <w:rPr>
          <w:sz w:val="20"/>
          <w:szCs w:val="20"/>
          <w:color w:val="auto"/>
        </w:rPr>
      </w:pPr>
    </w:p>
    <w:p>
      <w:pPr>
        <w:jc w:val="both"/>
        <w:ind w:left="60" w:right="59" w:firstLine="360"/>
        <w:spacing w:after="0" w:line="257" w:lineRule="auto"/>
        <w:rPr>
          <w:sz w:val="20"/>
          <w:szCs w:val="20"/>
          <w:color w:val="auto"/>
        </w:rPr>
      </w:pPr>
      <w:r>
        <w:rPr>
          <w:rFonts w:ascii="Times New Roman" w:cs="Times New Roman" w:eastAsia="Times New Roman" w:hAnsi="Times New Roman"/>
          <w:sz w:val="18"/>
          <w:szCs w:val="18"/>
          <w:color w:val="auto"/>
        </w:rPr>
        <w:t>The stock market has recently experienced extreme price and volume fluctuations. The market prices of securities of companies have experienced fluctuations that often have been unrelated or disproportionate to their operating results.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the listing of our securities on Nasdaq in the future.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However, we cannot guarantee that our securities will continue to be listed on Nasdaq. If we fail to meet the requirements of the applicable listing rules, such failure may result in a suspension of the trading of our shares or delisting in the future.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minimum share price requirement or prevent future non-compliance with the listing requirements.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 but not limited to:</w:t>
      </w:r>
    </w:p>
    <w:p>
      <w:pPr>
        <w:spacing w:after="0" w:line="200" w:lineRule="exact"/>
        <w:rPr>
          <w:sz w:val="20"/>
          <w:szCs w:val="20"/>
          <w:color w:val="auto"/>
        </w:rPr>
      </w:pPr>
    </w:p>
    <w:p>
      <w:pPr>
        <w:spacing w:after="0" w:line="208"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Company;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“ADGM”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common stock in the public market, the trading price of the common stock could decline. All the shares of common stock subject to stock options outstanding and reserved for issuance under its equity incentive plans are expected to be registered on Form S-8 under the Securities Act and such shares are eligible for sale in the public markets, subject to Rule 144 under the Securities Act limitations applicable to affiliates. If these additional shares are sold, or if it is perceived that they will be sold in the public market, the trading price of the common stock could decline.</w:t>
      </w:r>
    </w:p>
    <w:p>
      <w:pPr>
        <w:spacing w:after="0" w:line="187" w:lineRule="exact"/>
        <w:rPr>
          <w:sz w:val="20"/>
          <w:szCs w:val="20"/>
          <w:color w:val="auto"/>
        </w:rPr>
      </w:pPr>
    </w:p>
    <w:p>
      <w:pPr>
        <w:jc w:val="both"/>
        <w:ind w:left="60" w:right="79" w:firstLine="360"/>
        <w:spacing w:after="0" w:line="258" w:lineRule="auto"/>
        <w:rPr>
          <w:sz w:val="20"/>
          <w:szCs w:val="20"/>
          <w:color w:val="auto"/>
        </w:rPr>
      </w:pPr>
      <w:r>
        <w:rPr>
          <w:rFonts w:ascii="Times New Roman" w:cs="Times New Roman" w:eastAsia="Times New Roman" w:hAnsi="Times New Roman"/>
          <w:sz w:val="18"/>
          <w:szCs w:val="18"/>
          <w:color w:val="auto"/>
        </w:rPr>
        <w:t>Although the ARYA Sponsor (as defined herein) and certain selling stockholders will be subject to restrictions regarding the transfer of shares of common stock held by them, as described elsewhere in this Annual Report, these shares may be sold after the expiration of their respective lock-ups. As restrictions on resale end and the registration statements for the resale of our securities are available for use, the market price of common stock could decline if the holders of currently restricted shares sell them or are perceived by the market as intending to sell them.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your approval, which would dilute your ownership interests and may depress the market price of the common stock.</w:t>
      </w:r>
    </w:p>
    <w:p>
      <w:pPr>
        <w:spacing w:after="0" w:line="159"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We will have the ability to initially issue such shares of common stock pursuant to our equity incentive plans and employee stock purchase plan. We may also issue additional shares of common stock or other equity securities of equal or senior rank in the future in connection with, among other things, future acquisitions or repayment of outstanding indebtedness, without stockholder approval, in a number of circumstances.</w:t>
      </w:r>
    </w:p>
    <w:p>
      <w:pPr>
        <w:spacing w:after="0" w:line="180" w:lineRule="exact"/>
        <w:rPr>
          <w:sz w:val="20"/>
          <w:szCs w:val="20"/>
          <w:color w:val="auto"/>
        </w:rPr>
      </w:pPr>
    </w:p>
    <w:p>
      <w:pPr>
        <w:ind w:left="60" w:right="559" w:firstLine="360"/>
        <w:spacing w:after="0" w:line="282" w:lineRule="auto"/>
        <w:rPr>
          <w:sz w:val="20"/>
          <w:szCs w:val="20"/>
          <w:color w:val="auto"/>
        </w:rPr>
      </w:pPr>
      <w:r>
        <w:rPr>
          <w:rFonts w:ascii="Times New Roman" w:cs="Times New Roman" w:eastAsia="Times New Roman" w:hAnsi="Times New Roman"/>
          <w:sz w:val="18"/>
          <w:szCs w:val="18"/>
          <w:color w:val="auto"/>
        </w:rPr>
        <w:t>Our issuance of additional shares of common stock or other equity securities of equal or senior rank could, without limitation, have the following effects:</w:t>
      </w:r>
    </w:p>
    <w:p>
      <w:pPr>
        <w:spacing w:after="0" w:line="162"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stockholders’ proportionate ownership interest in us will decrease;</w:t>
      </w:r>
    </w:p>
    <w:p>
      <w:pPr>
        <w:spacing w:after="0" w:line="27" w:lineRule="exact"/>
        <w:rPr>
          <w:rFonts w:ascii="Times New Roman" w:cs="Times New Roman" w:eastAsia="Times New Roman" w:hAnsi="Times New Roman"/>
          <w:sz w:val="18"/>
          <w:szCs w:val="18"/>
          <w:color w:val="auto"/>
        </w:rPr>
      </w:pPr>
    </w:p>
    <w:p>
      <w:pPr>
        <w:ind w:left="720" w:right="639" w:hanging="319"/>
        <w:spacing w:after="0" w:line="258"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(if any) in the future, may decrease;</w:t>
      </w: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may be diminished;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shares of common stock may decline.</w:t>
      </w:r>
    </w:p>
    <w:p>
      <w:pPr>
        <w:spacing w:after="0" w:line="230"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its market, or if they change their recommendations regarding common stock adversely, the trading price or trading volume of the common stock could decline.</w:t>
      </w:r>
    </w:p>
    <w:p>
      <w:pPr>
        <w:spacing w:after="0" w:line="17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The trading market for common stock is influenced in part by the research and reports that securities or industry analysts may publish about us, our business, market, or competitors. If one or more of the analysts initiate research with an unfavorable rating or downgrade the common stock, provide a more favorable recommendation about our competitors, or publish inaccurate or unfavorable research about its business, the trading price of the common stock would likely decline. In addition, we currently expect that securities research analysts will establish and publish their own periodic projections for its business. These projections may vary widely and may not accurately predict the results we actually achieve. Our stock price may decline if the actual results do not match the projections of these securities research analysts. While we expect research analyst coverage, if no analysts commence coverage, the trading price and volume for the common stock could be adversely affected. If any analyst who may cover us were to cease coverage of us or fail to regularly publish reports on us, we could lose visibility in the financial markets, which in turn could cause the trading price or trading volume of common stock to decline.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and Bylaws could make a merger, tender offer, or proxy contest difficult, thereby depressing the trading price of its common stock.</w:t>
      </w:r>
    </w:p>
    <w:p>
      <w:pPr>
        <w:spacing w:after="0" w:line="159" w:lineRule="exact"/>
        <w:rPr>
          <w:sz w:val="20"/>
          <w:szCs w:val="20"/>
          <w:color w:val="auto"/>
        </w:rPr>
      </w:pPr>
    </w:p>
    <w:p>
      <w:pPr>
        <w:ind w:left="60" w:right="339" w:firstLine="360"/>
        <w:spacing w:after="0" w:line="266" w:lineRule="auto"/>
        <w:rPr>
          <w:sz w:val="20"/>
          <w:szCs w:val="20"/>
          <w:color w:val="auto"/>
        </w:rPr>
      </w:pPr>
      <w:r>
        <w:rPr>
          <w:rFonts w:ascii="Times New Roman" w:cs="Times New Roman" w:eastAsia="Times New Roman" w:hAnsi="Times New Roman"/>
          <w:sz w:val="18"/>
          <w:szCs w:val="18"/>
          <w:color w:val="auto"/>
        </w:rPr>
        <w:t>Our Charter and Bylaws contain provisions that could depress the trading price of common stock by acting to discourage, delay, or prevent a change of control of us or changes in our management that our stockholders may deem advantageous.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provisions include, without limitation, the following:</w:t>
      </w:r>
    </w:p>
    <w:p>
      <w:pPr>
        <w:spacing w:after="0" w:line="225"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so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720" w:right="839" w:hanging="319"/>
        <w:spacing w:after="0" w:line="258"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establish the number of directors and fill any vacancies and newly created directorships;</w:t>
      </w:r>
    </w:p>
    <w:p>
      <w:pPr>
        <w:ind w:left="720" w:right="99" w:hanging="319"/>
        <w:spacing w:after="0" w:line="27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removal by stockholders solely for cause and with the affirmative vote of at least two-thirds (2/3) of the voting power of our then-outstanding shares of capital stock entitled to vote generally in the election of directors;</w:t>
      </w:r>
    </w:p>
    <w:p>
      <w:pPr>
        <w:spacing w:after="0" w:line="1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“blank check” preferred stock that the Board could use to implement a stockholder rights plan;</w:t>
      </w:r>
    </w:p>
    <w:p>
      <w:pPr>
        <w:spacing w:after="0" w:line="22"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issue our authorized but unissued common stock and preferred stock without stockholder approval;</w:t>
      </w: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ability of our stockholders to call special meetings of stockholders;</w:t>
      </w:r>
    </w:p>
    <w:p>
      <w:pPr>
        <w:spacing w:after="0" w:line="22"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of our stockholders to act by written consent, which requires all stockholder actions to be taken at a meeting of our stockholders;</w:t>
      </w: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liability of and the provision of indemnification to, our director and officers;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make, alter, or repeal the Bylaws; and</w:t>
      </w:r>
    </w:p>
    <w:p>
      <w:pPr>
        <w:spacing w:after="0" w:line="22" w:lineRule="exact"/>
        <w:rPr>
          <w:rFonts w:ascii="Times New Roman" w:cs="Times New Roman" w:eastAsia="Times New Roman" w:hAnsi="Times New Roman"/>
          <w:sz w:val="18"/>
          <w:szCs w:val="18"/>
          <w:color w:val="auto"/>
        </w:rPr>
      </w:pPr>
    </w:p>
    <w:p>
      <w:pPr>
        <w:ind w:left="720" w:right="259" w:hanging="319"/>
        <w:spacing w:after="0" w:line="27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for election to the Board or for proposing matters that can be acted upon by stockholders at annual stockholder meetings.</w:t>
      </w:r>
    </w:p>
    <w:p>
      <w:pPr>
        <w:spacing w:after="0" w:line="181"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Any provision of our Charter or Bylaws that has the effect of delaying or deterring a change in control could limit the opportunity for our stockholders to receive a premium for their shares of common stock and could also affect the price that some investors are willing to pay for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left="60" w:right="59" w:firstLine="360"/>
        <w:spacing w:after="0" w:line="251"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Charter or Bylaws or any action asserting a claim against us that is governed by the internal affairs doctrine. These choice of forum provisions may limit a stockholder’s ability to bring a claim in a judicial forum that it finds favorable for disputes with us or our directors, officers or other employees and may discourage these types of lawsuits. This provision would not apply to claims brought to enforce a duty or liability created by the Exchange Act or any other claim for which the federal courts have exclusive jurisdiction. Our Charter provides further that, to the fullest extent permitted by law, the federal district courts of the United States will be the exclusive forum for resolving any complaint asserting a cause of action arising under the Securities Act. However, Section 22 of the Securities Act provides that federal and state courts have concurrent jurisdiction over lawsuits brought under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exclusive-forum provision contained in our Charter to be inapplicable or unenforceable in an action, we may incur additional costs associated with resolving such action in other jurisdictions, which could harm its business.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left="60" w:right="59" w:firstLine="360"/>
        <w:spacing w:after="0" w:line="257"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its business and we do not expect to declare or pay any dividends in the foreseeable future. Moreover, the terms of any revolving credit facility into which we or any of our subsidiaries enter may restrict our ability to pay dividends and any additional debt we or any of our subsidiaries may incur in the future may include similar restrictions. As a result, stockholders must rely on sales of their common stock after price appreciation as the only way to realize any future gains on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obligations as a result of being a public company.</w:t>
      </w:r>
    </w:p>
    <w:p>
      <w:pPr>
        <w:spacing w:after="0" w:line="24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a publicly traded company, we will incur significant legal, accounting and other expenses that we were not required to incur in the recent past, particularly after we are no longer an “emerging growth company” as defined under the JOBS Act. In addition, new and changing laws, regulations and standards relating to corporate governance and public disclosure, including the Dodd Frank Wall Street Reform and Consumer Protection Act and the rules and regulations promulgated and to be promulgated thereunder, as well as under the Sarbanes-Oxley Act, the JOBS Act and the rules and regulations of the SEC and national securities exchanges have created uncertainty for public companies and increased the costs and the time that the Board and management must devote to complying with these rules and regulations. We expect these rules and regulations to increase our legal and financial compliance costs and lead to a diversion of management time and attention from revenue generating activities.</w:t>
      </w:r>
    </w:p>
    <w:p>
      <w:pPr>
        <w:spacing w:after="0" w:line="202" w:lineRule="exact"/>
        <w:rPr>
          <w:sz w:val="20"/>
          <w:szCs w:val="20"/>
          <w:color w:val="auto"/>
        </w:rPr>
      </w:pPr>
    </w:p>
    <w:p>
      <w:pPr>
        <w:jc w:val="both"/>
        <w:ind w:left="60" w:right="59" w:firstLine="360"/>
        <w:spacing w:after="0" w:line="257" w:lineRule="auto"/>
        <w:rPr>
          <w:sz w:val="20"/>
          <w:szCs w:val="20"/>
          <w:color w:val="auto"/>
        </w:rPr>
      </w:pPr>
      <w:r>
        <w:rPr>
          <w:rFonts w:ascii="Times New Roman" w:cs="Times New Roman" w:eastAsia="Times New Roman" w:hAnsi="Times New Roman"/>
          <w:sz w:val="18"/>
          <w:szCs w:val="18"/>
          <w:color w:val="auto"/>
        </w:rPr>
        <w:t>Furthermore, the need to establish the corporate infrastructure demanded of a public company may divert management’s attention from implementing our growth strategy, which could prevent us from improving our business, results of operations and financial condition. We have made and will continue to make, changes to our internal controls and procedures for financial reporting and accounting systems to meet our reporting obligations as a publicly traded company. However, the measures we take may not be sufficient to satisfy our obligations as a publicly traded company.</w:t>
      </w:r>
    </w:p>
    <w:p>
      <w:pPr>
        <w:spacing w:after="0" w:line="400" w:lineRule="exact"/>
        <w:rPr>
          <w:sz w:val="20"/>
          <w:szCs w:val="20"/>
          <w:color w:val="auto"/>
        </w:rPr>
      </w:pPr>
    </w:p>
    <w:p>
      <w:pPr>
        <w:ind w:left="60" w:right="25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58"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any rules promulgated thereunder, as well as the rules of the national stock exchange under which the Company’s shares are listed. The requirements of these rules and regulations increase our legal and financial compliance costs, make some activities more difficult, time-consuming or costly and increase demand on our systems and resources.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and, as a result, management’s attention may be diverted from other business concerns. These rules and regulations can also make it more difficult for us to attract and retain qualified independent members of the Board.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could have a material adverse effect on our operations,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and effective internal control over financial reporting, as a public company, our ability to produce accurate and timely financial statements could be impaired, investors may lose confidence in our financial reporting and the trading price of the common stock may decline.</w:t>
      </w:r>
    </w:p>
    <w:p>
      <w:pPr>
        <w:spacing w:after="0" w:line="17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Pursuant to Section 404 of the Sarbanes-Oxley Act, the report by management on internal control over financial reporting will be on our financial reporting and internal controls (as accounting acquirer) and, when we are no longer an emerging growth company, an attestation of the independent registered public accounting firm may also be required. The rules governing the standards that must be met for management to assess internal control over financial reporting are complex and require significant documentation, testing and possible remediation. We have not historically had to comply with all of these rules and to comply with the Sarbanes-Oxley Act, the requirements of being a reporting company under the Exchange Act and any complex accounting rules in the future, we may need to upgrade our legacy information technology systems, implement additional financial and management controls, reporting systems and procedures and hire additional accounting and finance staff.</w:t>
      </w:r>
    </w:p>
    <w:p>
      <w:pPr>
        <w:spacing w:after="0" w:line="188" w:lineRule="exact"/>
        <w:rPr>
          <w:sz w:val="20"/>
          <w:szCs w:val="20"/>
          <w:color w:val="auto"/>
        </w:rPr>
      </w:pPr>
    </w:p>
    <w:p>
      <w:pPr>
        <w:jc w:val="both"/>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If we are unable to hire the additional accounting and finance staff necessary to comply with these requirements, we may need to retain additional outside consultants. If we or, if required, our independent registered public accounting firm, are unable to conclude that our internal controls over financial reporting are effective, investors may lose confidence in our financial reporting, which could negatively impact the price of our securities.</w:t>
      </w:r>
    </w:p>
    <w:p>
      <w:pPr>
        <w:spacing w:after="0" w:line="176" w:lineRule="exact"/>
        <w:rPr>
          <w:sz w:val="20"/>
          <w:szCs w:val="20"/>
          <w:color w:val="auto"/>
        </w:rPr>
      </w:pPr>
    </w:p>
    <w:p>
      <w:pPr>
        <w:ind w:left="60" w:right="1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controls over financial reporting. If we are unable to remediate these material weaknesses, if management identifies additional material weaknesses in the future or if we otherwise fail to maintain effective internal controls over financial reporting, we may not be able to accurately or timely report our financial position or results of operations, which may adversely affect our business and stock price or cause our access to the capital markets to be impaired.</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controls over financial reporting. A material weakness is a deficiency, or combination of deficiencies, in internal controls over financial reporting such that there is a reasonable possibility that a material misstatement of our annual or interim financial statements will not be prevented or detected on a timely basis. The Company’s management identified a material weakness related to the inadequate design and operation of management’s review controls over valuation reports prepared by third-party specialists in conjunction with the accounting for certain debt and equity instruments, resulting in the conclusion that the Company’s internal control over financial reporting and the Company’s disclosure controls and procedures were not effective as of December 31, 2023, and in a material misstatement to our financial statements. Accordingly, we determined that these control deficiencies constitute material weaknesses.</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in the early stages of designing and implementing a plan to remediate the material weaknesses identified. Our plan for remediation includes: 1) additional review of third-party valuation reports utilized in the accounting for certain debt and equity instruments; 2) additional review of the manual journal entries based on externally generated reports and agreements with regard to accounting issues in certain debt and equity instruments; and 3) enhanced oversight controls on the work performed by third-party specialists. 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If the steps we take do not remediate the material weaknesses in a timely manner, there could be a reasonable possibility that these control deficiencies or others may result in another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and our independent registered public accounting firm were not required to perform an evaluation of our internal control over financial reporting as of December 31, 2024 and December 31, 2023,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products and services to new and existing customers.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However, if we identify future deficiencies in our internal control over financial reporting or if we are unable to comply with the demands that are placed upon us as a public company, including the requirements of Section 404 of the Sarbanes-Oxley Act, in a timely or effective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also become inadequate because of poor design or changes in our business, including increased complexity resulting from any international expansion,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securities or class action litigation, which is expensive and could divert management’s attention.</w:t>
      </w:r>
    </w:p>
    <w:p>
      <w:pPr>
        <w:spacing w:after="0" w:line="241"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spacing w:after="0" w:line="183"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the market price of our common stock could decline.</w:t>
      </w:r>
    </w:p>
    <w:p>
      <w:pPr>
        <w:spacing w:after="0" w:line="159"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and our business. If regular publication of research reports ceases, we could lose visibility in the financial markets, which in turn could cause the market price or trading volume of our common stock to decline. Moreover, if one or more of the analysts who cover us downgrade our common stock or if reporting results do not meet their expectations,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how such laws or regulations are interpreted or applied, or a failure to comply with any laws or regulations, may adversely affect our business and results of operations.</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A failure to comply with applicable laws or regulations, as interpreted and applied, could have a material adverse effect on our business and results of operations. In addition, those laws and regulations and their interpretation and application may change from time to time, including as a result of changes in economic, political, social and government policies and those changes could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 xml:space="preserve">Our Information and Technology service providers manages the Company’s security program, which is focused on assessing, identifying, and managing cyber risk and information security threats. We evaluate cybersecurity on an ongoing basis, and it is a risk monitored through our overall enterprise risk management program, including by the executive leadership and Board, described below under </w:t>
      </w:r>
      <w:r>
        <w:rPr>
          <w:rFonts w:ascii="Times New Roman" w:cs="Times New Roman" w:eastAsia="Times New Roman" w:hAnsi="Times New Roman"/>
          <w:sz w:val="18"/>
          <w:szCs w:val="18"/>
          <w:i w:val="1"/>
          <w:iCs w:val="1"/>
          <w:color w:val="auto"/>
        </w:rPr>
        <w:t>“Governance.”</w:t>
      </w:r>
    </w:p>
    <w:p>
      <w:pPr>
        <w:spacing w:after="0" w:line="180"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To proactively manage cybersecurity risk in our organization, our management team has instituted a security policy that is available to all employees.</w:t>
      </w:r>
    </w:p>
    <w:p>
      <w:pPr>
        <w:spacing w:after="0" w:line="162" w:lineRule="exact"/>
        <w:rPr>
          <w:sz w:val="20"/>
          <w:szCs w:val="20"/>
          <w:color w:val="auto"/>
        </w:rPr>
      </w:pPr>
    </w:p>
    <w:p>
      <w:pPr>
        <w:jc w:val="both"/>
        <w:ind w:left="60" w:right="59" w:firstLine="486"/>
        <w:spacing w:after="0" w:line="256" w:lineRule="auto"/>
        <w:rPr>
          <w:sz w:val="20"/>
          <w:szCs w:val="20"/>
          <w:color w:val="auto"/>
        </w:rPr>
      </w:pPr>
      <w:r>
        <w:rPr>
          <w:rFonts w:ascii="Times New Roman" w:cs="Times New Roman" w:eastAsia="Times New Roman" w:hAnsi="Times New Roman"/>
          <w:sz w:val="18"/>
          <w:szCs w:val="18"/>
          <w:color w:val="auto"/>
        </w:rPr>
        <w:t>To proactively identify, mitigate, and prepare for potential cybersecurity incidents, we maintain both a business continuity plan and cyber incident response plan. We recognize that we are exposed to cybersecurity threats associated with our use of third-party service providers. To minimize the risk and vulnerabilities to our own systems stemming from such use, our Information Technology providers identifies and addresses known cybersecurity risks on a continuous basis. In addition, we strive to minimize cybersecurity risks when we first select or renew a vendor by including cybersecurity risk as part of our overall vendor evaluation and due diligence process.</w:t>
      </w:r>
    </w:p>
    <w:p>
      <w:pPr>
        <w:spacing w:after="0" w:line="187" w:lineRule="exact"/>
        <w:rPr>
          <w:sz w:val="20"/>
          <w:szCs w:val="20"/>
          <w:color w:val="auto"/>
        </w:rPr>
      </w:pPr>
    </w:p>
    <w:p>
      <w:pPr>
        <w:jc w:val="both"/>
        <w:ind w:left="60" w:right="59" w:firstLine="486"/>
        <w:spacing w:after="0" w:line="266" w:lineRule="auto"/>
        <w:rPr>
          <w:sz w:val="20"/>
          <w:szCs w:val="20"/>
          <w:color w:val="auto"/>
        </w:rPr>
      </w:pPr>
      <w:r>
        <w:rPr>
          <w:rFonts w:ascii="Times New Roman" w:cs="Times New Roman" w:eastAsia="Times New Roman" w:hAnsi="Times New Roman"/>
          <w:sz w:val="18"/>
          <w:szCs w:val="18"/>
          <w:color w:val="auto"/>
        </w:rPr>
        <w:t xml:space="preserve">To date, our business strategy, results of operations, and financial condition have not been materially affected by risks from cybersecurity threats, but we cannot provide assurance that they will not be materially affected in the future. For more information on our cybersecurity-related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this Annual Report.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left="60" w:right="59" w:firstLine="405"/>
        <w:spacing w:after="0" w:line="258" w:lineRule="auto"/>
        <w:rPr>
          <w:sz w:val="20"/>
          <w:szCs w:val="20"/>
          <w:color w:val="auto"/>
        </w:rPr>
      </w:pPr>
      <w:r>
        <w:rPr>
          <w:rFonts w:ascii="Times New Roman" w:cs="Times New Roman" w:eastAsia="Times New Roman" w:hAnsi="Times New Roman"/>
          <w:sz w:val="18"/>
          <w:szCs w:val="18"/>
          <w:color w:val="auto"/>
        </w:rPr>
        <w:t>Our Board of Directors and our Audit Committee oversee our enterprise-wide risk management, including with respect to cybersecurity. Our Chief Executive Officer or Chief Financial Officer presents information on our enterprise-wide risks to the Board of Directors at each of its regularly scheduled meetings. Our CEO and CFO have extensive experience managing risks at our company and at similar companies in the past, including risks arising from cybersecurity threats.</w:t>
      </w:r>
    </w:p>
    <w:p>
      <w:pPr>
        <w:spacing w:after="0" w:line="179"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left="60" w:right="79" w:firstLine="446"/>
        <w:spacing w:after="0" w:line="266" w:lineRule="auto"/>
        <w:rPr>
          <w:sz w:val="20"/>
          <w:szCs w:val="20"/>
          <w:color w:val="auto"/>
        </w:rPr>
      </w:pPr>
      <w:r>
        <w:rPr>
          <w:rFonts w:ascii="Times New Roman" w:cs="Times New Roman" w:eastAsia="Times New Roman" w:hAnsi="Times New Roman"/>
          <w:sz w:val="18"/>
          <w:szCs w:val="18"/>
          <w:color w:val="auto"/>
        </w:rPr>
        <w:t>Our corporate headquarters and manufacturing, storage and distribution centers for our catheters and consoles are located at Laguna Hills, California. We lease approximately 14,600 square feet, which includes clean room space, under an operating lease that expires in January 2030.</w:t>
      </w:r>
    </w:p>
    <w:p>
      <w:pPr>
        <w:spacing w:after="0" w:line="176" w:lineRule="exact"/>
        <w:rPr>
          <w:sz w:val="20"/>
          <w:szCs w:val="20"/>
          <w:color w:val="auto"/>
        </w:rPr>
      </w:pPr>
    </w:p>
    <w:p>
      <w:pPr>
        <w:jc w:val="both"/>
        <w:ind w:left="60" w:right="59" w:firstLine="446"/>
        <w:spacing w:after="0" w:line="282" w:lineRule="auto"/>
        <w:rPr>
          <w:sz w:val="20"/>
          <w:szCs w:val="20"/>
          <w:color w:val="auto"/>
        </w:rPr>
      </w:pPr>
      <w:r>
        <w:rPr>
          <w:rFonts w:ascii="Times New Roman" w:cs="Times New Roman" w:eastAsia="Times New Roman" w:hAnsi="Times New Roman"/>
          <w:sz w:val="18"/>
          <w:szCs w:val="18"/>
          <w:color w:val="auto"/>
        </w:rPr>
        <w:t>We also maintain offices in Holzkirchen, Germany, which are used for general administrative purposes and as a distribution center for our European operation.</w:t>
      </w:r>
    </w:p>
    <w:p>
      <w:pPr>
        <w:spacing w:after="0" w:line="162" w:lineRule="exact"/>
        <w:rPr>
          <w:sz w:val="20"/>
          <w:szCs w:val="20"/>
          <w:color w:val="auto"/>
        </w:rPr>
      </w:pPr>
    </w:p>
    <w:p>
      <w:pPr>
        <w:jc w:val="both"/>
        <w:ind w:left="60" w:right="59" w:firstLine="446"/>
        <w:spacing w:after="0" w:line="282" w:lineRule="auto"/>
        <w:rPr>
          <w:sz w:val="20"/>
          <w:szCs w:val="20"/>
          <w:color w:val="auto"/>
        </w:rPr>
      </w:pPr>
      <w:r>
        <w:rPr>
          <w:rFonts w:ascii="Times New Roman" w:cs="Times New Roman" w:eastAsia="Times New Roman" w:hAnsi="Times New Roman"/>
          <w:sz w:val="18"/>
          <w:szCs w:val="18"/>
          <w:color w:val="auto"/>
        </w:rPr>
        <w:t>We do not own any real property and believe that our current facilities are sufficient to support our operations and growth plans and that, additional space, if needed, will be available on commercially reasonably terms.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common stock trades on the Nasdaq under the symbol “ADGM”.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March 21, 2025, there were approximately 62 holders of record of our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Any determination to pay dividends in the future will be at the discretion of our Board and will depend on our financial condition, operating results, capital requirements and general business conditions and other factors that our Board may deem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to be filed with the SEC within 120 days of the fiscal year ended December 31, 2024,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consolidated financial statements as of and for the years ended December 31, 2023 and 2024, together with the related notes and other financial information included elsewhere in this Annual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“Item 1A. Risk Factors” in this report.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 medical device company focused on developing and commercializing products for the treatment of cardiac arrhythmias with our novel, proprietary, catheter-based UTLC technology. Our initial focus is on the treatment of VT. VT is a rapid, abnormal heart rhythm, or arrhythmia, that originates in the heart's lower chambers, or ventricles, potentially leading to blood flow issues and, if sustained, VT can be fatal. VT is strongly associated with coronary artery disease, with an estimated 15% of patients with coronary artery disease found to have VT, and SCD caused by VT account for approximately half of the deaths related to cardiac causes. RF ablation catheters currently used to treat VT were primarily designed and approved for the treatment of AF and are therefore not designed to optimally treat the specifics of the ventricular anatomy and disease. As a result, VT procedures performed with current devices can be overly complex, with sub-optimal outcomes, potentially leading to limited growth in the market for VT ablations.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clinically tested ULTC products are purpose-built to treat patients with VT. Our highly differentiated catheters are designed for large, durable, deep lesions within the ventricle through an endocardial approach. Our ULTC approach is built on the hypothesis that large and durable lesions extending through the depth of both diseased and healthy muscular tissue of the ventricle of the heart (ventricular myocardium) is a foundation for improving the effectiveness of VT ablations and patient outcomes.</w:t>
      </w:r>
    </w:p>
    <w:p>
      <w:pPr>
        <w:spacing w:after="0" w:line="183" w:lineRule="exact"/>
        <w:rPr>
          <w:sz w:val="20"/>
          <w:szCs w:val="20"/>
          <w:color w:val="auto"/>
        </w:rPr>
      </w:pPr>
    </w:p>
    <w:p>
      <w:pPr>
        <w:jc w:val="both"/>
        <w:ind w:left="60" w:right="79" w:firstLine="369"/>
        <w:spacing w:after="0" w:line="282" w:lineRule="auto"/>
        <w:rPr>
          <w:sz w:val="20"/>
          <w:szCs w:val="20"/>
          <w:color w:val="auto"/>
        </w:rPr>
      </w:pPr>
      <w:r>
        <w:rPr>
          <w:rFonts w:ascii="Times New Roman" w:cs="Times New Roman" w:eastAsia="Times New Roman" w:hAnsi="Times New Roman"/>
          <w:sz w:val="18"/>
          <w:szCs w:val="18"/>
          <w:color w:val="auto"/>
        </w:rPr>
        <w:t>We believe that our purpose-built solution has the potential to drive additional market growth in ablative treatment of the large, underserved VT patient population.</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energy. Our first-in-human CRYOCURE-VT trial included 64 patients in nine centers in the E.U. and Canada. The outcomes of this trial, which were used to support CE Mark approval, include a 0% rate of major adverse events, 94% acute procedural success, 60% freedom from sustained VT and 81% freedom from implantable cardioverter defibrillator shock at six months. Our VT Cryoablation System has obtained European CE Mark approval. In the U.S., our 206-patient FULCRUM-VT IDE pivotal clinical trial is currently enrolling patients across twenty (20) centers in the U.S. and Canada. Upon completion, which we anticipate in the second half of 2025, we expect to submit the results of this trial to support FDA approval of our VT Cryoablation System.</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also developed a technology that utilizes ULTC in combination with Pulsed Field Ablation, which we call Pulsed Field Cryoablation. Early demonstration of PFCA technology has been performed in the European PARALELL trial in patients with persistent atrial fibrillation and in preclinical studies targeting VT ablations.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not launched commercially in the U.S. but are working towards obtaining the necessary regulatory approvals to do so. We have incurred net losses in each year since our inception in 2011. As of December 31, 2024 and December 31, 2023, we had an accumulated deficit of $70.6 million and $133.6 million, respectively. Our net loss was $(53.8) million for the period from July 31, 2024 to December 31, 2024 (Successor), $(21.3) million for the period from January 1, 2024 to July 30, 2024 (Predecessor), and $(36.6) million for the year ended December 31, 2023 (Predecessor), respectively. The net cash used in operating activities was $13.5 million, $16.0 million, and $25.7 million, respectively. Substantially all of our net losses resulted from costs incurred in connection with our research and development programs and from general and administrative costs associated with our operations. As of December 31, 2024 and December 31, 2023, we had cash of $20.6 million and $1.4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a basis that assumes we will continue as a going concern, which contemplate the realization of assets and liabilities in the normal course of business. We have limited revenue and have experienced recurring operating losses and negative cash flows from operations since our inception and anticipate that we will continue to do so for at least the next several years. These factors raise substantial doubt about the ability to continue as a going concern for the twelve-month period from the date the consolidated financial statements were made available. Additionally, management believes our current cash and cash equivalents are not sufficient to fund operations for at least the next 12 months from the issuance date of the consolidated financial statements and therefore there is substantial doubt about our ability to continue as a going concern. See </w:t>
      </w:r>
      <w:r>
        <w:rPr>
          <w:rFonts w:ascii="Times New Roman" w:cs="Times New Roman" w:eastAsia="Times New Roman" w:hAnsi="Times New Roman"/>
          <w:sz w:val="18"/>
          <w:szCs w:val="18"/>
          <w:i w:val="1"/>
          <w:iCs w:val="1"/>
          <w:color w:val="auto"/>
        </w:rPr>
        <w:t>Note 1-Organization and 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in our consolidated financial statements for additional information on the going concern assessment.</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need for additional capital will depend in part on the scope and costs of our development activities. To date, we have not generated any significant revenue from the sale of commercialized products. Our ability to generate product revenue will depend on the successful development and eventual commercialization of our products in the United States.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titled “Risk Factors” for additional information.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Description of the Merger</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July 31, 2024, the Closing Date, we consummated the Business Combination pursuant to the terms of the Business Combination Agreement. Pursuant to the Business Combination Agreement, on the Closing Date, (i) ARYA Merger Sub merged with and into ARYA, and Company Merger Sub merged with and into Legacy Adagio, with ARYA and Legacy Adagio surviving the Mergers and, after giving effect to such Mergers, each of ARYA and Legacy Adagio becoming a wholly-owned subsidiary of ListCo,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Upon the consummation of the Business Combination,</w:t>
      </w:r>
    </w:p>
    <w:p>
      <w:pPr>
        <w:spacing w:after="0" w:line="225" w:lineRule="exact"/>
        <w:rPr>
          <w:sz w:val="20"/>
          <w:szCs w:val="20"/>
          <w:color w:val="auto"/>
        </w:rPr>
      </w:pPr>
    </w:p>
    <w:p>
      <w:pPr>
        <w:jc w:val="both"/>
        <w:ind w:left="60" w:right="59" w:firstLine="314"/>
        <w:spacing w:after="0" w:line="266" w:lineRule="auto"/>
        <w:tabs>
          <w:tab w:leader="none" w:pos="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A ordinary share of ARYA, par value $0.0001 per share, were automatically cancelled, extinguished and converted into one share of common stock, par value $0.0001 per share, of the Company (“Company’s common stock”).</w:t>
      </w:r>
    </w:p>
    <w:p>
      <w:pPr>
        <w:spacing w:after="0" w:line="175" w:lineRule="exact"/>
        <w:rPr>
          <w:rFonts w:ascii="Times New Roman" w:cs="Times New Roman" w:eastAsia="Times New Roman" w:hAnsi="Times New Roman"/>
          <w:sz w:val="18"/>
          <w:szCs w:val="18"/>
          <w:color w:val="auto"/>
        </w:rPr>
      </w:pPr>
    </w:p>
    <w:p>
      <w:pPr>
        <w:jc w:val="both"/>
        <w:ind w:left="60" w:right="59" w:firstLine="314"/>
        <w:spacing w:after="0" w:line="255" w:lineRule="auto"/>
        <w:tabs>
          <w:tab w:leader="none" w:pos="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B ordinary share of ARYA, par value $0.0001 per share, are automatically cancelled, extinguished and converted into the right to receive one share of the Company’s common stock, other than (i) 1,000,000 Class B ordinary shares that are forfeited by the ARYA Sponsor, and issued to the PIPE Investors (as defined below), including the Perceptive PIPE Investor (as defined below); (ii) 1,147,500 shares of the Company’s common stock issuable to the ARYA Sponsor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88"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Legacy Adagio (other than the Series E Pre-funded Warrants) was terminated in accordance with the terms of the applicable warrant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14"/>
        <w:spacing w:after="0" w:line="258" w:lineRule="auto"/>
        <w:tabs>
          <w:tab w:leader="none" w:pos="7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convertible promissory notes of Legacy Adagio (excluding the Bridge Financing Notes and the February 2024 Convertible Notes), including any accrued and unpaid interest thereon, are automatically and fully converted into shares of Legacy Adagio common stock in accordance with the terms of such convertible promissory notes, and such convertible promissory notes are cancelled, satisfied, extinguished, discharged and retired in connection with such conversion.</w:t>
      </w:r>
    </w:p>
    <w:p>
      <w:pPr>
        <w:spacing w:after="0" w:line="183"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Adagio preferred stock, par value $0.001 per share, that is issued and outstanding are automatically converted into shares of Legacy Adagio common stock on a one-to-one basis.</w:t>
      </w:r>
    </w:p>
    <w:p>
      <w:pPr>
        <w:spacing w:after="0" w:line="161" w:lineRule="exact"/>
        <w:rPr>
          <w:rFonts w:ascii="Times New Roman" w:cs="Times New Roman" w:eastAsia="Times New Roman" w:hAnsi="Times New Roman"/>
          <w:sz w:val="18"/>
          <w:szCs w:val="18"/>
          <w:color w:val="auto"/>
        </w:rPr>
      </w:pPr>
    </w:p>
    <w:p>
      <w:pPr>
        <w:jc w:val="both"/>
        <w:ind w:left="60" w:right="59" w:firstLine="314"/>
        <w:spacing w:after="0" w:line="266" w:lineRule="auto"/>
        <w:tabs>
          <w:tab w:leader="none" w:pos="7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Legacy Adagio common stock including Series E Pre-funded Warrants that had been issued and outstanding are automatically cancelled and extinguished and converted into shares of the Company’s common stock based on the exchange ratio set forth in the Business Combination Agreement.</w:t>
      </w:r>
    </w:p>
    <w:p>
      <w:pPr>
        <w:spacing w:after="0" w:line="175" w:lineRule="exact"/>
        <w:rPr>
          <w:rFonts w:ascii="Times New Roman" w:cs="Times New Roman" w:eastAsia="Times New Roman" w:hAnsi="Times New Roman"/>
          <w:sz w:val="18"/>
          <w:szCs w:val="18"/>
          <w:color w:val="auto"/>
        </w:rPr>
      </w:pPr>
    </w:p>
    <w:p>
      <w:pPr>
        <w:jc w:val="both"/>
        <w:ind w:left="60" w:right="59" w:firstLine="314"/>
        <w:spacing w:after="0" w:line="256" w:lineRule="auto"/>
        <w:tabs>
          <w:tab w:leader="none" w:pos="7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Legacy Adagio common stock (“Legacy Adagio Option”) that had been vested prior to the Closing with an aggregate value that exceeds the aggregate exercise price of such Legacy Adagio Option (each an “In-the-Money Adagio Options”) are cancelled and extinguished in exchange for options to purchase shares of the Company’s common stock, and each issued and outstanding Legacy Adagio equity award (other than an In-the-Money Adagio Options) are automatically cancelled and extinguished for no consideration, and each holder thereof will cease to have any rights with respect thereto.</w:t>
      </w:r>
    </w:p>
    <w:p>
      <w:pPr>
        <w:spacing w:after="0" w:line="187" w:lineRule="exact"/>
        <w:rPr>
          <w:rFonts w:ascii="Times New Roman" w:cs="Times New Roman" w:eastAsia="Times New Roman" w:hAnsi="Times New Roman"/>
          <w:sz w:val="18"/>
          <w:szCs w:val="18"/>
          <w:color w:val="auto"/>
        </w:rPr>
      </w:pPr>
    </w:p>
    <w:p>
      <w:pPr>
        <w:ind w:left="60" w:right="59" w:firstLine="314"/>
        <w:spacing w:after="0" w:line="282" w:lineRule="auto"/>
        <w:tabs>
          <w:tab w:leader="none" w:pos="7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February 2024 Convertible Notes (as defined below) is converted into Convertible Securities Notes and Convert Warrants (as defined below).</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have committed financing valued at $64.5 million (the “PIPE Financing”).</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PIPE Financing included:</w:t>
      </w:r>
    </w:p>
    <w:p>
      <w:pPr>
        <w:spacing w:after="0" w:line="225" w:lineRule="exact"/>
        <w:rPr>
          <w:sz w:val="20"/>
          <w:szCs w:val="20"/>
          <w:color w:val="auto"/>
        </w:rPr>
      </w:pPr>
    </w:p>
    <w:p>
      <w:pPr>
        <w:jc w:val="both"/>
        <w:ind w:left="60" w:right="59" w:firstLine="314"/>
        <w:spacing w:after="0" w:line="266" w:lineRule="auto"/>
        <w:tabs>
          <w:tab w:leader="none" w:pos="7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5"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Company’s common stock and 343,756 Base Warrants.</w:t>
      </w:r>
    </w:p>
    <w:p>
      <w:pPr>
        <w:spacing w:after="0" w:line="161"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purchase 1,036,666 shares of Company’s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60" w:right="59" w:firstLine="314"/>
        <w:spacing w:after="0" w:line="266" w:lineRule="auto"/>
        <w:tabs>
          <w:tab w:leader="none" w:pos="7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return for the investment specified in (iv) and (v) above, the Perceptive PIPE Investor received 6,622,959 shares of Company’s common stock and 5,445,069 Base Warrants.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were converted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(as defined below) into Convertible Securities Notes and Convert Warrants at Closing, as further described in Note 9- Debt in our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physicians to treat more patients more efficiently and effectively. Our continued success depends on our ability to:</w:t>
      </w:r>
    </w:p>
    <w:p>
      <w:pPr>
        <w:spacing w:after="0" w:line="162" w:lineRule="exact"/>
        <w:rPr>
          <w:sz w:val="20"/>
          <w:szCs w:val="20"/>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physicians;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physician awareness;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Innovation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as well as potentially licensing or acquiring technology from third parties.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 With a significant investment in research and development, a strong focus on innovation and a well-managed innovation process, we believe we can continue to innovate and grow.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Our Growth</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Insurance Coverage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generate product revenue primarily from the sale of the catheters used with our consoles. We sell our products directly to hospitals and medical centers. To a lesser extent, we also generate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2-“Summary of Significant Accounting Policies” </w:t>
      </w:r>
      <w:r>
        <w:rPr>
          <w:rFonts w:ascii="Times New Roman" w:cs="Times New Roman" w:eastAsia="Times New Roman" w:hAnsi="Times New Roman"/>
          <w:sz w:val="18"/>
          <w:szCs w:val="18"/>
          <w:color w:val="auto"/>
        </w:rPr>
        <w:t>in our consolidated financial statements for additional details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recognition policy.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when incurred and are related to the development of our product candidates which includes pre-clinical, clinical, quality assurance, and research and development operational activities. These costs consist of:</w:t>
      </w:r>
    </w:p>
    <w:p>
      <w:pPr>
        <w:spacing w:after="0" w:line="176" w:lineRule="exact"/>
        <w:rPr>
          <w:sz w:val="20"/>
          <w:szCs w:val="20"/>
          <w:color w:val="auto"/>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associated with clinical trials performed by third parties;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and costs related to product manufacturing;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including rent and facilities costs, and depreciation.</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do not track research and development expenses by project or product, as we are at an earlier stage in our pre-clinical and clinical development. Management believes that the breakdown of research and development expenses by project or product would be arbitrary and would not provide a meaningful assessment.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and corporate matters, professional fees for accounting and consulting services, marketing costs and corporate insurance costs, and transaction costs in connection with the Business Combination. We expense all selling, general and administrative costs as incurred.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recorded the October 2022 Convertible Notes, the Bridge Financing Notes, and Convertible Securities Notes at fair value at issuance and subsequently remeasure them to fair value at each reporting period. The change in fair value of the Convertible Securities Notes, excluding amounts related to interest, is recorded in “Convertible notes fair value adjustment,” while amounts related to interest are recorded as interest expense in the consolidated statements of operations and comprehensive loss.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 fair value adjustment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consolidated statements of operations and comprehensive loss.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Interest expense is primarily incurred from our outstanding debt obligations, including those under the October 2022 Convertible Notes, the Bridge Financing Notes, the Convertible Securities Notes, and the SVB Term Loan (as defined below).</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cash equivalents, and money market accounts.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foreign currency unrealized and realized gain / loss, and other income related to our research and development (“R&amp;D”) tax credit.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Comparison for the periods from January 1, 2024 to July 30, 2024 (Predecessor), from July 31, 2024 to December 31, 2024 (Successor), to the year ended December 31, 2023 (Predecessor)</w:t>
      </w:r>
    </w:p>
    <w:p>
      <w:pPr>
        <w:spacing w:after="0" w:line="16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expressed as percentages of net revenue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right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40" w:type="dxa"/>
            <w:vAlign w:val="bottom"/>
          </w:tcPr>
          <w:p>
            <w:pPr>
              <w:spacing w:after="0"/>
              <w:rPr>
                <w:sz w:val="10"/>
                <w:szCs w:val="10"/>
                <w:color w:val="auto"/>
              </w:rPr>
            </w:pP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9"/>
        </w:trPr>
        <w:tc>
          <w:tcPr>
            <w:tcW w:w="4280" w:type="dxa"/>
            <w:vAlign w:val="bottom"/>
          </w:tcPr>
          <w:p>
            <w:pPr>
              <w:spacing w:after="0"/>
              <w:rPr>
                <w:sz w:val="9"/>
                <w:szCs w:val="9"/>
                <w:color w:val="auto"/>
              </w:rPr>
            </w:pPr>
          </w:p>
        </w:tc>
        <w:tc>
          <w:tcPr>
            <w:tcW w:w="90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280" w:type="dxa"/>
            <w:vAlign w:val="bottom"/>
          </w:tcPr>
          <w:p>
            <w:pPr>
              <w:spacing w:after="0"/>
              <w:rPr>
                <w:sz w:val="5"/>
                <w:szCs w:val="5"/>
                <w:color w:val="auto"/>
              </w:rPr>
            </w:pPr>
          </w:p>
        </w:tc>
        <w:tc>
          <w:tcPr>
            <w:tcW w:w="90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and operating expenses: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(3,180)</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 Goodwill</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 Intangible assets, net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 and operating expenses</w:t>
            </w: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62,749</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56,520</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 fair value adjustment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(6,930)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Warrant liabilities fair value adjustment</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(1,818)</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(1,659)</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(1,264)</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17,767</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(53,763)</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(38,451)</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(53,762)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(21,275)</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(38,436)</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revenues were $0.3 million and $0.3 million for the periods from July 31, 2024 to December 31, 2024 (Successor) and from January 1, 2024 to July 30, 2024 (Predecessor), respectively, and $0.3 million for the year ended December 31, 2023 (Predecessor). The increase of $0.3 million, or 101%, is due to the increase of consumable sales. For the year ended December 31, 2024, and 2023, revenue was generated only in European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 and 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revenue was $1.9 million and $1.4 million for the period from July 31, 2024 to December 31, 2024 (Successor) and from January 1, 2024 to July 30, 2024 (Predecessor), respectively, and was $1.3 million for the year ended December 31, 2023 (Predecessor). The increase of $2.0 million, or 154%, primarily resulted from a $1.4 million increase in cost of goods sold related to increased sales of $0.6 million, an increase of $0.8 million related to the write off of obsolete inventory, a $0.5 million increase in the depreciation of Consoles, and $0.1 million increase in employee benefits.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$4.6 million and $7.6 million for the period from July 31, 2024 to December 31, 2024 (Successor) and from January 1, 2024 to July 30, 2024 (Predecessor), respectively, and was $15.4 million for the year ended December 31, 2023. The $3.2 million decrease, or 21%, was primarily related to a $2.0 million decrease of manufacturing absorption costs, $1.7 million decrease in product manufacturing costs, $1.0 million decrease in clinical trial expense, $0.4 million decrease in animal testing cost, $0.3 million decrease in costs related to consulting and prototypes, $0.1 million decrease in travel, and $0.8 million decrease in payroll. The decrease in research and development expenses results from Legacy Adagio receiving CE Marking on VT Cryoablation in March 2024.</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breakdown of our research and development costs by type of expense: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r>
      <w:tr>
        <w:trPr>
          <w:trHeight w:val="162"/>
        </w:trPr>
        <w:tc>
          <w:tcPr>
            <w:tcW w:w="5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22"/>
        </w:trPr>
        <w:tc>
          <w:tcPr>
            <w:tcW w:w="5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0"/>
                <w:szCs w:val="10"/>
                <w:color w:val="auto"/>
              </w:rPr>
            </w:pPr>
          </w:p>
        </w:tc>
        <w:tc>
          <w:tcPr>
            <w:tcW w:w="8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0"/>
                <w:szCs w:val="10"/>
                <w:color w:val="auto"/>
              </w:rPr>
            </w:pP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59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r>
      <w:tr>
        <w:trPr>
          <w:trHeight w:val="173"/>
        </w:trPr>
        <w:tc>
          <w:tcPr>
            <w:tcW w:w="5940" w:type="dxa"/>
            <w:vAlign w:val="bottom"/>
          </w:tcPr>
          <w:p>
            <w:pPr>
              <w:spacing w:after="0"/>
              <w:rPr>
                <w:sz w:val="15"/>
                <w:szCs w:val="15"/>
                <w:color w:val="auto"/>
              </w:rPr>
            </w:pPr>
          </w:p>
        </w:tc>
        <w:tc>
          <w:tcPr>
            <w:tcW w:w="9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 trial costs and other research and development costs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costs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assurance costs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Operational costs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clinical trial expenses relate to trials for our iCLAS atrial ULTC catheter and system (CYROCURE-2), iCLAS atrial ULTC catheter and system (iCLAS for PsAF), vCLAS ventricular ULTC catheter (CYROCURE-VT), vCLAS ventricular ULTC catheter (FULCRUM-VT), and PFCA catheter. Clinical trial costs include the expenses related to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expenses related to product manufacturing.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were $7.0 million and $13.0 million for the period from July 31, 2024 to December 31, 2024 (Successor) and from January 1, 2024 to July 30, 2024 (Predecessor), respectively, and $11.5 million for the year ended December 31, 2023 (Predecessor). The increase in selling, general and administrative expenses of $8.5 million, or 74%, is primarily due to an increase of $5.2 million in professional fees which include legal and accounting fees related to the transaction costs associated with the Business Combination, an increase in payroll and personnel expense of $3.0 million, and an increase in building and maintenance costs of $0.3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 Goodwill</w:t>
      </w:r>
    </w:p>
    <w:p>
      <w:pPr>
        <w:spacing w:after="0" w:line="225"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recorded a $30.3 million Goodwill impairment charge in 2024, with no comparable charges in 2023.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7-Goodwill and Intangible Assets, net </w:t>
      </w:r>
      <w:r>
        <w:rPr>
          <w:rFonts w:ascii="Times New Roman" w:cs="Times New Roman" w:eastAsia="Times New Roman" w:hAnsi="Times New Roman"/>
          <w:sz w:val="18"/>
          <w:szCs w:val="18"/>
          <w:color w:val="auto"/>
        </w:rPr>
        <w:t>in our consolidated financial statements for additional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 Intangible assets, net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recorded intangible asset impairment charges of $18.9 million in 2024, with no comparable charges in 2023. Refer to </w:t>
      </w:r>
      <w:r>
        <w:rPr>
          <w:rFonts w:ascii="Times New Roman" w:cs="Times New Roman" w:eastAsia="Times New Roman" w:hAnsi="Times New Roman"/>
          <w:sz w:val="18"/>
          <w:szCs w:val="18"/>
          <w:i w:val="1"/>
          <w:iCs w:val="1"/>
          <w:color w:val="auto"/>
        </w:rPr>
        <w:t>Note 7-Goodwill and Intangible Assets, net</w:t>
      </w:r>
      <w:r>
        <w:rPr>
          <w:rFonts w:ascii="Times New Roman" w:cs="Times New Roman" w:eastAsia="Times New Roman" w:hAnsi="Times New Roman"/>
          <w:sz w:val="18"/>
          <w:szCs w:val="18"/>
          <w:color w:val="auto"/>
        </w:rPr>
        <w:t xml:space="preserve"> in our consolidated financial statements for additional details.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convertible notes fair value increased $0.9 million and $2.1 million for the period from July 31, 2024 to December 31, 2024 (Successor) and from January 1, 2024 to July 30, 2024 (Predecessor), respectively, and decreased $6.9 million for the year ended December 31, 2023 (Predecessor). The increase of $0.9 million for the period from July 31, 2024 to December 31, 2024 (Successor) is due to an increase in the fair value of the Convertible Securities Notes. The net decrease of $2.1 million January 1, 2024 to July 30, 2024 (Predecessor) is related to decreases in the October 2022 Convertible Notes, November 2023 Convertible Notes, and February 2024 Convertible Notes of $4.3 million, $2.4 million, and $0.3 million, respectively. These decreases were offset by increases in the April 2023 Convertible Notes, May 2024 Convertible Notes, June 2024 Convertible Notes, July 2024 Convertible Notes of $3.4 million, $0.7 million, $0.6 million, and $0.2 million, respectively. The decrease of $6.9 million for the year ended December 31, 2023 (Predecessor) is due to a fair value decrease of the October 2022 Convertible Notes and the April 2023 Convertible Notes.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 fair value adjustment</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warrant liabilities fair value decreased $6.6 million and $0.2 million for the period from July 31, 2024 to December 31, 2024 (Successor) and from January 1, 2024 to July 30, 2024 (Predecessor), respectively, and increased $42.0 thousand for the year ended December 31, 2023 (Predecessor). The decrease of $6.6 million from July 31, 2024 to December 31, 2024 (Successor) is related to a decrease in the fair value of the PIPE Pre-funded Warrants and the Convert Warrants of $3.7 million and $2.8 million, respectively. The decrease of $0.2 million from January 1, 2024 to July 30, 2024 (Predecessor) is related to a decrease in the fair value of SVB Warrants (as defined herein) and Series E Pre-funded Warrants of $77.6 thousand and $0.1 million, respectively. The increase of $42.0 thousand for the year ended December 31, 2023 (Predecessor) is due to a fair value increase of the SVB Warrants.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was $1.1 million and $1.8 million for the period from July 31, 2024 to December 31, 2024 (Successor) and from January 1, 2024 to July 30, 2024 (Predecessor), respectively, and was $1.7 million for the year ended December 31, 2023 (Predecessor). The increase of $1.3 million, or 76%, was related to additional interest incurred from the Bridge Financing Notes and the Convertible Securities Notes.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income was $0.4 million and $3.0 thousand for the period from July 31, 2024 to December 31, 2024 (Successor) and from January 1, 2024 to July 30, 2024 (Predecessor), respectively, and was $3 thousand for the year ended December 31, 2023 (Predecessor). The increase in interest income of $0.4 million is primarily due to the increase of cash balances in an asset management account.</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Other income was $1.9 million and other expense was $33.0 thousand for the period from July 31, 2024 to December 31, 2024 (Successor) and from January 1, 2024 to July 30, 2024 (Predecessor), respectively, compared to other expense of $20 thousand for the year ended December 31, 2023 (Predecessor). This net increase in other income of $1.9 million was primarily attributable to a tax benefit of $1.9 million as a result of the reversal of a portion of the deferred tax liability associated with the impairment of certain of our indefinite-lived intangibles in the period from July 31, 2024 to December 31, 2024 (Successor).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convertible promissory notes and the SVB Term Loan. Since inception we have incurred operating losses and negative cash flows and anticipate continuing to do so for at least the next several years.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and December 31, 2023, the Successor had cash and cash equivalents of $20.6 million and Predecessor had $1.4 million, respectively. For the period from July 31, 2024 to December 31, 2024 (Successor) and from January 1, 2024 to July 30, 2024 (Predecessor), net (losses) were $(53.8) million and $(21.3) million, respectively, and was $(36.6) million for the year ended December 31, 2023 (Predecessor). For the period from July 31, 2024 to December 31, 2024 (Successor), the period from January 1, 2024 to July 30, 2024 (Predecessor), and for the year ended December 31, 2023 (Predecessor) net cash used in operating activities was $13.6 million, $16.0 million, and $25.7 million, respectively.</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For the 12 months after the issuance date of our consolidated financial statements (e.g., April 2025 – March 2026), we project our cash burn to be $20.0 million. We do not require significant cash reserve to meet short term and long-term obligations with a balance of approximately $2.8 million for accounts payable, $3.7 million for accrued liabilities, and $1.1 million for other accrued liabilities as of December 31, 2024 (Successor). We have a balance of $20.6 million in cash as of December 31, 2024 after the Closing of the Business Combination (refer to the “</w:t>
      </w:r>
      <w:r>
        <w:rPr>
          <w:rFonts w:ascii="Times New Roman" w:cs="Times New Roman" w:eastAsia="Times New Roman" w:hAnsi="Times New Roman"/>
          <w:sz w:val="18"/>
          <w:szCs w:val="18"/>
          <w:i w:val="1"/>
          <w:iCs w:val="1"/>
          <w:color w:val="auto"/>
        </w:rPr>
        <w:t>Description of the Merger”</w:t>
      </w:r>
      <w:r>
        <w:rPr>
          <w:rFonts w:ascii="Times New Roman" w:cs="Times New Roman" w:eastAsia="Times New Roman" w:hAnsi="Times New Roman"/>
          <w:sz w:val="18"/>
          <w:szCs w:val="18"/>
          <w:color w:val="auto"/>
        </w:rPr>
        <w:t xml:space="preserve"> for additional details), and we do not believe our current cash and cash equivalents are sufficient to fund operations for at least the next 12 months from the issuance date of the consolidated financial statements. We believe that this raises substantial doubt about our ability to continue as a going concern.</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intend to mitigate the conditions and events that raise substantial doubt about our ability to continue as a going concern entity by (i) negotiate other cash equity or debt financing in the short-term, (ii) continue to pursue the necessary regulatory approvals to launch commercially in the U.S. market, and (iii) execute cost-cutting measures to manage cash burn. However, there can be no assurances that the current plans will generate any liquidity to us or be available on terms acceptable to us.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liquidity and capital funding requirements will depend on numerous factors, including:</w:t>
      </w:r>
    </w:p>
    <w:p>
      <w:pPr>
        <w:spacing w:after="0" w:line="225"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and sales, scientific and medical personnel;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investment in our commercial organization and related expenses, clinical research and development services, and related supplies, legal and other regulatory expenses, general administrative costs and working capital.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(Predecessor)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October 2022 Convertible Notes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October 2022, we entered into a Note Purchase Agreement with investors for the issuance and sale of convertible promissory notes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 w:cs="Times New Roman" w:eastAsia="Times New Roman" w:hAnsi="Times New Roman"/>
          <w:sz w:val="18"/>
          <w:szCs w:val="18"/>
          <w:i w:val="1"/>
          <w:iCs w:val="1"/>
          <w:color w:val="auto"/>
        </w:rPr>
        <w:t>Note 9-Debt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November 2023 and February 2024, the October 2022 Convertible Notes were further amended to also subordinate the November 2023 Convertible Notes and the February 2024 Convertible Notes.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PIPE Financing equal to the then outstanding principal amount and any accrued and unpaid interest under this note, divided by 75% of the effective price of each share of common stock sold in the PIPE Financing. Further, on the Closing Date, Legacy Adagio common stocks were converted to the Company’s common stock based on the exchange ratio set forth in the Business Combination Agreement.</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October 2022 Convertible Notes automatically converted into 1,444,899 shares of the Company’s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Bridge Financing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April 2023 Convertible Notes</w:t>
      </w:r>
    </w:p>
    <w:p>
      <w:pPr>
        <w:spacing w:after="0" w:line="22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April 2023, we issued a $5.0 million convertible promissory note that would mature on the latest of (i) January 5, 2024, (ii) termination of agreements between Legacy Adagio and ARYA in connection with the Business Combination, or</w:t>
      </w:r>
    </w:p>
    <w:p>
      <w:pPr>
        <w:jc w:val="both"/>
        <w:ind w:left="60" w:right="59" w:hanging="10"/>
        <w:spacing w:after="0" w:line="253" w:lineRule="auto"/>
        <w:tabs>
          <w:tab w:leader="none" w:pos="3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lapse of the exclusivity period as defined in the non-binding term sheet as mentioned above, and accrued simple interest at eight percent (8.0%) per annum (the “April 2023 Convertible Notes”). Additionally, we obtained the right to issue up to $10.0 million in additional convertible promissory notes available beginning one month after April 4, 2023 through the occurrence of an ARYA stockholder vote with regard to the Business Combination.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November 2023, the April 2023 Notes were amended to align certain terms to the November 2023 Notes (refer to </w:t>
      </w:r>
      <w:r>
        <w:rPr>
          <w:rFonts w:ascii="Times New Roman" w:cs="Times New Roman" w:eastAsia="Times New Roman" w:hAnsi="Times New Roman"/>
          <w:sz w:val="18"/>
          <w:szCs w:val="18"/>
          <w:i w:val="1"/>
          <w:iCs w:val="1"/>
          <w:color w:val="auto"/>
        </w:rPr>
        <w:t xml:space="preserve">Note 9-Debt </w:t>
      </w:r>
      <w:r>
        <w:rPr>
          <w:rFonts w:ascii="Times New Roman" w:cs="Times New Roman" w:eastAsia="Times New Roman" w:hAnsi="Times New Roman"/>
          <w:sz w:val="18"/>
          <w:szCs w:val="18"/>
          <w:color w:val="auto"/>
        </w:rPr>
        <w:t>in our consolidated financial statements for the year ended December 31, 2024, and December 31, 2023,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2023 Convertible Notes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Legacy Adagio issued to Perceptive Life Sciences Master Fund, Ltd. (the “Perceptive PIPE Investor”), a $2.0 million convertible promissory note that would mature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December 31, 2024, Legacy Adagio drew the remaining principal amount of $3.0 million. The combined $3.0 million convertible promissory notes were issued pursuant to the clause and terms in the November 2023 Notes agreement (refer to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May 2024 Convertible Notes</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May 21, 2024, Legacy Adagio issued a $3.0 million convertible promissory note (“May 2024 Convertible Notes”) to Perceptive PIPE Investor that matures upon the termination of the Business Combination Agreement in accordance with its terms. It accrues simple interest at eight percent (8.0%) per annum.</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June 2024 Convertible Notes</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25, 2024, Legacy Adagio issued a $2.5 million convertible promissory note (“June 2024 Convertible Notes”) to Perceptive PIPE Investor that matures upon the termination of the Business Combination Agreement in accordance with its terms. It accrues simple interest at eight percent (8.0%) per annum.</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July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(“July 2024 Convertible Notes”) to Perceptive PIPE Investor that matures upon the termination of the Business Combination Agreement in accordance with its terms. It accrues simple interest at eight percent (8.0%) per annum.</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the Legacy Adagio issued to Perceptive PIPE Investor a principal of $7.0 million convertible promissory note that matures upon the termination of the Business Combination Agreement in accordance with its terms. The February 2024 Convertible Notes accrues simple interest at eight percent (8.0%) per annum.</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Any interest accrued on the principal amount of the February 2024 Convertible Notes was forfeited in connection with the transfer of the notes to the Company.</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$7.0 million of February 2024 Convertible Notes were converted into $7.0 million Convertible Securities Notes and 525,000 Convert Warrants.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SVB Term Loan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warrants to acquire 32,720 shares of common stock in February 2023 and distributed additional warrants to acquire 16,360 shares of common stock as of December 31, 2023 (“SVB Warrants”). Prior to the Closing of the Business Combination, the existing SVB Term Loan of Legacy Adagio as on July 30, 2024 had a net balance of $1.0 million, including $1.0 million of principal payment due within twelve months with an unamortized debt discount of $9.7 thousand. The unpaid principal and accrued interest were carried as assumed liabilities to the Company and paid at the Closing. (Refer to </w:t>
      </w:r>
      <w:r>
        <w:rPr>
          <w:rFonts w:ascii="Times New Roman" w:cs="Times New Roman" w:eastAsia="Times New Roman" w:hAnsi="Times New Roman"/>
          <w:sz w:val="18"/>
          <w:szCs w:val="18"/>
          <w:i w:val="1"/>
          <w:iCs w:val="1"/>
          <w:color w:val="auto"/>
        </w:rPr>
        <w:t>Note 9-Debt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(Successor)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Securities Notes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total of $20.0 million Convertible Securities Notes will be convertible into shares of the Company’s common stock at a conversion price of $10.00 per share, subject to adjustment per the terms of the agreement, and the total of 1,500,000 warrants, each of which will be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an annual basis.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conversion of the February 2024 Convertible Notes was carried out on the same terms as the other Convert Investors executing the Convertible Security Subscription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r>
      <w:tr>
        <w:trPr>
          <w:trHeight w:val="135"/>
        </w:trPr>
        <w:tc>
          <w:tcPr>
            <w:tcW w:w="6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right w:val="single" w:sz="8" w:color="auto"/>
            </w:tcBorders>
            <w:gridSpan w:val="2"/>
          </w:tcPr>
          <w:p>
            <w:pPr>
              <w:jc w:val="right"/>
              <w:ind w:right="260"/>
              <w:spacing w:after="0" w:line="136"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1"/>
                <w:szCs w:val="11"/>
                <w:color w:val="auto"/>
              </w:rPr>
            </w:pP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1"/>
                <w:szCs w:val="11"/>
                <w:color w:val="auto"/>
              </w:rPr>
            </w:pPr>
          </w:p>
        </w:tc>
        <w:tc>
          <w:tcPr>
            <w:tcW w:w="9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1"/>
                <w:szCs w:val="11"/>
                <w:color w:val="auto"/>
              </w:rPr>
            </w:pPr>
          </w:p>
        </w:tc>
      </w:tr>
      <w:tr>
        <w:trPr>
          <w:trHeight w:val="117"/>
        </w:trPr>
        <w:tc>
          <w:tcPr>
            <w:tcW w:w="60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0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20" w:type="dxa"/>
            <w:vAlign w:val="bottom"/>
          </w:tcPr>
          <w:p>
            <w:pPr>
              <w:spacing w:after="0"/>
              <w:rPr>
                <w:sz w:val="10"/>
                <w:szCs w:val="10"/>
                <w:color w:val="auto"/>
              </w:rPr>
            </w:pPr>
          </w:p>
        </w:tc>
      </w:tr>
      <w:tr>
        <w:trPr>
          <w:trHeight w:val="173"/>
        </w:trPr>
        <w:tc>
          <w:tcPr>
            <w:tcW w:w="6020" w:type="dxa"/>
            <w:vAlign w:val="bottom"/>
          </w:tcPr>
          <w:p>
            <w:pPr>
              <w:spacing w:after="0"/>
              <w:rPr>
                <w:sz w:val="15"/>
                <w:szCs w:val="15"/>
                <w:color w:val="auto"/>
              </w:rPr>
            </w:pPr>
          </w:p>
        </w:tc>
        <w:tc>
          <w:tcPr>
            <w:tcW w:w="10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(25,652)</w:t>
            </w:r>
          </w:p>
        </w:tc>
        <w:tc>
          <w:tcPr>
            <w:tcW w:w="20" w:type="dxa"/>
            <w:vAlign w:val="bottom"/>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8"/>
                <w:szCs w:val="18"/>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0" w:type="dxa"/>
            <w:vAlign w:val="bottom"/>
          </w:tcPr>
          <w:p>
            <w:pPr>
              <w:spacing w:after="0"/>
              <w:rPr>
                <w:sz w:val="18"/>
                <w:szCs w:val="18"/>
                <w:color w:val="auto"/>
              </w:rPr>
            </w:pPr>
          </w:p>
        </w:tc>
      </w:tr>
      <w:tr>
        <w:trPr>
          <w:trHeight w:val="21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r>
      <w:tr>
        <w:trPr>
          <w:trHeight w:val="209"/>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Comparison for the periods from January 1, 2024 to July 30, 2024 (Predecessor), from July 31, 2024 to December 31, 2024 (Successor), to the year ended December 31, 2023 (Predecessor)</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period from July 31, 2024 to December 31, 2024 (Successor) was $13.5 million, consisting primarily of a net loss of $53.8 million, net by non-cash items of $42.5 million, and net by change in our net operating assets and liabilities of $2.2 million. Non-cash items primarily consisted of a $30.3 million impairment charge to goodwill, a $18.9 million impairment charge to intangible assets and $0.7 million in depreciation and amortization; offset by offset by a gain of $0.9 million from the change in fair value of convertible notes payable, and a gain of $6.6 million from the change in fair value of warrant liabilities. Changes in our net operating assets and liabilities were primarily due to a $1.4 million increase in inventory, offset by $1.9 million decrease in accounts payable, a $0.9 million increase in prepaid expenses and other current assets.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period from January 1, 2024 to July 30, 2024 (Predecessor) was $16.0 million consisting primarily of a net loss of $21.3 million, adjusted by non-cash items of $0.8 million, and net with the change in our net operating assets and liabilities of $6.1 million. Non-cash items primarily consisted of $0.6 million in depreciation and amortization, $0.6 million in stock-based compensation, noncash operating lease expense of $0.1 million, and loss on disposal of property and equipment of $0.1 million; offset by a gain of $2.1 million from the change in fair value of convertible notes payable, and a gain of $0.2 million from the change in fair value of warrant liabilities. Changes in our net operating assets and liabilities were primarily due to a $7.4 million increase in accrued transaction costs, the increase in accrued liabilities of $0.5 million and a $1.7 million increase in other accrued liabilities, which were primarily driven by the increase in transaction costs related to the Business Combination, the increase in accrued variable compensation related to the Business Combination, and the increase in interest related the convertible notes; offset by a $2.6 million decrease in accounts payable, $0.8 million increase in inventory, which were primarily driven by the payment of accounts payable related to the Business combination and an increase in inventory purchases.</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(Predecessor), was $25.7 million, consisting primarily of a net loss of $36.6 million net by non-cash items of $8.1 million, and net by the change in our net operating assets and liabilities of $2.8 million. Non-cash items primarily consisted of a loss of $7.0 million related to the change in fair value of convertible notes payables, $532 thousand in depreciation and amortization, $442 thousand in stock-based compensation, and $159 thousand in noncash operating lease expenses. Changes in our net operating assets and liabilities, were primarily due to a $3.0 million increase in inventory, a $886 thousand increase in accrued liabilities, $161 thousand increase in operating leases liabilities, $410 thousand decrease in prepaid expenses and other current assets, a $444 thousand increase in accrued transaction costs, a $2.8 million increase in accounts payable, and a $1.4 million increase in other accrued liabilities which was primarily driven by the increase in interest related the convertible notes, and the increase in transaction costs related to the Business Combination; offset by a $70 thousand increase in accounts receivable.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Used in Investing Activities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period from July 31, 2024 to December 31, 2024 (Successor) and the period from January 1, 2024 to July 30, 2024 (Predecessor) was $1.2 million and $0.4 million, respectively. Net cash used in investing activities for the for the year ended December 31, 2023 (Predecessor) was $0.3 million. The increase was due to the increased purchase of property.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Provided by Financing Activities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 for the period from July 31, 2024 to December 31, 2024 (Successor) was nil.</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period from January 1, 2024 to July 30, 2024 (Predecessor) was $15.6 million. It is primarily due to receiving $16.5 million from the issuance of the $7.0 million February 2024 Convertible Notes, $3.0 million May 2024 Convertible Notes, $2.5 million June 2024 Convertible Notes, $1.0 million from the July 2024 Convertible Notes, and the draw of $3.0 million November 2023 Convertible Notes, net by a $0.9 million repayment of SVB Term Loan.</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(Predecessor) was $22.0 million. It is due to receiving $20.0 million and $3.0 million from the issuance of convertible notes payable and SVB term loan, respectively, and $18 thousand related to exercise of common stock options in 2023, offset by a decrease of $1.1 million repayment of SVB Term Loan.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amounts reported in our audited consolidated financial statements and accompanying notes included elsewhere in this Annual Report on Form 10-K.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Accordingly, the accounting estimates used in the preparation of our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audited consolidated financial statements.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Our actual results may differ from these estimates under different assumptions or conditions.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w:t>
      </w:r>
      <w:r>
        <w:rPr>
          <w:rFonts w:ascii="Times New Roman" w:cs="Times New Roman" w:eastAsia="Times New Roman" w:hAnsi="Times New Roman"/>
          <w:sz w:val="18"/>
          <w:szCs w:val="18"/>
          <w:i w:val="1"/>
          <w:iCs w:val="1"/>
          <w:color w:val="auto"/>
        </w:rPr>
        <w:t>Note 2-Summary of Significant Accounting Policies</w:t>
      </w:r>
      <w:r>
        <w:rPr>
          <w:rFonts w:ascii="Times New Roman" w:cs="Times New Roman" w:eastAsia="Times New Roman" w:hAnsi="Times New Roman"/>
          <w:sz w:val="18"/>
          <w:szCs w:val="18"/>
          <w:color w:val="auto"/>
        </w:rPr>
        <w:t xml:space="preserve"> to our consolidated financial statements. These are the policies that we believe are the most critical to aid in fully understanding and evaluating our consolidated financial condition and results of operations.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recognize compensation expense for all stock-based awards issued to employees and non-employees based on the estimated grant-date fair value, which is recognized as expense on a straight-line basis over the requisite service period. We have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our common stock valuation. The assumptions used in calculating the fair value of stock-based awards represent our best estimates and involve inherent uncertainties and the application of our judgment.</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All stock-based compensation costs are recorded in cost of products sold, research and development expense or selling, general, and administrative expense in the consolidated statements of operations and comprehensive loss based upon the respective employee’s or non-employee’s roles.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definite lived intangible assets subject to amortization are reviewed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requires that companies consider whether events or changes in facts and circumstances, both internally and externally, may indicate that an impairment of definite lived intangible assets held for use are present. We review definite lived intangible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values and the loss is recognized in the consolidated statements of operations.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we determined that there was no impairment of definite-lived intangible assets. We determined that as of December 31, 2024, the fair value of our definite lived intangible assets was less than the carrying amount. As a result, we recorded a $3.8 million impairment charge during the period from July 31, 2024 to December 31, 2024 (Successor). The impairment was driven by a sustained decline in our share price and market capitalization.</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(“IPR&amp;D”). In accordance with ASC 350, Intangibles – Goodwill and Other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we determined that there was no impairment of indefinite-lived intangible assets. We determined that as of December 31, 2024, the fair value of our indefinite-lived intangible assets was less than the carrying amount. As a result, we recorded a $15.1 million impairment charge during the period from July 31, 2024 to December 31, 2024 (Successor). The impairment was driven by a sustained decline in our share price and market capitalization.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we test goodwill for impairment at the reporting unit level. We have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we determined that there was no goodwill impairment. We determined that as of December 31, 2024, our fair value was less than our carrying amount. As a result, we recorded a $30.3 million goodwill impairment charge during the period from July 31, 2024 to December 31, 2024 (Successor). The impairment was driven by a sustained decline in our share price and market capitalization.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 (Predecessor)</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Due to the absence of a public trading market, we determined the fair value of our common stock by considering numerous objective and subjective factors. The factors considered include, but are not limited to:</w:t>
      </w:r>
    </w:p>
    <w:p>
      <w:pPr>
        <w:spacing w:after="0" w:line="162" w:lineRule="exact"/>
        <w:rPr>
          <w:sz w:val="20"/>
          <w:szCs w:val="20"/>
          <w:color w:val="auto"/>
        </w:rPr>
      </w:pPr>
    </w:p>
    <w:p>
      <w:pPr>
        <w:ind w:left="700" w:hanging="32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contemporaneous independent third-party valuations of our common stock;</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preferred stock relative to those of our common stock;</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and financial results;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projects; and</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2023, the fair value of our common stock was determined with the probability weighted expected return method (“PWERM”), which assessed the probability weighted depending on different scenarios. As of June 30, 2024, the valuation was based on the scenario (i) bankruptcy/suboptimal sale scenario reflecting a zero return to common shareholders, with 0% probability, (ii) an “as converted” merger with a 95% probability, and (iii) a delayed but successful liquidity event per the option pricing method, with 5% probability. As of December 31, 2023, the valuation was based on the scenario (i) the bankruptcy/suboptimal sale scenario reflecting a zero return to common shareholders, with 20% probability (ii) a consummation of a business combination transaction with a special purpose acquisition company (“SPAC”), with 40% probability, and (iii) a delayed but successful liquidity event per the option pricing method, with 40% probability. As of December 31, 2023, in determining the value under the consummation of a business combination transaction with a SPAC scenario, we utilized the preliminary terms of the letter of intent with such SPAC that (i) the transaction based on diluted equity value of $38.8 million and (ii) all dilutive instruments are expected to convert or be exercised resulting in 6,369,633 total common shares outstanding.</w:t>
      </w:r>
    </w:p>
    <w:p>
      <w:pPr>
        <w:spacing w:after="0" w:line="19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valuation under the scenario of a delayed but successful liquidity event per the option pricing method was determined by the fair value per share at a marketable basis applied by a discount for lack marketability (“DLOM”). The fair value per share at a marketable basis was determined using the interval option value allocation approach. The DLOM was determined based on Finnerty put option model, marketability factors and restricted stock studies.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significant unobservable inputs into the valuation model include:</w:t>
      </w:r>
    </w:p>
    <w:p>
      <w:pPr>
        <w:spacing w:after="0" w:line="225" w:lineRule="exact"/>
        <w:rPr>
          <w:sz w:val="20"/>
          <w:szCs w:val="20"/>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potential events (for example, a consummation of a business combination transaction with a SPAC) and their probability of occurring;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guideline public company multiples;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for the lack of marketability of the common stock.</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An increase or decrease in any of the unobservable inputs in isolation could result in a material change. In the future, depending on the weight of evidence and valuation approaches used, these or other inputs may have a more significant impact on the estimated fair value.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Valuation (Predecessor)</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permitted under ASC 825, Financial Instruments (“ASC 825”), the Company elected the fair value option to account for the October 2022 Convertible Notes, and the Bridge Financing Notes in order to measure those liabilities at amounts that more accurately reflect the current economic environment in which Legacy Adagio operates.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change in fair value of the Convertible Securities Notes, excluding amounts related to interest, is recorded in “Convertible notes fair value adjustment,” while amounts related to interest are recorded as interest expense in the consolidated statements of operations and comprehensive loss. As a result of applying the fair value option, direct costs and fees related to the issuance of the convertible notes were expensed as incurred (i.e., not recognized as deferred costs). Refer to </w:t>
      </w:r>
      <w:r>
        <w:rPr>
          <w:rFonts w:ascii="Times New Roman" w:cs="Times New Roman" w:eastAsia="Times New Roman" w:hAnsi="Times New Roman"/>
          <w:sz w:val="18"/>
          <w:szCs w:val="18"/>
          <w:i w:val="1"/>
          <w:iCs w:val="1"/>
          <w:color w:val="auto"/>
        </w:rPr>
        <w:t>Note 3-Fair Value Measurements</w:t>
      </w:r>
      <w:r>
        <w:rPr>
          <w:rFonts w:ascii="Times New Roman" w:cs="Times New Roman" w:eastAsia="Times New Roman" w:hAnsi="Times New Roman"/>
          <w:sz w:val="18"/>
          <w:szCs w:val="18"/>
          <w:color w:val="auto"/>
        </w:rPr>
        <w:t xml:space="preserve"> in our consolidated financial statements for additional detail.</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Adagio calculated the value of the convertible notes based on the equity value from 409(a) valuations, considering the expected payoff of the convertible notes upon different types of events.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Utilizing the PWERM, Adagio assessed the probability that the October 2022 Convertible Notes would be converted to common stock through the result of mandatory prepayment, private investment in PIPE Financing, or no PIPE Financing and no Qualified Financing, weighted with a probability of 20%, 40% and 40%, respectively, as of December 31, 2023.</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Utilizing the PWERM, Adagio assessed the probability that the April 2023 Notes and the November 2023 Notes would be converted to common stock as a result of a liquidation event, PIPE Financing, or no PIPE Financing and no Qualified Financing, weighted with a probability of 20%, 40% and 40% as of December 31, 2023. Adagio also implied a credit spread by calibrating the value of the April 2023 Notes at issuance to the par value and then adjusted the calibrated credit spread for seniority difference and the market related movements as appropriate.</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Additional assumptions used to estimate the fair value include: (i) the expected timing of the conversion, (ii) the amount subject to equity conversion, the sum of the notes’ principal and unpaid accrued interest, (iii) expected volatility,</w:t>
      </w:r>
    </w:p>
    <w:p>
      <w:pPr>
        <w:ind w:left="60" w:right="59" w:hanging="10"/>
        <w:spacing w:after="0" w:line="260" w:lineRule="auto"/>
        <w:tabs>
          <w:tab w:leader="none" w:pos="3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and (v) the discount rate, based on the observed option-adjusted spread (OAS) data of traded bonds rated CCC-.</w:t>
      </w:r>
    </w:p>
    <w:p>
      <w:pPr>
        <w:spacing w:after="0" w:line="181"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convertible notes as of July 31, 2024, prior to the Closing, the Company used the observed closing stock price of ARYA as of July 31, 2024 multiplied by the actual number of shares that the convertible notes converted into.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SVB Term Loan (Predecessor)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Legacy Adagio accounts for the SVB Term Loan at residual value on the date of issuance. The expected life of the SVB Term Loan is the contractual term ending on the maturity date. Legacy Adagio classifies the term loan as current liabilities within twelve months of the maturity date or when otherwise due. Interest expense is recognized in the consolidated statements of operations and comprehensive loss over the contractual term of the loan. See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in our consolidated financial statements for additional information related to the SVB Term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SVB Warrants (Predecessor)</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Times New Roman" w:cs="Times New Roman" w:eastAsia="Times New Roman" w:hAnsi="Times New Roman"/>
          <w:sz w:val="17"/>
          <w:szCs w:val="17"/>
          <w:color w:val="auto"/>
        </w:rPr>
        <w:t>Adagio accounts for SVB Warrants outstanding as warrant liabilities at fair value, determined using the Black-Scholes-Merton option pricing model based on the common stock value from 409(a) valuation. The assumption used to estimate the fair value include: (i) expected volatility, (ii) risk-free interest rate, (iii) expected dividend yield, and (iv) expected term.</w:t>
      </w:r>
    </w:p>
    <w:p>
      <w:pPr>
        <w:spacing w:after="0" w:line="15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liability is subject to remeasurement at each reporting period and any change in fair value is recognized in the consolidated statements of operations and comprehensive loss. See </w:t>
      </w:r>
      <w:r>
        <w:rPr>
          <w:rFonts w:ascii="Times New Roman" w:cs="Times New Roman" w:eastAsia="Times New Roman" w:hAnsi="Times New Roman"/>
          <w:sz w:val="18"/>
          <w:szCs w:val="18"/>
          <w:i w:val="1"/>
          <w:iCs w:val="1"/>
          <w:color w:val="auto"/>
        </w:rPr>
        <w:t>Note 10-Warrants</w:t>
      </w:r>
      <w:r>
        <w:rPr>
          <w:rFonts w:ascii="Times New Roman" w:cs="Times New Roman" w:eastAsia="Times New Roman" w:hAnsi="Times New Roman"/>
          <w:sz w:val="18"/>
          <w:szCs w:val="18"/>
          <w:color w:val="auto"/>
        </w:rPr>
        <w:t xml:space="preserve"> in our consolidated financial statements for additional information related to the warrants.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E Pre-funded Warrants (Predecessor)</w:t>
      </w:r>
    </w:p>
    <w:p>
      <w:pPr>
        <w:spacing w:after="0" w:line="22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On June 25, 2024, Legacy Adagio issued to a certain investor the pre-funded warrants to purchase Legacy Adagio’s Series E Preferred Stock (“Series E Pre-funded Warrants”), in exchange of the investor’s existing holding of Series E Preferred Stock. The exercise price of the pre-funded warrants is $0.001 per warrant share. Legacy Adagio measured the Series E Pre-funded Warrants at fair value based on the indicated fair value of Series E Preferred Stock, which is not observable in the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Prior to the Closing, Legacy Adagio recorded convertible preferred stock at fair value on the dates of issuance, net of issuance costs. Upon the occurrence of certain events that are outside our control, including a deemed liquidation event, holders of the convertible preferred stock can cause redemption for cash. As the preferred stock is considered to be contingently redeemable, the preferred stock has been classified outside of permanent equity. The preferred stock will be accreted to its redemption value if the deemed liquidation events are considered probable of occurring. Upon the consummation of the Business Combination, the Legacy Adagio’s convertible preferred stocks was converted into shares of Legacy Adagio’s common stock on a one-to-one basis prior to Adagio Merger Effective Time and then converted into the Company’s common stock at the Closing based on the exchange ratio set forth in the Business Combination Agreement.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the Convertible Securities Notes at fair value based on significant inputs not observable in the market, which caused them to be classified as Level 3 measurements within the fair value hierarchy. The change in fair value of the Convertible Securities Notes, excluding amounts related to interest, is recorded in “Convertible notes fair value adjustment,” while amounts related to interest are recorded as interest expense in the consolidated statements of operations and comprehensive loss.</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utilized the binomial lattice model to value the Convertible Securities Notes at the Closing Date and as of December 31, 2024. See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in our consolidated financial statements for additional information related to the SVB Term Loan.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 Warrants (Successor)</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July 31, 2024, the Company issued 1,500,000 Convert Warrants in connection with the issuance of the $20.0 million Convertible Securities Notes.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Convert Warrants are classified as Level 3 measurements within the fair value hierarchy. The Company utilized the Black-Scholes-Merton option model to value the Convertible Securities Notes at the Closing Date and as of December 31,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Base Warrants (Successor)</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Base Warrants (“PIPE Base Warrants”) along with the Company’s common stock in connection with the PIPE Financing.</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(v) the remaining term is 5 years.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Base Warrants associated with the PIPE Financing are indexed to the Company’s common stock and are accounted for as equity, which is initially measured at fair value. The Base Warrants are classified as equity in the consolidated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Sponsor Earnout (Successor)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September 2024, the Company issued 1,147,500 shares of the Company’s common stock (such issuance, the “Sponsor Earnout”) to the ARYA Sciences Holdings IV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or exceeds $24.00 per share (the “Trigger Price”) for any 20 trading days within any 30 trading day period from and after the Closing Date (the “Earn-Out Target”), and ii) immediately prior to the consummation of a company sale during the Earn-Out Period.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the reporting date, the vesting of the Sponsor Earnout was not considered probable.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Pre-funded Warrants (Successor)</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July 31, 2024, the Company issued 670,000 pre-funded warrants in exchange for cash proceeds in PIPE Financing to certain Other PIPE Investors (“PIPE Pre-funded Warrants”).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PIPE Pre-funded Warrants are classified as Level 3 measurements within the fair value hierarchy. The fair value of the PIPE Pre-funded Warrants is based on the fair value of the Company’s common stock minus the exercise price.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December 26, 2024, a total of 670,000 pre-funded warrant shares were exercised on a cashless basis for 663,096 shares of the Company’s common stock. The exercise price for the pre-funded warrants was $0.9705 per share.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Realignment of Resources and Corporate Restructuring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December 1, 2023, Legacy Adagio approved a strategic realignment of resources and corporate restructuring (the “RIF”) designed to reallocate capital, conformant to its business focus for the next two years.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part of the RIF, Legacy Adagio initiated a reduction in its workforce of 20 employees, representing approximately 19% of Legacy Adagio’s employees, which was completed on December 15, 2023. Legacy Adagio made no payment for severance or related benefit costs. Legacy Adagio made no payment of retention bonuses.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the last date of our fiscal year in which we have total annual gross revenue of at least $1.235 billion, (ii) the date on which we are deemed to be a “large accelerated filer” under the rules of the SEC with at least $700.0 million of outstanding securities held by non-affiliates, or (iii) the date on which we have issued more than $1.0 billion in non-convertible debt securities during the previous three-years.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in our consolidated financial statements for a description of recent accounting pronouncements applicable to our financial statements.</w:t>
      </w:r>
    </w:p>
    <w:p>
      <w:pPr>
        <w:spacing w:after="0" w:line="15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operations primarily within the United States and we are exposed to market risk in the ordinary course of our business. Market risk represents the risk of loss that may impact our financial position due to adverse changes in financial market prices and rates. 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revenue generated in Europe, as well as costs and expenses denominated in Euro, expose us to the risk of fluctuations in foreign currency exchange rates against the U.S. dollar. We are exposed to foreign currency risks related to our revenue and operating expenses, along with certain intercompany transactions, denominated in Euro. Accordingly, changes in exchange rates may negatively affect our future revenue and other operating results as expressed in U.S. dollars. We do not believe that foreign currency exchange risk has had a material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Firms </w:t>
            </w:r>
            <w:r>
              <w:rPr>
                <w:rFonts w:ascii="Times New Roman" w:cs="Times New Roman" w:eastAsia="Times New Roman" w:hAnsi="Times New Roman"/>
                <w:sz w:val="18"/>
                <w:szCs w:val="18"/>
                <w:color w:val="000000"/>
              </w:rPr>
              <w:t>(WithumSmith+Brown, PC, PCAOB ID 100)</w:t>
            </w:r>
          </w:p>
        </w:tc>
        <w:tc>
          <w:tcPr>
            <w:tcW w:w="8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8080" w:type="dxa"/>
            <w:vAlign w:val="bottom"/>
            <w:gridSpan w:val="9"/>
            <w:vMerge w:val="continue"/>
          </w:tcPr>
          <w:p>
            <w:pPr>
              <w:spacing w:after="0"/>
              <w:rPr>
                <w:sz w:val="13"/>
                <w:szCs w:val="13"/>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2"/>
        </w:trPr>
        <w:tc>
          <w:tcPr>
            <w:tcW w:w="42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21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5560" w:type="dxa"/>
            <w:vAlign w:val="bottom"/>
            <w:gridSpan w:val="7"/>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6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Loss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5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410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78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50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Adagio Medical Holdings, Inc.</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Adagio Medical Holdings, Inc. (the “Company”) as of December 31, 2024 (Successor) and 2023 (Predecessor), and the related consolidated statements of operations and comprehensive loss, consolidated statements of convertible preferred stock and stockholders’ equity (deficit), and consolidated statements of cash flows for the periods July 31 to December 31, 2024 (Successor), January 1 to July 30, 2024 (Predecessor) and January 1 to December 31, 2023 (Predecessor),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periods July 31 to December 31, 2024 (Successor), January 1 to July 30, 2024 (Predecessor) and January 1 to December 31, 2023 (Predecessor), in conformity with accounting principles generally accepted in the United States of America.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10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and has a net capital deficiency that raise substantial doubt about its ability to continue as a going concern. Management's plans regarding these matters are also described in Note 1. The financial statements do not include any adjustments that might result from the outcome of this uncertainty.</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Company's auditor since 2023.</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2025</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PCAOB ID No. 100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5"/>
        </w:trPr>
        <w:tc>
          <w:tcPr>
            <w:tcW w:w="6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20,586</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1,940</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25,349</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Right-of-use assets, net</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net</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2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48,448</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3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Convertible notes payable, current</w:t>
            </w:r>
          </w:p>
        </w:tc>
        <w:tc>
          <w:tcPr>
            <w:tcW w:w="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Term loan, current</w:t>
            </w:r>
          </w:p>
        </w:tc>
        <w:tc>
          <w:tcPr>
            <w:tcW w:w="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transaction costs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7,763</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long-term</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notes payable, non-current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16,076</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long-term</w:t>
            </w:r>
          </w:p>
        </w:tc>
        <w:tc>
          <w:tcPr>
            <w:tcW w:w="8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2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28,536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2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Legacy Adagio's Convertible preferred stock, $0.001 par value; 4,939,946 shares authorized as of</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December 31, 2023; 4,939,946 shares issued and outstanding as of December 31, 2023, with</w:t>
            </w:r>
          </w:p>
        </w:tc>
        <w:tc>
          <w:tcPr>
            <w:tcW w:w="80" w:type="dxa"/>
            <w:vAlign w:val="bottom"/>
          </w:tcPr>
          <w:p>
            <w:pPr>
              <w:spacing w:after="0"/>
              <w:rPr>
                <w:sz w:val="12"/>
                <w:szCs w:val="12"/>
                <w:color w:val="auto"/>
              </w:rPr>
            </w:pPr>
          </w:p>
        </w:tc>
        <w:tc>
          <w:tcPr>
            <w:tcW w:w="12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aggregate liquidation preference of $91,637 as of December 31, 2023</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2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Legacy Adagio's common stock, $0.001 par value; 6,594,946 shares authorized as of</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December 31, 2023; 786,510 shares issued as of December 31, 2023; 779,908 shares outstanding</w:t>
            </w:r>
          </w:p>
        </w:tc>
        <w:tc>
          <w:tcPr>
            <w:tcW w:w="80" w:type="dxa"/>
            <w:vAlign w:val="bottom"/>
          </w:tcPr>
          <w:p>
            <w:pPr>
              <w:spacing w:after="0"/>
              <w:rPr>
                <w:sz w:val="12"/>
                <w:szCs w:val="12"/>
                <w:color w:val="auto"/>
              </w:rPr>
            </w:pPr>
          </w:p>
        </w:tc>
        <w:tc>
          <w:tcPr>
            <w:tcW w:w="12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as of December 31, 2023</w:t>
            </w: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320" w:type="dxa"/>
            <w:vAlign w:val="bottom"/>
            <w:shd w:val="clear" w:color="auto" w:fill="CCEEFF"/>
          </w:tcPr>
          <w:p>
            <w:pPr>
              <w:ind w:left="440"/>
              <w:spacing w:after="0" w:line="126" w:lineRule="exact"/>
              <w:rPr>
                <w:sz w:val="20"/>
                <w:szCs w:val="20"/>
                <w:color w:val="auto"/>
              </w:rPr>
            </w:pPr>
            <w:r>
              <w:rPr>
                <w:rFonts w:ascii="Times New Roman" w:cs="Times New Roman" w:eastAsia="Times New Roman" w:hAnsi="Times New Roman"/>
                <w:sz w:val="14"/>
                <w:szCs w:val="14"/>
                <w:color w:val="auto"/>
              </w:rPr>
              <w:t>Common stock, $0.0001 par value; 210,000,000 shares authorized as of December 31, 2024;</w:t>
            </w:r>
          </w:p>
        </w:tc>
        <w:tc>
          <w:tcPr>
            <w:tcW w:w="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15,198,232 shares issued and outstanding as of December 31, 2024</w:t>
            </w: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90,495</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(70,586)</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19,912</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equity (deficit)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48,448</w:t>
            </w:r>
          </w:p>
        </w:tc>
        <w:tc>
          <w:tcPr>
            <w:tcW w:w="2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2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January 1 to July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January 1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5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 and operating expenses:</w:t>
            </w: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 Goodwill</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 Intangible assets, net</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cost of revenue and operating expenses</w:t>
            </w:r>
          </w:p>
        </w:tc>
        <w:tc>
          <w:tcPr>
            <w:tcW w:w="5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62,749</w:t>
            </w:r>
          </w:p>
        </w:tc>
        <w:tc>
          <w:tcPr>
            <w:tcW w:w="20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(62,480)</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 fair value adjustment</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Warrant liabilities fair value adjustment</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5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5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20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(53,763)</w:t>
            </w:r>
          </w:p>
        </w:tc>
        <w:tc>
          <w:tcPr>
            <w:tcW w:w="2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5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(53,762)</w:t>
            </w:r>
          </w:p>
        </w:tc>
        <w:tc>
          <w:tcPr>
            <w:tcW w:w="200" w:type="dxa"/>
            <w:vAlign w:val="bottom"/>
            <w:tcBorders>
              <w:bottom w:val="single" w:sz="8" w:color="CCEEFF"/>
              <w:right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(21,275)</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Basic net loss per share (Note 15)</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00" w:type="dxa"/>
            <w:vAlign w:val="bottom"/>
            <w:tcBorders>
              <w:bottom w:val="single" w:sz="8" w:color="CCEEFF"/>
              <w:right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net loss per share (Note 15)</w:t>
            </w:r>
          </w:p>
        </w:tc>
        <w:tc>
          <w:tcPr>
            <w:tcW w:w="5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0" w:type="dxa"/>
            <w:vAlign w:val="bottom"/>
            <w:tcBorders>
              <w:bottom w:val="single" w:sz="8" w:color="CCEEFF"/>
              <w:right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80"/>
          </w:cols>
          <w:pgMar w:left="1400" w:top="513" w:right="1419"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Adagio Medical Holdings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Equity (Deficit)</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35"/>
        </w:trPr>
        <w:tc>
          <w:tcPr>
            <w:tcW w:w="2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2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320" w:type="dxa"/>
            <w:vAlign w:val="bottom"/>
            <w:tcBorders>
              <w:right w:val="single" w:sz="8" w:color="auto"/>
            </w:tcBorders>
            <w:gridSpan w:val="4"/>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66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320" w:type="dxa"/>
            <w:vAlign w:val="bottom"/>
            <w:tcBorders>
              <w:right w:val="single" w:sz="8" w:color="auto"/>
            </w:tcBorders>
            <w:gridSpan w:val="4"/>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6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tcBorders>
              <w:top w:val="single" w:sz="8" w:color="auto"/>
              <w:right w:val="single" w:sz="8" w:color="auto"/>
            </w:tcBorders>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4"/>
              </w:rPr>
              <w:t>Equity (Deficit)</w:t>
            </w:r>
          </w:p>
        </w:tc>
        <w:tc>
          <w:tcPr>
            <w:tcW w:w="0" w:type="dxa"/>
            <w:vAlign w:val="bottom"/>
          </w:tcPr>
          <w:p>
            <w:pPr>
              <w:spacing w:after="0"/>
              <w:rPr>
                <w:sz w:val="1"/>
                <w:szCs w:val="1"/>
                <w:color w:val="auto"/>
              </w:rPr>
            </w:pPr>
          </w:p>
        </w:tc>
      </w:tr>
      <w:tr>
        <w:trPr>
          <w:trHeight w:val="129"/>
        </w:trPr>
        <w:tc>
          <w:tcPr>
            <w:tcW w:w="27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 (Predecessor)</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4,939,946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right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4"/>
              </w:rPr>
              <w:t>91,469</w:t>
            </w: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756,160</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1,153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(97,059)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(95,877)</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option exercises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23,748</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442</w:t>
            </w: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(36,590)</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(36,590)</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2023 (Predecessor)</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4,939,946</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4"/>
              </w:rPr>
              <w:t>91,469</w:t>
            </w:r>
          </w:p>
        </w:tc>
        <w:tc>
          <w:tcPr>
            <w:tcW w:w="6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779,908</w:t>
            </w:r>
          </w:p>
        </w:tc>
        <w:tc>
          <w:tcPr>
            <w:tcW w:w="1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1,608</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(133,649)</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w:t>
            </w:r>
          </w:p>
        </w:tc>
        <w:tc>
          <w:tcPr>
            <w:tcW w:w="1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(132,023)</w:t>
            </w:r>
          </w:p>
        </w:tc>
        <w:tc>
          <w:tcPr>
            <w:tcW w:w="0" w:type="dxa"/>
            <w:vAlign w:val="bottom"/>
          </w:tcPr>
          <w:p>
            <w:pPr>
              <w:spacing w:after="0"/>
              <w:rPr>
                <w:sz w:val="1"/>
                <w:szCs w:val="1"/>
                <w:color w:val="auto"/>
              </w:rPr>
            </w:pPr>
          </w:p>
        </w:tc>
      </w:tr>
      <w:tr>
        <w:trPr>
          <w:trHeight w:val="115"/>
        </w:trPr>
        <w:tc>
          <w:tcPr>
            <w:tcW w:w="27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Exchange preferred stock for pre-funded warrants</w:t>
            </w:r>
          </w:p>
        </w:tc>
        <w:tc>
          <w:tcPr>
            <w:tcW w:w="7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(207,902)</w:t>
            </w:r>
          </w:p>
        </w:tc>
        <w:tc>
          <w:tcPr>
            <w:tcW w:w="100" w:type="dxa"/>
            <w:vAlign w:val="bottom"/>
          </w:tcPr>
          <w:p>
            <w:pPr>
              <w:spacing w:after="0"/>
              <w:rPr>
                <w:sz w:val="11"/>
                <w:szCs w:val="11"/>
                <w:color w:val="auto"/>
              </w:rPr>
            </w:pPr>
          </w:p>
        </w:tc>
        <w:tc>
          <w:tcPr>
            <w:tcW w:w="500" w:type="dxa"/>
            <w:vAlign w:val="bottom"/>
            <w:tcBorders>
              <w:right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(4,686)</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4,332</w:t>
            </w: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option exercises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w:t>
            </w: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(21,278)</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(21,278)</w:t>
            </w:r>
          </w:p>
        </w:tc>
        <w:tc>
          <w:tcPr>
            <w:tcW w:w="0" w:type="dxa"/>
            <w:vAlign w:val="bottom"/>
          </w:tcPr>
          <w:p>
            <w:pPr>
              <w:spacing w:after="0"/>
              <w:rPr>
                <w:sz w:val="1"/>
                <w:szCs w:val="1"/>
                <w:color w:val="auto"/>
              </w:rPr>
            </w:pPr>
          </w:p>
        </w:tc>
      </w:tr>
      <w:tr>
        <w:trPr>
          <w:trHeight w:val="168"/>
        </w:trPr>
        <w:tc>
          <w:tcPr>
            <w:tcW w:w="27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July 30, 2024 (Predecessor)</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4,732,044</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4"/>
              </w:rPr>
              <w:t>86,783</w:t>
            </w:r>
          </w:p>
        </w:tc>
        <w:tc>
          <w:tcPr>
            <w:tcW w:w="6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780,213</w:t>
            </w:r>
          </w:p>
        </w:tc>
        <w:tc>
          <w:tcPr>
            <w:tcW w:w="1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6,591</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(154,927)</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w:t>
            </w:r>
          </w:p>
        </w:tc>
        <w:tc>
          <w:tcPr>
            <w:tcW w:w="1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(148,315)</w:t>
            </w:r>
          </w:p>
        </w:tc>
        <w:tc>
          <w:tcPr>
            <w:tcW w:w="0" w:type="dxa"/>
            <w:vAlign w:val="bottom"/>
          </w:tcPr>
          <w:p>
            <w:pPr>
              <w:spacing w:after="0"/>
              <w:rPr>
                <w:sz w:val="1"/>
                <w:szCs w:val="1"/>
                <w:color w:val="auto"/>
              </w:rPr>
            </w:pPr>
          </w:p>
        </w:tc>
      </w:tr>
      <w:tr>
        <w:trPr>
          <w:trHeight w:val="123"/>
        </w:trPr>
        <w:tc>
          <w:tcPr>
            <w:tcW w:w="27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right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July 31, 2024 (Successor)</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13,387,636</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89,786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(16,823)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72,964</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663,096</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135"/>
        </w:trPr>
        <w:tc>
          <w:tcPr>
            <w:tcW w:w="27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Issuance of earn-out shares</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tcBorders>
              <w:right w:val="single" w:sz="8" w:color="auto"/>
            </w:tcBorders>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1,147,500</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(53,763)</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(53,763)</w:t>
            </w:r>
          </w:p>
        </w:tc>
        <w:tc>
          <w:tcPr>
            <w:tcW w:w="0" w:type="dxa"/>
            <w:vAlign w:val="bottom"/>
          </w:tcPr>
          <w:p>
            <w:pPr>
              <w:spacing w:after="0"/>
              <w:rPr>
                <w:sz w:val="1"/>
                <w:szCs w:val="1"/>
                <w:color w:val="auto"/>
              </w:rPr>
            </w:pPr>
          </w:p>
        </w:tc>
      </w:tr>
      <w:tr>
        <w:trPr>
          <w:trHeight w:val="128"/>
        </w:trPr>
        <w:tc>
          <w:tcPr>
            <w:tcW w:w="2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2024 (Successor)</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right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15,198,232</w:t>
            </w:r>
          </w:p>
        </w:tc>
        <w:tc>
          <w:tcPr>
            <w:tcW w:w="14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90,495</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(70,586)</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19,912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9"/>
          </w:tcPr>
          <w:p>
            <w:pPr>
              <w:ind w:left="8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99"/>
        </w:trPr>
        <w:tc>
          <w:tcPr>
            <w:tcW w:w="5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2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8"/>
              </w:rPr>
              <w:t>July 31 to</w:t>
            </w:r>
          </w:p>
        </w:tc>
        <w:tc>
          <w:tcPr>
            <w:tcW w:w="2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January 1 to</w:t>
            </w:r>
          </w:p>
        </w:tc>
        <w:tc>
          <w:tcPr>
            <w:tcW w:w="220" w:type="dxa"/>
            <w:vAlign w:val="bottom"/>
          </w:tcPr>
          <w:p>
            <w:pPr>
              <w:spacing w:after="0"/>
              <w:rPr>
                <w:sz w:val="15"/>
                <w:szCs w:val="15"/>
                <w:color w:val="auto"/>
              </w:rPr>
            </w:pPr>
          </w:p>
        </w:tc>
        <w:tc>
          <w:tcPr>
            <w:tcW w:w="102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January 1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60" w:type="dxa"/>
            <w:vAlign w:val="bottom"/>
          </w:tcPr>
          <w:p>
            <w:pPr>
              <w:spacing w:after="0"/>
              <w:rPr>
                <w:sz w:val="18"/>
                <w:szCs w:val="18"/>
                <w:color w:val="auto"/>
              </w:rPr>
            </w:pPr>
          </w:p>
        </w:tc>
        <w:tc>
          <w:tcPr>
            <w:tcW w:w="1240" w:type="dxa"/>
            <w:vAlign w:val="bottom"/>
            <w:tcBorders>
              <w:right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July 30</w:t>
            </w: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99"/>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(53,763)</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(21,278)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inventory impairment</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term loan discount</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Impairment - Goodwill</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Impairment - Intangible assets, net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Change in fair value of convertible notes payable</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(6,576)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change in operating assets and liabilities: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Inventory, net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transaction costs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taxes</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software</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common stock options</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convertible notes payable</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term loan</w:t>
            </w:r>
          </w:p>
        </w:tc>
        <w:tc>
          <w:tcPr>
            <w:tcW w:w="12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non-convertible term loan</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Effect of foreign currency translation on cash and cash equivalents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tcBorders>
              <w:bottom w:val="single" w:sz="8" w:color="CCEEFF"/>
              <w:right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35,154</w:t>
            </w:r>
          </w:p>
        </w:tc>
        <w:tc>
          <w:tcPr>
            <w:tcW w:w="220" w:type="dxa"/>
            <w:vAlign w:val="bottom"/>
            <w:tcBorders>
              <w:bottom w:val="single" w:sz="8" w:color="CCEEFF"/>
              <w:right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20,586</w:t>
            </w:r>
          </w:p>
        </w:tc>
        <w:tc>
          <w:tcPr>
            <w:tcW w:w="220" w:type="dxa"/>
            <w:vAlign w:val="bottom"/>
            <w:tcBorders>
              <w:bottom w:val="single" w:sz="8" w:color="CCEEFF"/>
              <w:right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right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526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right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 recorded for operating lease right-of-use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right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Amount of term loan proceeds allocated to warrant liabilities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right w:val="single" w:sz="8" w:color="auto"/>
            </w:tcBorders>
            <w:vMerge w:val="continue"/>
          </w:tcPr>
          <w:p>
            <w:pPr>
              <w:spacing w:after="0"/>
              <w:rPr>
                <w:sz w:val="19"/>
                <w:szCs w:val="19"/>
                <w:color w:val="auto"/>
              </w:rPr>
            </w:pPr>
          </w:p>
        </w:tc>
        <w:tc>
          <w:tcPr>
            <w:tcW w:w="2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Exchange preferred stock for pre-funded warrants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right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147"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147"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Adagio Medical Holding, Inc. (formerly known as Aja Holdco, Inc.) and its wholly-owned subsidiaries (collectively, the “Company”, the “Successor”) is medical device company focused on developing and commercializing products for the treatment of cardiac arrhythmias. The Company’s unique, proprietary technology portfolio consists of Ultra-Low Temperature Cryoablation (“ULTC”) both alone and in combination with Pulsed Field Ablation (also known as Pulsed Field Cryoablation or “PFCA”), along with associated catheters and consoles. Legacy Adagio (as defined below) received CE Marking in Europe for its VT Cryoablation System in March 2024 and has commercially launched in the EU. The Company has not launched commercially in the U.S. but is working towards obtaining the necessary regulatory approvals to do so. The Company is headquartered in Laguna Hills, California.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 Forward Merger</w:t>
      </w:r>
      <w:r>
        <w:rPr>
          <w:rFonts w:ascii="Times New Roman" w:cs="Times New Roman" w:eastAsia="Times New Roman" w:hAnsi="Times New Roman"/>
          <w:sz w:val="18"/>
          <w:szCs w:val="18"/>
          <w:color w:val="auto"/>
        </w:rPr>
        <w:t xml:space="preserve"> for details of the Business Combination.</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(as defined below) began trading on August 1, 2024, under the symbol ADGM on the Nasdaq Capital Market (NASDAQ: ADGM).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the Company will continue as a going concern. The Company has limited revenue and has experienced recurring operating losses and negative cash flows from operations since its inception and anticipates that it will continue to do so for at least the next several years.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the Successor reported cash and cash equivalents of $20.6 million, and an accumulated deficit of $70.6 million. For the period from July 31, 2024 to December 31, 2024 (Successor), from January 1, 2024 to July 30, 2024 (Predecessor), and for the year ended December 31, 2023 (Predecessor), net loss was $(53.8) million, $(21.3) million, and $(36.6) million, respectively. The net cash used in operating activities was $13.5 million, $16.0 million, and $25.7 million, respectively.</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Management does not believe the Company's current cash and cash equivalents are sufficient to fund operations for at least the next 12 months from the issuance date of the consolidated financial statements. Management believes that this raises substantial doubt about the Company’s ability to continue as a going concern.</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Management intends to mitigate the conditions and events that raise substantial doubt about its ability to continue as a going concern entity by (i) negotiate other cash equity or debt financing in the short-term, (ii) continue to pursue the necessary regulatory approvals to launch commercially in the U.S. market, and (iii) execute cost-cutting measures to manage cash burn. However, there can be no assurances that the current plans will generate any liquidity to the Company or be available on terms acceptable to the Company.</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Realignment of Resources and Corporate Restructuring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December 1, 2023, Legacy Adagio approved a strategic realignment of resources and corporate restructuring (the “RIF”) designed to reallocate capital, conformant to its business focus for the next two years.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part of the RIF, Legacy Adagio initiated a reduction in its workforce of 20 employees, representing approximately 19% of Legacy Adagio’s employees, which was completed on December 15, 2023. Legacy Adagio made no payment for severance or related benefit costs. Legacy Adagio made no payment of retention bonuses.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results of operations and cash flows for the period from July 31, 2024 through December 31, 2024.</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application of the acquisition method of accounting as of the Closing Date of the Business Combination, the accompanying consolidated financial statements include a black line division that indicates that the Predecessor and Successor reporting entities shown are presented on a different basis and are therefore, not comparable.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Adagio Medical Holdings, Inc., and its wholly-owned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generates product revenue primarily from the sale of cryoablation catheters (collectively, the “Consumables”) used with the Company’s cryoablation consoles (“Consoles”). The Company sells its products directly to hospitals and medical centers. To a lesser extent, the Company also generates lease revenue from the implied rental of Consoles loaned to customers at no charge.</w:t>
      </w:r>
    </w:p>
    <w:p>
      <w:pPr>
        <w:spacing w:after="0" w:line="7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spacing w:after="0" w:line="75"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or as, the Company satisfies a performance obligation.</w:t>
      </w:r>
    </w:p>
    <w:p>
      <w:pPr>
        <w:spacing w:after="0" w:line="9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Revenue allocated to the lease components was not material for the periods from January 1, 2024 to July 30, 2024 (Predecessor), from July 31, 2024 to December 31, 2024 (Successor) and for the year ended December 31, 2023 (Predecessor).</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sales to customers of the Consumables is classified as revenue in the Company's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Revenue Considerations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Revenue is reported net of sales tax. The Company has made the accounting policy election not to recognize a separate performance obligation for the shipment of products to the customer but to account for it as fulfillment cost.</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Any incremental costs to obtain contracts are recorded as selling, general and administrative expense as incurred due to the short duration of the Company’s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80"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For the periods from January 1, 2024 to July 30, 2024 (Predecessor), from July 31, 2024 to December 31, 2024 (Successor), and for the year ended December 31, 2023 (Predecessor), revenue was generated only from European markets.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Inventory consists of raw materials, work-in-process, and finished products and is valued at the lower of cost or net realizable value. The method by which that amounts are removed from the inventory is first-in first-out (“FIFO”).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and amortization are provided using the straight-line method over the estimated useful lives of the related assets, generally three to five years, or, in the case of leasehold improvements, over the remaining life of the lease term. Specifically, Consoles had a five-year useful life as of December 31, 2023, and effective on January 1, 2024, the useful life of Consoles was changed to three years to better reflect the estimated periods during which these Consoles will remain in service. The impact of the change in the estimated useful life of Consoles is not material to the Predecessor Periods or Successor Periods, nor to the future remaining life of the Consoles.</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intangible assets subject to amortization and other long-lived assets, are reviewed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values and the loss is recognized in the consolidated statements of operations.</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the Company determined that there was no impairment of definite-lived intangible assets. The Company determined that as of December 31, 2024, the fair value of its definite lived intangible assets was less than the carrying amount. As a result, the Company recorded a $3.8 million impairment charge during the period from July 31, 2024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December 31, 2024 (Successor). The impairment was driven by a sustained decline in the Company’s share price and market capitalization.</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the Company determined that there was no impairment of indefinite-lived intangible assets. The Company determined that as of December 31, 2024, the fair value of its indefinite-lived intangible assets was less than the carrying amount. As a result, the Company recorded a $15.1 million impairment charge during the period from July 31, 2024 to December 31, 2024 (Successor). The impairment was driven by a sustained decline in the Company’s share price and market capitalization.</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the Company tests goodwill for impairment at the reporting unit level. The Company has one reporting unit for the goodwill impairment testing purposes.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the Company determined that there was no goodwill impairment.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had two suppliers each exceed 10% of total accounts payable as of December 31, 2024 (Successor), representing 55% of accounts payable. As of December 31, 2023 (Predecessor), Legacy Adagio has three suppliers each exceed 10% of total accounts payable, representing 72% of accounts payable.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five and ten largest suppliers accounted for approximately 47% and 65%, respectively, of the Company’s expenditures for the period from July 31, 2024 to December 31, 2024 (Successor). Legacy Adagio’s five and ten largest suppliers accounted for approximately 45% and 54%, respectively, of Legacy Adagio’s expenditures for the year ended December 31, 2023 (Predecessor).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periods from January 1, 2024 to July 30, 2024 (Predecessor), July 31, 2024 to December 31, 2024 (Successor), and for the year ended December 31, 2023 (Predecessor), the Company determined that there was no impairment of long-lived assets.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consolidated balance sheets and foreign currency translation adjustment in the consolidated statements of operations and comprehensive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lease property under ASC 842. Under this guidance, arrangements meeting the definition of a lease are classified as operating or financing leases, and are recorded on the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calculating the right-of-use asset and lease liability, the Company elected to combine lease and non-lease components for its real estate leases. The Company adopted the policy election to exclude short-term leases having initial terms of twelve months from the initial recognition provisions of ASC 842. Refer to </w:t>
      </w:r>
      <w:r>
        <w:rPr>
          <w:rFonts w:ascii="Times New Roman" w:cs="Times New Roman" w:eastAsia="Times New Roman" w:hAnsi="Times New Roman"/>
          <w:sz w:val="18"/>
          <w:szCs w:val="18"/>
          <w:i w:val="1"/>
          <w:iCs w:val="1"/>
          <w:color w:val="auto"/>
        </w:rPr>
        <w:t>Note 11- Operating Leases</w:t>
      </w:r>
      <w:r>
        <w:rPr>
          <w:rFonts w:ascii="Times New Roman" w:cs="Times New Roman" w:eastAsia="Times New Roman" w:hAnsi="Times New Roman"/>
          <w:sz w:val="18"/>
          <w:szCs w:val="18"/>
          <w:color w:val="auto"/>
        </w:rPr>
        <w:t xml:space="preserve"> for additional details.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implied rental agreements for its Consoles qualify as operating leases and as such, revenue is recognized in accordance with ASC 842, Leases and ASC 606, Revenue from Contracts with Customers. Revenue allocated to the lease components were not significant for the periods from January 1, 2024 to July 30, 2024 (Predecessor), from July 31, 2024 to December 31, 2024 (Successor), and for the year ended December 31, 2023 (Predecessor).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the Company’s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Cost of revenue also includes the depreciation expense of Consoles loaned to the customers.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expenses relating to possible future products are expensed as incurred. The Company also accrues and expenses costs for activities associated with clinical trials performed by third parties as incurred.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and corporate matters, professional fees for accounting and consulting services, marketing costs and insurance costs. The Company expenses all selling, general, and administrative costs as incurred. The incurred transaction costs are recorded in selling, general, and administrative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Transaction Costs (Predecessor)</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Legacy Adagio accrued transaction costs, consisting primarily of legal, accounting and other professional fees, which were incurred and expensed, but not yet paid. The accrued expenses as of December 31, 2023 (Predecessor) are recorded in accrued transaction costs on the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spacing w:after="0" w:line="183"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prices for similar assets or liabilities that are directly or indirectly observable in the marketplace.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ASC 825, Financial Instruments (“ASC 825”), Legacy Adagio elected the fair value option to account for the Convertible Securities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(as defined below), in order to measure those liabilities at amounts that more accurately reflect the current economic environment in which the Legacy Adagio and the Company operated.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Convertible Securities Notes mentioned above were recorded at fair value at issuance and subsequently were remeasured to fair value at the end of each reporting period. The change in fair value of the Convertible Securities Notes, excluding amounts related to interest, is recorded in “Convertible notes fair value adjustment”, while amounts related to interest are recorded as interest expense in the consolidated statements of operations and comprehensive loss.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18"/>
          <w:szCs w:val="18"/>
          <w:i w:val="1"/>
          <w:iCs w:val="1"/>
          <w:color w:val="auto"/>
        </w:rPr>
        <w:t>Note 4- Fair Value Measurements</w:t>
      </w:r>
      <w:r>
        <w:rPr>
          <w:rFonts w:ascii="Times New Roman" w:cs="Times New Roman" w:eastAsia="Times New Roman" w:hAnsi="Times New Roman"/>
          <w:sz w:val="18"/>
          <w:szCs w:val="18"/>
          <w:color w:val="auto"/>
        </w:rPr>
        <w:t xml:space="preserve"> for further detail.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has Convert Warrants (as defined below) issued along with the Convertible Securities Notes, and PIPE Pre-funded Warrants (as defined below) issued in PIPE Financing (as defined below), which are classified as liabilities. The Company also has PIPE Base Warrants (as defined below) issued in PIPE Financing, which is classified as equity. Legacy Adagio has certain common stock warrants (“SVB Warrants”) issued along with the SVB Term Loan (as defined below) and pre-funded warrants to purchase Series E preferred stock (“Series E Pre-funded Warrants”), which were both classified as liabilities.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and Legacy Adagio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consolidated statements of operations and comprehensive loss.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non-current based on whether or not net-cash settlement of the derivative instrument could be required within twelve months of the consolidated balance sheet date.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Warrants</w:t>
      </w:r>
      <w:r>
        <w:rPr>
          <w:rFonts w:ascii="Times New Roman" w:cs="Times New Roman" w:eastAsia="Times New Roman" w:hAnsi="Times New Roman"/>
          <w:sz w:val="18"/>
          <w:szCs w:val="18"/>
          <w:color w:val="auto"/>
        </w:rPr>
        <w:t xml:space="preserve"> for additional information related to the warrants.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Predecessor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consolidated statements of operations and comprehensive loss over the contractual term of the loan. See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for additional information related to the term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spacing w:after="0" w:line="19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the Legacy Adagio preferred stock is considered to be contingently redeemable, the Legacy Adagio preferred stock has been classified outside of permanent equity.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 Refer to </w:t>
      </w:r>
      <w:r>
        <w:rPr>
          <w:rFonts w:ascii="Times New Roman" w:cs="Times New Roman" w:eastAsia="Times New Roman" w:hAnsi="Times New Roman"/>
          <w:sz w:val="18"/>
          <w:szCs w:val="18"/>
          <w:i w:val="1"/>
          <w:iCs w:val="1"/>
          <w:color w:val="auto"/>
        </w:rPr>
        <w:t>Note 14- Stock-Based Compensation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consolidated financial statements. Deferred tax assets and liabilities are determined based on the difference between the consolidated financial statement and tax bases of assets and liabilities using enacted tax rates in effect for the year in which the differences are expected to reverse and include NOL carryforwards and Research and Development (“R&amp;D”) tax credit carryforwards. Valuation allowances are provided if, based upon the weight of available evidence, it is more likely than not that some or all of the deferred tax assets will not be realized.</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and penalties on its consolidated balance sheets and has not recognized interest and/or penalties in the consolidated statements of operations and comprehensive loss for the periods from January 1, 2024 to July 30, 2024 (Predecessor), July 31, 2024 to December 31, 2024 (Successor), and for the year ended December 31, 2023 (Predecessor), respectively.</w:t>
      </w:r>
    </w:p>
    <w:p>
      <w:pPr>
        <w:spacing w:after="0" w:line="185"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To date, there have been no interest or penalties charged in relation to the unrecognized tax benefits. Refer to </w:t>
      </w:r>
      <w:r>
        <w:rPr>
          <w:rFonts w:ascii="Times New Roman" w:cs="Times New Roman" w:eastAsia="Times New Roman" w:hAnsi="Times New Roman"/>
          <w:sz w:val="18"/>
          <w:szCs w:val="18"/>
          <w:i w:val="1"/>
          <w:iCs w:val="1"/>
          <w:color w:val="auto"/>
        </w:rPr>
        <w:t xml:space="preserve">Note 16-Income Taxes </w:t>
      </w:r>
      <w:r>
        <w:rPr>
          <w:rFonts w:ascii="Times New Roman" w:cs="Times New Roman" w:eastAsia="Times New Roman" w:hAnsi="Times New Roman"/>
          <w:sz w:val="18"/>
          <w:szCs w:val="18"/>
          <w:color w:val="auto"/>
        </w:rPr>
        <w:t>for additional details.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November 2024,</w:t>
      </w:r>
      <w:r>
        <w:rPr>
          <w:rFonts w:ascii="Times New Roman" w:cs="Times New Roman" w:eastAsia="Times New Roman" w:hAnsi="Times New Roman"/>
          <w:sz w:val="18"/>
          <w:szCs w:val="18"/>
          <w:color w:val="auto"/>
        </w:rPr>
        <w:t xml:space="preserve"> the FASB issued ASU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Disaggregation of Income Statement Expenses</w:t>
      </w:r>
      <w:r>
        <w:rPr>
          <w:rFonts w:ascii="Times New Roman" w:cs="Times New Roman" w:eastAsia="Times New Roman" w:hAnsi="Times New Roman"/>
          <w:sz w:val="18"/>
          <w:szCs w:val="18"/>
          <w:color w:val="auto"/>
        </w:rPr>
        <w:t xml:space="preserve">, which requires annual and interim disclosure of disaggregated disclosures of certain costs and expenses on the income statement. The standard is effective for fiscal years beginning after </w:t>
      </w:r>
      <w:r>
        <w:rPr>
          <w:rFonts w:ascii="Times New Roman" w:cs="Times New Roman" w:eastAsia="Times New Roman" w:hAnsi="Times New Roman"/>
          <w:sz w:val="18"/>
          <w:szCs w:val="18"/>
          <w:i w:val="1"/>
          <w:iCs w:val="1"/>
          <w:color w:val="auto"/>
        </w:rPr>
        <w:t>December 15, 2026,</w:t>
      </w:r>
      <w:r>
        <w:rPr>
          <w:rFonts w:ascii="Times New Roman" w:cs="Times New Roman" w:eastAsia="Times New Roman" w:hAnsi="Times New Roman"/>
          <w:sz w:val="18"/>
          <w:szCs w:val="18"/>
          <w:color w:val="auto"/>
        </w:rPr>
        <w:t xml:space="preserve"> and interim periods within fiscal years beginning after </w:t>
      </w:r>
      <w:r>
        <w:rPr>
          <w:rFonts w:ascii="Times New Roman" w:cs="Times New Roman" w:eastAsia="Times New Roman" w:hAnsi="Times New Roman"/>
          <w:sz w:val="18"/>
          <w:szCs w:val="18"/>
          <w:i w:val="1"/>
          <w:iCs w:val="1"/>
          <w:color w:val="auto"/>
        </w:rPr>
        <w:t>December 15, 2027,</w:t>
      </w:r>
      <w:r>
        <w:rPr>
          <w:rFonts w:ascii="Times New Roman" w:cs="Times New Roman" w:eastAsia="Times New Roman" w:hAnsi="Times New Roman"/>
          <w:sz w:val="18"/>
          <w:szCs w:val="18"/>
          <w:color w:val="auto"/>
        </w:rPr>
        <w:t xml:space="preserve"> with early adoption permitted. Amendments are applied on a prospective basis with retrospective application permitted. The Company is currently evaluating the impact of this guidance.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ASU </w:t>
      </w:r>
      <w:r>
        <w:rPr>
          <w:rFonts w:ascii="Times New Roman" w:cs="Times New Roman" w:eastAsia="Times New Roman" w:hAnsi="Times New Roman"/>
          <w:sz w:val="18"/>
          <w:szCs w:val="18"/>
          <w:i w:val="1"/>
          <w:iCs w:val="1"/>
          <w:color w:val="auto"/>
        </w:rPr>
        <w:t>2023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07,</w:t>
      </w:r>
      <w:r>
        <w:rPr>
          <w:rFonts w:ascii="Times New Roman" w:cs="Times New Roman" w:eastAsia="Times New Roman" w:hAnsi="Times New Roman"/>
          <w:sz w:val="18"/>
          <w:szCs w:val="18"/>
          <w:color w:val="auto"/>
        </w:rPr>
        <w:t xml:space="preserve"> Segment Reporting (Topic </w:t>
      </w:r>
      <w:r>
        <w:rPr>
          <w:rFonts w:ascii="Times New Roman" w:cs="Times New Roman" w:eastAsia="Times New Roman" w:hAnsi="Times New Roman"/>
          <w:sz w:val="18"/>
          <w:szCs w:val="18"/>
          <w:i w:val="1"/>
          <w:iCs w:val="1"/>
          <w:color w:val="auto"/>
        </w:rPr>
        <w:t>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i w:val="1"/>
          <w:iCs w:val="1"/>
          <w:color w:val="auto"/>
        </w:rPr>
        <w:t xml:space="preserve"> fourth </w:t>
      </w:r>
      <w:r>
        <w:rPr>
          <w:rFonts w:ascii="Times New Roman" w:cs="Times New Roman" w:eastAsia="Times New Roman" w:hAnsi="Times New Roman"/>
          <w:sz w:val="18"/>
          <w:szCs w:val="18"/>
          <w:color w:val="auto"/>
        </w:rPr>
        <w:t>quarter of</w:t>
      </w:r>
      <w:r>
        <w:rPr>
          <w:rFonts w:ascii="Times New Roman" w:cs="Times New Roman" w:eastAsia="Times New Roman" w:hAnsi="Times New Roman"/>
          <w:sz w:val="18"/>
          <w:szCs w:val="18"/>
          <w:i w:val="1"/>
          <w:iCs w:val="1"/>
          <w:color w:val="auto"/>
        </w:rPr>
        <w:t xml:space="preserve"> 2024. </w:t>
      </w:r>
      <w:r>
        <w:rPr>
          <w:rFonts w:ascii="Times New Roman" w:cs="Times New Roman" w:eastAsia="Times New Roman" w:hAnsi="Times New Roman"/>
          <w:sz w:val="18"/>
          <w:szCs w:val="18"/>
          <w:color w:val="auto"/>
        </w:rPr>
        <w:t>The amendments in this update require public entities to disclose, on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interim basis, significant segment expenses that are regularly provided to the chief operating decision maker (the “CODM”) and which are included within each reported measure of segment profit or loss as well as disclosure of other segment items and a description of their composition. The amendments also require public entities to disclose the title and position of the CODM and an explanation of how the CODM uses the reported measure(s) of segment profit or loss in assessing segment performance and deciding how to allocate resources. The adoption of this guidance resulted in incremental disclosures in the Company’s consolidated financial statements. Refer to </w:t>
      </w:r>
      <w:r>
        <w:rPr>
          <w:rFonts w:ascii="Times New Roman" w:cs="Times New Roman" w:eastAsia="Times New Roman" w:hAnsi="Times New Roman"/>
          <w:sz w:val="18"/>
          <w:szCs w:val="18"/>
          <w:i w:val="1"/>
          <w:iCs w:val="1"/>
          <w:color w:val="auto"/>
        </w:rPr>
        <w:t>Note 18- Segment Reporting</w:t>
      </w:r>
      <w:r>
        <w:rPr>
          <w:rFonts w:ascii="Times New Roman" w:cs="Times New Roman" w:eastAsia="Times New Roman" w:hAnsi="Times New Roman"/>
          <w:sz w:val="18"/>
          <w:szCs w:val="18"/>
          <w:color w:val="auto"/>
        </w:rPr>
        <w:t xml:space="preserve"> for additional details.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Forward Merger</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ARYA, ListCo, ARYA Merger Sub, and Company Merger Sub, entered into a Business Combination Agreement, which was amended by the Consent and Amendment No. 1 to the Business Combination Agreement, dated as of June 25, 2024.</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Transaction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Upon the consummation of the Business Combination,</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A ordinary share of ARYA, par value $0.0001 per share, were automatically cancelled, extinguished and converted into one share of common stock, par value $0.0001 per share, of the Company (“Company’s common stock”).</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B ordinary share of ARYA, par value $0.0001 per share, are automatically cancelled, extinguished and converted into the right to receive one share of the Company’s common stock, other than (i) 1,000,000 Class B ordinary shares that are forfeited by the Sponsor, and issued to the PIPE Investors (as defined below), including the Perceptive PIPE Investor (as defined below); (ii) 1,147,500 shares of the Company’s common stock issuable to the Sponsor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8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Legacy Adagio (other than the Series E Pre-funded Warrants) was terminated in accordance with the terms of the applicable warrant agreement.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convertible promissory notes of Legacy Adagio (excluding the Bridge Financing Notes and the 2024 Bridge Financing Notes), including any accrued and unpaid interest thereon, are automatically and fully converted into shares of Legacy Adagio common stock in accordance with the terms of such convertible promissory notes, and such convertible promissory notes are cancelled, satisfied, extinguished, discharged and retired in connection with such conversion.</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Adagio preferred stock, par value $0.001 per share, that is issued and outstanding are automatically converted into shares of Legacy Adagio common stock on a one-to-one basis.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Legacy Adagio common stock including Series E Pre-funded Warrants that had been issued and outstanding are automatically cancelled and extinguished and converted into shares of the Company’s common stock based on the exchange ratio set forth in the Business Combination Agreement.</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Legacy Adagio common stock (“Legacy Adagio Option”) that had been vested prior to the Closing with an aggregate value that exceeds the aggregate exercise price of such Legacy Adagio Option (each an “In-the-Money Adagio Options”) are cancelled and extinguished in exchange for options to purchase shares of the Company’s common stock, and each issued and outstanding Legacy Adagio equity award (other than an In-the-Money Adagio Options) are automatically cancelled and extinguished for no consideration, and each holder thereof will cease to have any rights with respect thereto.</w:t>
      </w:r>
    </w:p>
    <w:p>
      <w:pPr>
        <w:spacing w:after="0" w:line="18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2024 Bridge Financing Notes is converted into Convertible Securities Notes and Convert Warrants (as defined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have committed financing valued at $64.5 million (the “PIPE Financing”).</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PIPE Financing included:</w:t>
      </w:r>
    </w:p>
    <w:p>
      <w:pPr>
        <w:spacing w:after="0" w:line="225" w:lineRule="exact"/>
        <w:rPr>
          <w:sz w:val="20"/>
          <w:szCs w:val="20"/>
          <w:color w:val="auto"/>
        </w:rPr>
      </w:pPr>
    </w:p>
    <w:p>
      <w:pPr>
        <w:jc w:val="both"/>
        <w:ind w:left="60" w:right="59" w:firstLine="314"/>
        <w:spacing w:after="0" w:line="266" w:lineRule="auto"/>
        <w:tabs>
          <w:tab w:leader="none" w:pos="7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5"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Company’s common stock and 343,756 Base Warrants.</w:t>
      </w:r>
    </w:p>
    <w:p>
      <w:pPr>
        <w:spacing w:after="0" w:line="161"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purchase 1,036,666 shares of Company’s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60" w:right="59" w:firstLine="314"/>
        <w:spacing w:after="0" w:line="266" w:lineRule="auto"/>
        <w:tabs>
          <w:tab w:leader="none" w:pos="7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w:t>
      </w:r>
    </w:p>
    <w:p>
      <w:pPr>
        <w:spacing w:after="0" w:line="17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return for the investment specified in (iv) and (v) above, the Perceptive PIPE Investor received 6,622,959 shares of the Company’s common stock and 5,445,069 Base Warrants.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will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as further described in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Method of Accounting</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Business Combination has been accounted for as a forward-merger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(“VIE”) and the primary beneficiary of Legacy Adagio was treated as the accounting acquirer.</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ListCo is the primary beneficiary of Legacy Adagio. ListCo will hold 100% of the voting rights of Legacy Adagio and will control the Board of Directors of Legacy Adagio. Therefore, ListCo will have the sole power to control the significant activities that will impact Legacy Adagio’s economic performance. ListCo’s equity interest in Legacy Adagio will result in the right to receive benefits and the obligation to absorb the losses of Legacy Adagio that could be significant to ListCo.</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purchase price calculation (in thousands except share and per share data):</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the Company’s common stock issued</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replacement stock options granted to Legacy Adagio’s option holders by the Company</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and stock options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Multiplied by the Company’s common stock price at the Closing</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PIPE Base Warrants issued in lieu of settling Bridge Financing Notes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Multiplied by estimated value of PIPE Base Warrants at the Closing</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PIPE Base Warrants issued in lieu of settling Bridge Financing Notes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allocation of the purchase price was as follows (in thousands):</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7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44,291</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net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77,252</w:t>
            </w:r>
          </w:p>
        </w:tc>
      </w:tr>
      <w:tr>
        <w:trPr>
          <w:trHeight w:val="197"/>
        </w:trPr>
        <w:tc>
          <w:tcPr>
            <w:tcW w:w="7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payable, long-term</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50"/>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w:t>
            </w:r>
          </w:p>
        </w:tc>
      </w:tr>
      <w:tr>
        <w:trPr>
          <w:trHeight w:val="196"/>
        </w:trPr>
        <w:tc>
          <w:tcPr>
            <w:tcW w:w="78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53,546</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5 years for developed technology based on consideration of the economic benefit of the asset. Refer to </w:t>
      </w:r>
      <w:r>
        <w:rPr>
          <w:rFonts w:ascii="Times New Roman" w:cs="Times New Roman" w:eastAsia="Times New Roman" w:hAnsi="Times New Roman"/>
          <w:sz w:val="18"/>
          <w:szCs w:val="18"/>
          <w:i w:val="1"/>
          <w:iCs w:val="1"/>
          <w:color w:val="auto"/>
        </w:rPr>
        <w:t>Note 7-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Intangible Assets </w:t>
      </w:r>
      <w:r>
        <w:rPr>
          <w:rFonts w:ascii="Times New Roman" w:cs="Times New Roman" w:eastAsia="Times New Roman" w:hAnsi="Times New Roman"/>
          <w:sz w:val="18"/>
          <w:szCs w:val="18"/>
          <w:color w:val="auto"/>
        </w:rPr>
        <w:t>for details.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issued and amounts recorded on the line within stockholders’ equity (deficit) are reflected below to arrive at the opening consolidated balance sheet of the Successor.</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07"/>
        </w:trPr>
        <w:tc>
          <w:tcPr>
            <w:tcW w:w="5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APIC</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5180" w:type="dxa"/>
            <w:vAlign w:val="bottom"/>
          </w:tcPr>
          <w:p>
            <w:pPr>
              <w:spacing w:after="0"/>
              <w:rPr>
                <w:sz w:val="9"/>
                <w:szCs w:val="9"/>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64"/>
        </w:trPr>
        <w:tc>
          <w:tcPr>
            <w:tcW w:w="5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ListCo closing equity as of July 30,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 carried over from ARYA</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of cash proceeds in PIPE Financing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ARYA convertible promissory Notes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 ARYA Class A ordinary shares and Class B ordinary</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2,089,000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A ordinary shares subject to redemption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for acquisition of Legacy Adagio</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Additional shares issued and reclassification of Class A ordinary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subject to non-redemption agreements and open market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761,229</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Successor’s opening equity as of July 31, 2024 (Successor)</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conversion of the ARYA’s equity outstanding prior to the Closing Date, for each issued and outstanding Class B ordinary share of ARYA at par value $0.0001 per share, a total of 1,147,500 shares (“Earn-out Shares”) of the Company’s common stock are issuable to the Sponsor, which are subject to vesting based on a share price trigger. These shares will vest if, within ten years of the Closing, the share price of the Company’s Common Stock reaches or exceeds $24.00 per share for at least 20 trading days within a 30-day period. As of the reporting date, the vesting of these shares was not considered probable.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for the Company as though the Business Combination had occurred on January 1, 2023 and has been derived from the historical consolidated financial statements of the Company’s Predecessor Periods and the Successor Period. The Successor and Predecessor Periods for the years ended December 31, 2024 and 2023 have been combined. The unaudited pro forma financial information has been presented for illustrative purposes only and is not necessarily indicative of results of operations that would have been achieved had the acquisition taken place on the date indicated, or the future consolidated results of operations of the Company.</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1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(28,987)</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(26,113)</w:t>
            </w:r>
          </w:p>
        </w:tc>
      </w:tr>
    </w:tbl>
    <w:p>
      <w:pPr>
        <w:spacing w:after="0" w:line="17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results reflect the adjustments for recording the step-up amortization adjustments for the fair value of intangible assets acquired, reversal of change in fair value of Legacy Adagio Convertible Notes and warrants, reversal of interest on Legacy Adagio Convertible Notes, reversal of interest on Legacy Adagio’s SVB Term Loan, and recording interest on Convertible Securities 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short-term nature. The convertible notes, common stock warrant liabilities, and pre-funded warrant liabilities are carried at fair value.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recognized at fair value on a recurring basis in the consolidated balance sheets consists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at fair value based on the fair value hierarchy for each class of instrument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account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Securities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w:t>
            </w: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PIPE Pre-funded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36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(Predecessor)</w:t>
            </w: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4"/>
                <w:szCs w:val="24"/>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account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Adagio Convertible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36,430</w:t>
            </w: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SVB 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were no transfers made among the three levels in the fair value hierarchy for the periods from January 1, 2024 to July 30, 2024 (Predecessor), from July 31, 2024 to December 31, 2024 (Successor) and for the year ended December 31, 2023 (Predecessor).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Legacy Adagio Convertible Notes (Predecessor)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for details.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April 4, 2023, Legacy Adagio issued a $5.0 million convertible promissory note to Perceptive PIPE Investor that matured upon the termination of the Business Combination Agreement in accordance with its terms. The April 2023 Convertible Notes accrues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total of $15.0 million convertible promissory note has been drawn by Legacy Adagio.</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28, 2023, Legacy Adagio issued a $2.0 million convertible promissory note to Perceptive PIPE Investor that matured upon the termination of the Business Combination Agreement in accordance with its terms. The November 2023 Convertible Notes accrues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total of $8.0 million convertible promissory note has been drawn by Legacy Adagio.</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13, 2024, Legacy Adagio issued a $7.0 million convertible promissory note to Perceptive PIPE Investor that matured upon the termination of the Business Combination Agreement in accordance with its terms. The 2024 Bridge Financing Note accrues simple interest at eight percent (8.0%) per annum. Prior to the Closing Date, the total of $7.0 million convertible promissory note has been drawn by Legacy Adagio. Upon the consummation of the Business Combination, the 2024 Bridge Financing Note of $7.0 million converted into $7.0 million of the Company’s Convertible Securities Notes and 525,000 Convert Warrants. Refer to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for details.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May 21, 2024, Legacy Adagio issued a $3.0 million convertible promissory note to Perceptive PIPE Investor that matured upon the termination of the Business Combination Agreement in accordance with its terms. The May 2024 Convertible Notes accrues simple interest at eight percent (8.0%) per annum. Prior to the Closing Date, the total of $3.0 million convertible promissory note has been drawn by Legacy Adagio.</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June 25, 2024, Legacy Adagio issued a $2.5 million convertible promissory note to Perceptive PIPE Investor that matured upon the termination of the Business Combination Agreement in accordance with its terms. The June 2024 Convertible Notes accrues simple interest at eight percent (8.0%) per annum. Prior to the Closing Date, the total of $2.5 million convertible promissory note has been drawn by Legacy Adagio.</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that matured upon the termination of the Business Combination Agreement in accordance with its terms. It accrues simple interest at eight percent (8.0%) per annum. Prior to the Closing Date, the total of $1.0 million convertible promissory note has been drawn by Legacy Adagio.</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Upon the consummation of the Business Combination, the principal of Bridge Financing Notes along with its accrued but unpaid interest, was converted into the shares of the Company’s Common Stock and Base Warrants as part of the PIPE Financing. Refer to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for details.</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Legacy Adagio Convertible Notes at fair value based on significant inputs not observable in the market, which caused them to be classified as Level 3 measurements within the fair value hierarchy.</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fair value of the Legacy Adagio Convertible Notes as of December 31, 2023, the Company applied the probability-weighted expected return method (“PWERM”). The PWERM determines the value of an instrument based upon an analysis of future values for the potential instrument payouts under different future outcomes. The instrument value is based upon the present value of the probability of each future outcome becoming available to the instrument holders, and the rights of each security.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calculated the estimated fair value of convertible promissory notes as of December 31, 2023 using the following assumptions: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8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2023 (Predecessor)</w:t>
            </w: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8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8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0" w:type="dxa"/>
            <w:vAlign w:val="bottom"/>
          </w:tcPr>
          <w:p>
            <w:pPr>
              <w:spacing w:after="0"/>
              <w:rPr>
                <w:sz w:val="1"/>
                <w:szCs w:val="1"/>
                <w:color w:val="auto"/>
              </w:rPr>
            </w:pPr>
          </w:p>
        </w:tc>
      </w:tr>
      <w:tr>
        <w:trPr>
          <w:trHeight w:val="173"/>
        </w:trPr>
        <w:tc>
          <w:tcPr>
            <w:tcW w:w="5600" w:type="dxa"/>
            <w:vAlign w:val="bottom"/>
            <w:gridSpan w:val="2"/>
            <w:vMerge w:val="continue"/>
          </w:tcPr>
          <w:p>
            <w:pPr>
              <w:spacing w:after="0"/>
              <w:rPr>
                <w:sz w:val="15"/>
                <w:szCs w:val="15"/>
                <w:color w:val="auto"/>
              </w:rPr>
            </w:pP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2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 Convertible Notes</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2023 Convertible Notes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2023 Convertible Notes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Legacy Adagio Convertible Notes as of July 31, 2024, prior to the Closing, the Company used the observed closing stock price of ARYA as of July 31, 2024, multiplied by the actual number of shares that the Legacy Adagio Convertible Notes converted into.</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year ended December 31, 2023 (Predecessor)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Year ended December 31, 2023 (Predecessor)</w:t>
            </w: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100" w:type="dxa"/>
            <w:vAlign w:val="bottom"/>
            <w:gridSpan w:val="2"/>
            <w:vMerge w:val="continue"/>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of year)</w:t>
            </w: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 Convertible Notes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1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2023 Convertible Notes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2023 Convertible Notes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period from January 1, 2024 to July 30, 2024 (Predecessor)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Period from January 1 to July 30, 2024 (Predecessor)</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2"/>
                <w:szCs w:val="12"/>
                <w:color w:val="auto"/>
              </w:rPr>
            </w:pPr>
          </w:p>
        </w:tc>
        <w:tc>
          <w:tcPr>
            <w:tcW w:w="7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 Convertible Notes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2023 Convertible Notes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2023 Convertible Notes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2024 Convertible Notes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2024 Convertible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2024 Convertible Notes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2024 Convertible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July 31, 2024, the Company issued the $20.0 million Convertible Securities Notes to Convert Investor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xml:space="preserve"> for details.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the Convertible Securities Notes at fair value based on significant inputs not observable in the market, which caused them to be classified as Level 3 measurements within the fair value hierarchy.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utilized the binomial lattice model to value the Convertible Securities Notes at the Closing Date and as of December 31, 2024. The following table summarizes the significant inputs as of the valuation dates: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Securities Notes</w:t>
            </w: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134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July 31, 2024</w:t>
            </w:r>
          </w:p>
        </w:tc>
        <w:tc>
          <w:tcPr>
            <w:tcW w:w="12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period from July 31, 2024 to December 31, 2024 (Successor)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Securities Notes - July 31, 2024 to December 31, 2024 (Successor)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1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16,076</w:t>
            </w:r>
          </w:p>
        </w:tc>
      </w:tr>
      <w:tr>
        <w:trPr>
          <w:trHeight w:val="20"/>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(Predecessor)</w:t>
      </w:r>
    </w:p>
    <w:p>
      <w:pPr>
        <w:spacing w:after="0" w:line="229" w:lineRule="exact"/>
        <w:rPr>
          <w:sz w:val="20"/>
          <w:szCs w:val="20"/>
          <w:color w:val="auto"/>
        </w:rPr>
      </w:pPr>
    </w:p>
    <w:p>
      <w:pPr>
        <w:ind w:left="700" w:hanging="326"/>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Pre-funded Warrants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June 25, 2024, the Legacy Adagio issued to certain investor the Series E Pre-funded Warrants to purchase the Legacy Adagio’s Series E Preferred Stock, in exchange of the investor’s existing holding of Series E Preferred Stock. The exercise price of the pre-funded warrants is $0.001 per warrant share. The Company measured the pre-funded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consolidated statements of operations and comprehensive loss. Refer to </w:t>
      </w:r>
      <w:r>
        <w:rPr>
          <w:rFonts w:ascii="Times New Roman" w:cs="Times New Roman" w:eastAsia="Times New Roman" w:hAnsi="Times New Roman"/>
          <w:sz w:val="18"/>
          <w:szCs w:val="18"/>
          <w:i w:val="1"/>
          <w:iCs w:val="1"/>
          <w:color w:val="auto"/>
        </w:rPr>
        <w:t>Note 10-Warrants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Series E Pre-funded Warrants is based on the fair value of the Series E Preferred Stock minus the exercise price. As of June 30, 2024, the Company estimated the fair value of the Series E Preferred Stock by applying a conversion factor of 1.08 to the indicated fair value of Legacy Adagio common stock.</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July 31, 2024, prior to the Closing, the Company estimated the fair value of Series E Pre-funded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is $0.3 million and $0.2 million, respectively.</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spacing w:after="0" w:line="176"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SVB Warrants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February 3, 2023, in conjunction with the Loan and Security Agreement (“LSA”) with Silicon Valley Bank (“SVB Term Loan”), Legacy Adagio issued Initial Warrants to purchase shares of common stock of the Company, and a contingent right to obtain an additional share of the common stock upon the non-occurrence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consolidated statements of operations and comprehensive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SVB Warrants were not material as of December 31, 2023 (Predecessor) and there were no material changes in fair value for the periods from January 1, 2024 to July 30, 2024 (Predecessor), and the period from July 31, 2024 to December 31, 2024 (Successor).</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SVB Warrants were terminated prior to the consummation of the Business Combination as the fair market value of Legacy Adagio common stock is lower than the warrant exercise price before the Closing. Refer to </w:t>
      </w:r>
      <w:r>
        <w:rPr>
          <w:rFonts w:ascii="Times New Roman" w:cs="Times New Roman" w:eastAsia="Times New Roman" w:hAnsi="Times New Roman"/>
          <w:sz w:val="18"/>
          <w:szCs w:val="18"/>
          <w:i w:val="1"/>
          <w:iCs w:val="1"/>
          <w:color w:val="auto"/>
        </w:rPr>
        <w:t>Note 10- Warrants</w:t>
      </w:r>
      <w:r>
        <w:rPr>
          <w:rFonts w:ascii="Times New Roman" w:cs="Times New Roman" w:eastAsia="Times New Roman" w:hAnsi="Times New Roman"/>
          <w:sz w:val="18"/>
          <w:szCs w:val="18"/>
          <w:color w:val="auto"/>
        </w:rPr>
        <w:t xml:space="preserve"> for additional information.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(Successor)</w:t>
      </w:r>
    </w:p>
    <w:p>
      <w:pPr>
        <w:spacing w:after="0" w:line="229" w:lineRule="exact"/>
        <w:rPr>
          <w:sz w:val="20"/>
          <w:szCs w:val="20"/>
          <w:color w:val="auto"/>
        </w:rPr>
      </w:pPr>
    </w:p>
    <w:p>
      <w:pPr>
        <w:ind w:left="700" w:hanging="326"/>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Warrants</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July 31, 2024, the Company issued 1,500,000 Convert Warrants in connection with the issuance of the $20.0 million Convertible Securities Notes. Refer to </w:t>
      </w:r>
      <w:r>
        <w:rPr>
          <w:rFonts w:ascii="Times New Roman" w:cs="Times New Roman" w:eastAsia="Times New Roman" w:hAnsi="Times New Roman"/>
          <w:sz w:val="18"/>
          <w:szCs w:val="18"/>
          <w:i w:val="1"/>
          <w:iCs w:val="1"/>
          <w:color w:val="auto"/>
        </w:rPr>
        <w:t>Note 10- Warrants</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Convert Warrants are classified as Level 3 measurements within the fair value hierarchy. The Company utilized the Black-Scholes-Merton option model to value the Convertible Securities Notes at the Closing Date and as of December 31, 2024. The following table summarizes the significant inputs as of the valuation dates: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 Warrants</w:t>
            </w:r>
          </w:p>
        </w:tc>
        <w:tc>
          <w:tcPr>
            <w:tcW w:w="16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July 31, 2024</w:t>
            </w:r>
          </w:p>
        </w:tc>
        <w:tc>
          <w:tcPr>
            <w:tcW w:w="200" w:type="dxa"/>
            <w:vAlign w:val="bottom"/>
          </w:tcPr>
          <w:p>
            <w:pPr>
              <w:spacing w:after="0"/>
              <w:rPr>
                <w:sz w:val="12"/>
                <w:szCs w:val="12"/>
                <w:color w:val="auto"/>
              </w:rPr>
            </w:pPr>
          </w:p>
        </w:tc>
        <w:tc>
          <w:tcPr>
            <w:tcW w:w="12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55.0 %</w:t>
            </w:r>
          </w:p>
        </w:tc>
        <w:tc>
          <w:tcPr>
            <w:tcW w:w="20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7"/>
              </w:rPr>
              <w:t>65.0 %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4.36 %</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5"/>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 Warrants measured at fair value for the period from July 31, 2024 to December 31, 2024 (Successor)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 Warrants - July 31, 2024 to December 31, 2024 (Successor)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0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PIPE Pre-funded Warrants</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July 31, 2024, the Company issued 670,000 pre-funded warrants in exchange for cash proceeds in PIPE Financing to certain Other PIPE Investors (“PIPE Pre-funded Warrants”). Refer to </w:t>
      </w:r>
      <w:r>
        <w:rPr>
          <w:rFonts w:ascii="Times New Roman" w:cs="Times New Roman" w:eastAsia="Times New Roman" w:hAnsi="Times New Roman"/>
          <w:sz w:val="18"/>
          <w:szCs w:val="18"/>
          <w:i w:val="1"/>
          <w:iCs w:val="1"/>
          <w:color w:val="auto"/>
        </w:rPr>
        <w:t>Note 10-Warrants</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PIPE Pre-funded Warrants are classified as Level 3 measurements within the fair value hierarchy. The fair value of the PIPE Pre-funded Warrants is based on the fair value of the Company’s common stock minus the exercise price.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December 26, 2024, a total of 670,000 pre-funded warrant shares were exercised on a cashless basis for 663,096 shares of the Company’s common stock. The exercise price for the pre-funded warrants was $0.9705 per share.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PIPE Pre-funded Warrants measured at fair value for the period from July 31, 2024 to December 31, 2024 (Successor) (in thousands):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PIPE Pre-funded Warrants - July 31, 2024 to December 31, 2024 (Successor)</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39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Inventory,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as of December 31, 2024 and December 31, 2023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20" w:type="dxa"/>
            <w:vAlign w:val="bottom"/>
          </w:tcPr>
          <w:p>
            <w:pPr>
              <w:spacing w:after="0"/>
              <w:rPr>
                <w:sz w:val="15"/>
                <w:szCs w:val="15"/>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6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6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0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Obsolete and expired inventory are expensed as incurred. Inventory is recorded net of obsolescence and manufacturing scrap of $0.8 million, $58.0 thousand, and $93.6 thousand for the periods from January 1, 2024 to July 30, 2024 (Predecessor), from July 31, 2024 to December 31, 2024 (Successor), and the year ended December 31, 2023 (Predecessor),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net, as of December 31, 2024 and December 31, 2023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6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r>
      <w:tr>
        <w:trPr>
          <w:trHeight w:val="173"/>
        </w:trPr>
        <w:tc>
          <w:tcPr>
            <w:tcW w:w="6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molds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 w:type="dxa"/>
            <w:vAlign w:val="bottom"/>
          </w:tcPr>
          <w:p>
            <w:pPr>
              <w:spacing w:after="0"/>
              <w:rPr>
                <w:sz w:val="18"/>
                <w:szCs w:val="18"/>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$0.7 million, $0.3 million and $0.5 million for the periods from January 1, 2024 to July 30, 2024 (Predecessor), from July 31, 2024 to December 31, 2024 (Successor), and the year ended December 31, 2023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Goodwill, net and Intangible Assets,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intangible assets, net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3"/>
            <w:vMerge w:val="continue"/>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gridSpan w:val="2"/>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8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Indefinite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$ 22,100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(15,131)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$ 6,969</w:t>
            </w:r>
          </w:p>
        </w:tc>
        <w:tc>
          <w:tcPr>
            <w:tcW w:w="0" w:type="dxa"/>
            <w:vAlign w:val="bottom"/>
          </w:tcPr>
          <w:p>
            <w:pPr>
              <w:spacing w:after="0"/>
              <w:rPr>
                <w:sz w:val="1"/>
                <w:szCs w:val="1"/>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$ 26,200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$ 6,969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$0.4 million for the period from July 31, 2024 to December 31, 2024 (Successor). There was no amortization of intangible assets for the period from January 1, 2024 to July 30, 2024 (Predecessor).</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the Company determined that there was no impairment of indefinite-lived intangible assets. During the fourth quarter of 2024, the Company performed an impairment assessment on its indefinite lived intangible assets, and determined that as of December 31, 2024, the fair value of its intangible assets was less than the carrying amount. As a result, the Company recorded an $18.9 million impairment charge during the period from July 31, 2024 to December 31, 2024 (Successor). The impairment was driven by a sustained decline in the Company’s share price and market capitalization.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intangible assets as of December 31, 2023 (Predecessor).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changes in goodwill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13,967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2023 (Predecessor), the Company determined that there was no goodwill impairment. During the fourth quarter of 2024, the Company conducted its annual assessment of goodwill. During its assessment,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was no goodwill as of December 31, 2023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accrued liabilities as of December 31, 2024 and December 31,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682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Outstanding debt as of December 31, 2024 and December 31, 2023 consists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42"/>
        </w:trPr>
        <w:tc>
          <w:tcPr>
            <w:tcW w:w="624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Securities Notes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2022 Convertible Notes measured at fair value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2023 Convertible Notes measured at fair value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2023 Convertible Notes measured at fair value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9,112</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SVB term loan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38,268</w:t>
            </w: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October 2022 Convertible Notes (Predecessor)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 and accrued interest in respect of all the October 2022 Convertible Notes into shares of Series E Preferred Stock of the Legacy Adagio in connection with the Business Combination.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Private Investment in Public Equity Financing (“PIPE Financing”) equal to the then outstanding principal amount and any accrued and unpaid interest under this note, divided by 75% of the effective price of each share of common stock sold in the PIPE Financing.</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total of $9.5 million principal was received by the Legacy Adagio as of December 31, 2022. As of December 31, 2023 (Predecessor), the principal amount outstanding was $9.5 million.</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the year ended December 31, 2023 (Predecessor), Legacy Adagio has recognized the interest expense of $0.4 million and $0.8 million, respectively.</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 Notes (Predecessor)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April 2023 Convertible Notes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April 4, 2023, Legacy Adagio issued a $5.0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April 2023 Convertible Notes accrue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November 28, 2023, the April 2023 Convertible Notes were amended to align certain terms of the April 2023 Convertible Notes with the November 2023 Convertible Notes.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(Predecessor), the principal amount outstanding was $15.0 million.</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the year ended December 30, 2023 (Predecessor), Legacy Adagio has recognized the interest expense of $0.6 million and $0.6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November 2023 Convertible Notes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2023 (Predecessor), the principal amount outstanding was $5.0 million.</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Legacy Adagio has recognized the interest expense of $0.3 thousand.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May 2024 Convertible Notes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May 21, 2024, Legacy Adagio issued to Perceptive PIPE Investor a $3.0 million convertible promissory note that matures upon the termination of the Business Combination Agreement in accordance with its terms. The May 2024 Convertible Notes accrues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Legacy Adagio has recognized interest expense of $46.0 thousand.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June 2024 Convertible Notes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June 25, 2024, Legacy Adagio issued to Perceptive PIPE Investor a $2.5 million convertible promissory note that matures upon the termination of the Business Combination Agreement in accordance with its terms. The June 2024 Convertible Notes accrues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January 1, 2024 to July 30, 2024 (Predecessor) Legacy Adagio has recognized the interest expense of $19.2 thousand.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July 2024 Convertible Notes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that matures upon the termination of the Business Combination Agreement in accordance with its terms. It accrues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July 31, 2024 to December 31, 2024 (Successor), Legacy Adagio has recognized the interest expense of $0.0 thousand.</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February 2024 Convertible Notes (Predecessor)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the Legacy Adagio issued to Perceptive PIPE Investor a principal of $7.0 million convertible promissory note that matures upon the termination of the Business Combination Agreement in accordance with its terms. The February 2024 Convertible Notes accrues simple interest at eight percent (8.0%) per annum.</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Legacy Adagio has recognized the interest expense of $0.3 million.</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$7.0 million of February 2024 Convertible Notes were converted into $7.0 million Convertible Securities Notes and 525,000 Convert Warrants.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SVB Term Loan (Predecessor)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3, 2023, Legacy Adagio entered into an agreement to obtain an initial term loan advance of $3.0 million and a right to issue a subsequent term loan advance of $2.0 million pursuant to the LSA. The loans mature on January 1, 2025 and Legacy Adagio must make monthly payments at a floating rate per annum equal to the greater of (1) seven percent (7.0%) and (2) the market prime rate plus one and one half of one percent (1.5%).</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is met on or before April 30, 2023. To satisfy this Milestone, Legacy Adagio must ensure that no event of default has occurred. If this condition is met, Legacy Adagio must provide SVB (i) the intent for the sale of all capital stock of Legacy Adagio, or (ii) an executed term sheet for a priced equity financing of at least $40.0 million from the sale of Legacy Adagio’s capital stock.</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initial recognition of the warrant liabilities and the contingent right resulted in a discount of $35.6 thousand to the SVB Term Loan. The discount is being amortized to interest expense over the term of the LSA.</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outstanding principal of SVB Term Loan was $1.9 million and the unamortized debt discount was $19.4 thousand.</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January 1, 2024 to July 30, 2024 (Predecessor) and the year ended December 31, 2023 (Predecessor), Legacy Adagio has recognized the interest expense was $87.3 thousand and $0.2 million, respectively.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the existing SVB Term Loan of Legacy Adagio has a net balance of $1.0 million, including $1.0 million of principal and accrued interest, and an unamortized debt discount of $9.7 thousand. The unpaid principal and accrued interest were carried as assumed liabilities to the Company and paid at the Closing.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total of $20.0 million Convertible Securities Notes will be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total of 1,500,000 Convert Warrants, each of which will be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conversion of the February 2024 Convertible Notes was carried out on the same terms as the other Convert Investors executing the Convertible Security Subscription Agreement.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July 31, 2024 to December 31, 2024 (Successor), the Company has recognized interest expense of $1.1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SVB Warrants (Predecessor)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3, 2023, in conjunction with the LSA, the Legacy Adagio issued Initial Warrants to purchase 32,720 shares of common stock of the Company, and a contingent right to obtain an additional 16,360 shares of the common stock upon the non-occurrence of the Interest Only Milestone as mentioned above. The Additional Warrants are subject to the same terms as the Initial Warrants (collectively “SVB Warrants”).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the SVB Warrants is $7.97 per share. The warrants are fully exercisable and will expire on February 3, 2033.</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SVB Warrants were terminated prior to the consummation of the Business Combination as the fair market value of Legacy Adagio common stock is lower than the exercise price of the SVB Warrants before the Closing.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E Pre-funded Warrants (Predecessor)</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June 25, 2024, in conjunction with the Series E Preferred Stock exchange agreement (refer to </w:t>
      </w:r>
      <w:r>
        <w:rPr>
          <w:rFonts w:ascii="Times New Roman" w:cs="Times New Roman" w:eastAsia="Times New Roman" w:hAnsi="Times New Roman"/>
          <w:sz w:val="18"/>
          <w:szCs w:val="18"/>
          <w:i w:val="1"/>
          <w:iCs w:val="1"/>
          <w:color w:val="auto"/>
        </w:rPr>
        <w:t>Note 13-Mezzanine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and Stockholders’ Equity (Deficit))</w:t>
      </w:r>
      <w:r>
        <w:rPr>
          <w:rFonts w:ascii="Times New Roman" w:cs="Times New Roman" w:eastAsia="Times New Roman" w:hAnsi="Times New Roman"/>
          <w:sz w:val="18"/>
          <w:szCs w:val="18"/>
          <w:color w:val="auto"/>
        </w:rPr>
        <w:t>, Legacy Adagio issued to a certain investor 207,902 shares of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to purchase 207,902 shares of Series E Preferred Stock, in exchange of the investor’s existing holding of 207,902 shares of Series E Preferred Stock.</w:t>
      </w:r>
    </w:p>
    <w:p>
      <w:pPr>
        <w:spacing w:after="0" w:line="18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of the pre-funded warrants is $0.001 per share. The pre-funded warrants are exercisable, at the option of the holder, on any day on or after the issuance date, in whole or in part. As an alternative to immediate cash payment, the investor may elect to exercise the pre-funded warrant through a cashless exercise.</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207,902 Series E Pre-funded Warrants were converted in exchange for 34,680 shares of the Company’s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 Warrants (Successor)</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mentioned in </w:t>
      </w:r>
      <w:r>
        <w:rPr>
          <w:rFonts w:ascii="Times New Roman" w:cs="Times New Roman" w:eastAsia="Times New Roman" w:hAnsi="Times New Roman"/>
          <w:sz w:val="18"/>
          <w:szCs w:val="18"/>
          <w:i w:val="1"/>
          <w:iCs w:val="1"/>
          <w:color w:val="auto"/>
        </w:rPr>
        <w:t>Note 9- Debt</w:t>
      </w:r>
      <w:r>
        <w:rPr>
          <w:rFonts w:ascii="Times New Roman" w:cs="Times New Roman" w:eastAsia="Times New Roman" w:hAnsi="Times New Roman"/>
          <w:sz w:val="18"/>
          <w:szCs w:val="18"/>
          <w:color w:val="auto"/>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from the issuance date.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Pre-funded Warrants (Successor)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670,000 PIPE Pre-funded Warrants, along with 681,111 shares of the Company’s Common Shares and 1,140,000 Base Warrants to certain Other PIPE Investor in exchange for cash proceeds of $9.5 million in PIPE Financing.</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set forth in the agreement of the PIPE Pre-Funded Warrants, the PIPE Pre-Funded Warrants are exercisable on a cashless basis or on a gross basis for one share of the Company’s Common Stock at an exercise price of $0.01 per share, subject to adjustments. The Company may be required to cash settle the PIPE Pre-funded Warrants when it fails to timely deliver shares to the holder who exercises the PIPE Pre-funded Warrants or upon the occurrence of a fundamental transaction. The PIPE Pre-funded Warrants expires when it is exercised in full.</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December 26, 2024, a total of 670,000 pre-funded warrant shares were exercised on a cashless basis to acquire 663,096 shares of the Company’s Common Stock. The exercise price for the pre-funded warrants was $0.9705 per share.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there were no prefunded warrants outstanding.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Base Warrants (Successor)</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3,540,000 Base Warrants along with 4,372,607 shares of the Company’s Common Shares to settle the outstanding principal and accrued interest of the Bridge Financing Notes.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also issued 3,345,069 Base Warrants along with 3,287,018 shares of the Company’s Common Stock and 670,000 PIPE Pre-Funded Warrants to PIPE Investors for cash proceeds received in PIPE Financing.</w:t>
      </w:r>
    </w:p>
    <w:p>
      <w:pPr>
        <w:spacing w:after="0" w:line="162"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Further, in connection with the non-redemption agreements entered with certain Other PIPE Investors holding 468,941 shares of ARYA’s Class A ordinary shares, the Company issued 643,658 units of Base Warrants along with 761,229 shares of the Company’s Common stock in exchange for the non-redeemable 468,941 shares of ARYA’s Class A ordinary shares.</w:t>
      </w:r>
    </w:p>
    <w:p>
      <w:pPr>
        <w:spacing w:after="0" w:line="15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(v) the remaining term is five years.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Base Warrants associated with the PIPE Financing are indexed to the Company’s Common Stock and are accounted for as equity, which is initially measured at fair value. The Base Warrants are classified as equity in the consolidated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Operating Leases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leases distribution and research and development facilities as well as sub-leases office and manufacturing space from third parties and related parties (refer to </w:t>
      </w:r>
      <w:r>
        <w:rPr>
          <w:rFonts w:ascii="Times New Roman" w:cs="Times New Roman" w:eastAsia="Times New Roman" w:hAnsi="Times New Roman"/>
          <w:sz w:val="18"/>
          <w:szCs w:val="18"/>
          <w:i w:val="1"/>
          <w:iCs w:val="1"/>
          <w:color w:val="auto"/>
        </w:rPr>
        <w:t>Note 17-Related Party Transactions</w:t>
      </w:r>
      <w:r>
        <w:rPr>
          <w:rFonts w:ascii="Times New Roman" w:cs="Times New Roman" w:eastAsia="Times New Roman" w:hAnsi="Times New Roman"/>
          <w:sz w:val="18"/>
          <w:szCs w:val="18"/>
          <w:color w:val="auto"/>
        </w:rPr>
        <w:t>) under its operating leases. The leases have expirations ranging from March 2024 to June 2026,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Company does not have any finance or short-term leases and has not entered into leases which have not yet commenced that would entitle the Company to significant rights or create additional obligations as of December 31, 2024 and December 31, 2023.</w:t>
      </w:r>
    </w:p>
    <w:p>
      <w:pPr>
        <w:spacing w:after="0" w:line="1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quantitative information of the Company’s operating leases for the periods from January 1, 2024 to July 30, 2024 (Predecessor), from July 31, 2024 to December 31, 2024 (Successor), and the year ended December 31, 2023 (Predecessor):</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8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unaudited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6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gridSpan w:val="2"/>
            <w:vMerge w:val="continue"/>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July 30</w:t>
            </w: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Operating lease cost was $0.1 million, $78.0 thousand, and $0.2 million for the periods from January 1, 2024 to July 30, 2024 (Predecessor), from July 31, 2024 to December 31, 2024 (Successor), and the year ended December 31, 2023 (Predecessor), respectively. There has been no variable lease cost for the periods from January 1, 2024 to July 30, 2024 (Predecessor), from July 31, 2024 to December 31, 2024 (Successor) and the year ended December 31, 2023 (Predecessor).</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minimum payments under the non-cancellable operating leases as of December 31, 2024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currently party to any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Mezzanine Equity and Stockholders’ Equity (Deficit)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 (Predecessor)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Legacy Adagio’s Amended and Restated Articles of Incorporation authorize the issuance of two classes of stock designated as common and preferred stock, each having a par value of $0.001 per share. The number of shares authorized as of July 30, 2024 is 11,534,892 consisting of 6,594,946 shares of common stock and 4,939,946 shares of preferred stock, designated as Series A, Series B, Series C, Series D, and Series E preferred stock in the amounts included in the table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Legacy Adagio classifies convertible preferred stock as temporary equity on the accompanying consolidated balance sheets, as all such preferred stock is redeemable either at the option of the holder or upon an event outside the control of Legacy Adagio. The requirements of a deemed liquidation event, as defined within its amended and restated certificate of incorporation filed in November 2020, are not entirely within Legacy Adagio’s control. In the event of such a deemed liquidation event, the proceeds from the event are distributed in accordance with the liquidation preferences, provided that the holders of preferred stock have not converted their shares into common stock. Legacy Adagio records the issuance of preferred stock at the issuance price less related issuance costs. Legacy Adagio has not adjusted the carrying value of outstanding preferred stock to its liquidation preference because a deemed liquidation event is not probable of occurring as of the end of the reporting period.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period from January 1, 2024 to July 30, 2024 (Predecessor), the following transactions have been executed:</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25, 2024, 207,902 shares of Series E Preferred Stock were extinguished and exchanged for 207,902 shares of pre-funded warrants to purchase Series E Preferred Stock. See </w:t>
      </w:r>
      <w:r>
        <w:rPr>
          <w:rFonts w:ascii="Times New Roman" w:cs="Times New Roman" w:eastAsia="Times New Roman" w:hAnsi="Times New Roman"/>
          <w:sz w:val="18"/>
          <w:szCs w:val="18"/>
          <w:i w:val="1"/>
          <w:iCs w:val="1"/>
          <w:color w:val="auto"/>
        </w:rPr>
        <w:t>Note 10- Warrants</w:t>
      </w:r>
      <w:r>
        <w:rPr>
          <w:rFonts w:ascii="Times New Roman" w:cs="Times New Roman" w:eastAsia="Times New Roman" w:hAnsi="Times New Roman"/>
          <w:sz w:val="18"/>
          <w:szCs w:val="18"/>
          <w:color w:val="auto"/>
        </w:rPr>
        <w:t xml:space="preserve"> for additional information regarding the Series E Pre-funded Warrants. The difference between the carrying value of the extinguished Series E Preferred Stock and the fair value of the issued Series E Pre-funded Warrants is recorded in additional paid-in capital.</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the Legacy Adagio’s 4,732,044 convertible preferred stocks were converted into shares of Legacy Adagio common stock on a one-to-one basis prior to Adagio Merger Effective Time and then converted into 789,337 shares of the Company’s Common Stock and additional paid in capital at the Closing based on the exchange ratio set forth in the Business Combination Agreement.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preferred stock transactions during the year ended December 31, 2023 (Predecessor).</w:t>
      </w:r>
    </w:p>
    <w:p>
      <w:pPr>
        <w:spacing w:after="0" w:line="22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issuance of the Company’s preferred stock as of December 31, 2023 (Predecessor) (in thousands, except share and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 Stock Class</w:t>
            </w:r>
          </w:p>
        </w:tc>
        <w:tc>
          <w:tcPr>
            <w:tcW w:w="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5"/>
                <w:szCs w:val="15"/>
                <w:color w:val="auto"/>
              </w:rPr>
            </w:pP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Series A</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Series B</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Series C</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6"/>
        </w:trPr>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Series 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Series E</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1,879,700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1,879,700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1,879,700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The carrying value reflects the gross proceeds received from the sale of the preferred stock less issuance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relative rights, terms, privileges, and restrictions granted to or imposed upon preferred stockholders are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 - Dividends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Prior and in preference to any declaration or payment of any dividends to the holders of common stock, the holders of preferred stock shall be entitled to receive dividends out of any assets legally available therefor, at the rate of eight percent (8%) of the original issue price per share per annum. The original issue price of Series A, Series B, Series C, Series D, and Series E is $9.23, $13.04, $16.30, $20.16, and $22.61, respectively. The dividends shall not be cumulative.</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event that the dividend amount declared by the Board of Directors of Legacy Adagio is insufficient to permit payment of the full aforesaid dividends, such dividends will be paid ratably to each holder of preferred stock in proportion to the dividend amounts to which each holder of preferred stock is entitled. After payment of the full amount of the aforesaid dividends, any additional dividends declared shall be distributed to the holder of common stock and preferred stock in proportion to the number of shares of common stock that would be held by such holder on an as-converted to common stock basis.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No dividends on preferred stock or common stock have been declared by the Board of Directors as of December 31, 2023 (Predecessor) or as of December 31, 2024 (Successor).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event of liquidation of Legacy Adagio, including a merger, acquisition, or sale of all or substantially all the assets of Legacy Adagio, holders of preferred stock are entitled to receive an amount equal to the original issue price of each share of preferred stock held plus any dividends declared but not yet paid, prior to any distribution of assets or surplus funds of Legacy Adagio to common stock shareholders. After payment has been made to the holders of the preferred stock of the full amounts to which they are entitled as noted above, the remaining assets would be distributed among the holders of the common stock pro rata based on the number of shares of common stock held by each holder.</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If, at the time of liquidation, the assets are insufficient to permit full payment of the liquidation preferences of the series listed in the order above, the assets must be distributed ratably among the holders of the series in proportion to the full preferential amount each such holder is otherwise entitled to receive in respect to such shares.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So long as the shares of preferred stock that are convertible into at least 1,000,000 shares of common stock (subject to appropriate adjustment in the event of any stock dividends, stock split, combination or other similar recapitalization with respect to the common stock) are issued and outstanding, the holders of preferred stock, voting as a separate class on an as-converted to common stock basis, shall have the right to elect four members of the Board of Directors of Legacy Adagio. The holders of common stock, voting as a separate class, shall have the right to elect one member of the Board of Directors. The remaining directors shall be elected by the holders of the common stock and the preferred stock, voting together as a single class on an as-converted to common stock basis.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all other matters, the holders of the preferred stock shall have full voting rights and powers equal to the voting rights and powers of the holders of common stock.</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Fractional votes by the holders of preferred stock shall not be permitted and any fractional voting rights shall be rounded to the nearest whole number.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into shares of common stock without the payment of any additional consideration. The preferred stock shall be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is $9.23, $13.04, $16.30, $20.16, and $22.61, respectively. The initial conversion price is subject to adjustment for antidilution provisions, as defined. The per share conversion value of Series A, Series B, Series C, Series D, and Series E is $9.23, $13.04, $16.30, $20.16, and $22.61, respectively.</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Each share of preferred stock shall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Protective Provisions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So long as there are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So long as shares of Series E preferred stock that are convertible into at least 500,000 shares of common stock (subject to appropriate adjustment in the event of any stock dividend, stock split, combination or other similar recapitalization with respect to the common stock) are issued and outstanding, Legacy Adagio shall not directly or indirectly (by merger, reclassification, amendment or otherwise), without first obtaining the approval of the holders of at least a majority of the voting power of the then outstanding shares of Series E preferred stock, voting separately as a class, to, among other things: (i) amend, alter, repeal or waive any provision of the certificate of incorporation or bylaws of Legacy Adagio in a manner that adversely affects the holders of the Series E preferred stock in a manner different from any other series of preferred stock; (ii) create or authorize the creation of or issue any other security convertible into to exercisable for any equity security having rights, preferences or privileges senior to the Series E preferred stock; (iii) increase or decrease the authorized number of shares of Series E preferred stock.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(Predecessor)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Each share of common stock is entitled to one vote. As of December 31, 2023 (Predecessor), Legacy Adagio was authorized to issue up to 6,594,946 of common stock at a par value of $0.001 per share out of which 786,510 shares issued and 779,908 shares outstanding.</w:t>
      </w:r>
    </w:p>
    <w:p>
      <w:pPr>
        <w:spacing w:after="0" w:line="1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the Closing Date, as explained in </w:t>
      </w:r>
      <w:r>
        <w:rPr>
          <w:rFonts w:ascii="Times New Roman" w:cs="Times New Roman" w:eastAsia="Times New Roman" w:hAnsi="Times New Roman"/>
          <w:sz w:val="18"/>
          <w:szCs w:val="18"/>
          <w:i w:val="1"/>
          <w:iCs w:val="1"/>
          <w:color w:val="auto"/>
        </w:rPr>
        <w:t>Note 3- Forward Merger</w:t>
      </w:r>
      <w:r>
        <w:rPr>
          <w:rFonts w:ascii="Times New Roman" w:cs="Times New Roman" w:eastAsia="Times New Roman" w:hAnsi="Times New Roman"/>
          <w:sz w:val="18"/>
          <w:szCs w:val="18"/>
          <w:color w:val="auto"/>
        </w:rPr>
        <w:t>, each share of Legacy Adagio issued and outstanding prior to the Closing Date was converted into the Company’s Common Stock based on the exchange ratio set forth in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(Successor), the Company’s certificate of incorporation, as amended and restated, authorized the Company to issue up to 210,000,000 of common stock at a par value of $0.0001 per share, and 20,000,000 shares of preferred stock, par value $0.0001 per share. As of December 31, 2024 (Successor), 15,198,232 shares were issued and outstanding, including 1,147,500 Sponsor Earnout (as defined below).</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September 2024, the Company issued 1,147,500 shares of the Company’s Common Stock (such issuance, the “Sponsor Earnout”) to ARYA Sciences Holdings IV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or exceeds $24.00 per share (the “Trigger Price”) for any 20 trading days within any 30 trading day period from and after the Closing Date (the “Earn-Out Target”), and ii) immediately prior to the consummation of a company sale during the Earn-Out Period.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the reporting date, the vesting of the Sponsor Earnout was not considered probable.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Company’s Common Stock are entitled to receive dividends whenever funds are legally available, when and if declared by the Company’s Board of Directors. As of December 31, 2024 (Successor), no cash dividend has been declared to date. Each share of the Company’s Common Stock is entitled to one vote.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Below table summarizes the number of shares of common stock outstanding immediately following the Closing: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7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PIPE Financing for cash</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3,287,018</w:t>
            </w:r>
          </w:p>
        </w:tc>
      </w:tr>
      <w:tr>
        <w:trPr>
          <w:trHeight w:val="216"/>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ARYA convertible promissory notes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w:t>
            </w:r>
          </w:p>
        </w:tc>
      </w:tr>
      <w:tr>
        <w:trPr>
          <w:trHeight w:val="216"/>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ARYA Class A ordinary shares and Class B ordinary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2,089,000</w:t>
            </w:r>
          </w:p>
        </w:tc>
      </w:tr>
      <w:tr>
        <w:trPr>
          <w:trHeight w:val="216"/>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Class A ordinary shares subject to redemption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123,520</w:t>
            </w:r>
          </w:p>
        </w:tc>
      </w:tr>
      <w:tr>
        <w:trPr>
          <w:trHeight w:val="216"/>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in purchase consideration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r>
      <w:tr>
        <w:trPr>
          <w:trHeight w:val="198"/>
        </w:trPr>
        <w:tc>
          <w:tcPr>
            <w:tcW w:w="7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shares issued and reclassification of Class A ordinary shares subject to non-redemption</w:t>
            </w:r>
          </w:p>
        </w:tc>
        <w:tc>
          <w:tcPr>
            <w:tcW w:w="1140" w:type="dxa"/>
            <w:vAlign w:val="bottom"/>
          </w:tcPr>
          <w:p>
            <w:pPr>
              <w:spacing w:after="0"/>
              <w:rPr>
                <w:sz w:val="17"/>
                <w:szCs w:val="17"/>
                <w:color w:val="auto"/>
              </w:rPr>
            </w:pPr>
          </w:p>
        </w:tc>
      </w:tr>
      <w:tr>
        <w:trPr>
          <w:trHeight w:val="234"/>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agreements and open market subscription agreements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761,229</w:t>
            </w:r>
          </w:p>
        </w:tc>
      </w:tr>
      <w:tr>
        <w:trPr>
          <w:trHeight w:val="209"/>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13,387,636</w:t>
            </w:r>
          </w:p>
        </w:tc>
      </w:tr>
      <w:tr>
        <w:trPr>
          <w:trHeight w:val="20"/>
        </w:trPr>
        <w:tc>
          <w:tcPr>
            <w:tcW w:w="7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reserved common stock for further issuance as of December 31, 2024 (Successor) and December 31,2023 (Predecessor):</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 under the 2012 and 2022 Plan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available for future grant under the 2012 and 2022 Plan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Pre-funded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Securities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Company’s common stock issuable upon the exercise of outstanding options Legacy</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Adagio’s equity plans that were assumed in the Business Combination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future issuance under the 2024 Equity Incentive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4,472,592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issuance under the 2024 Key Employee Equity</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issuance under the 2024 Employee Stock Purchase</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16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20,535,970</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151</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3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2012 Stock Incentive Plan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January 2011, Legacy Adagio’s Board approved the 2012 Stock Incentive Plan (the “2012 Plan”), which permitted grants of Incentive Stock Options (“ISOs”) and Non-statutory Stock Options (“NSOs”) to employees, directors and consultants. The maximum number of shares that can be granted under the 2012 Plan cannot exceed 1,255,000 shares. The 2012 Plan had a maximum 10-year term and as such, terminated in January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Stock Incentive Plan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stock options generally vest over four years and have a ten-year contractual term. The fair value of each employee and non-employee stock option grant is estimated on the date of grant using the Black-Scholes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w:t>
      </w:r>
    </w:p>
    <w:p>
      <w:pPr>
        <w:spacing w:after="0" w:line="5" w:lineRule="exact"/>
        <w:rPr>
          <w:sz w:val="20"/>
          <w:szCs w:val="20"/>
          <w:color w:val="auto"/>
        </w:rPr>
      </w:pPr>
    </w:p>
    <w:p>
      <w:pPr>
        <w:jc w:val="both"/>
        <w:ind w:left="60" w:right="59" w:hanging="10"/>
        <w:spacing w:after="0" w:line="253" w:lineRule="auto"/>
        <w:tabs>
          <w:tab w:leader="none" w:pos="4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spacing w:after="0" w:line="18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during the periods from January 1, 2024 to July 30, 2024 (Predecessor):</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 (Predecessor)</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July 30, 2024 (Predecessor)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740,409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July 30, 2024 (Predecessor)</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July 30, 2024 (Predecessor)</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There were no stock options exercised during the period from January 1, 2024 to July 30,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fair value of awards vested was $0.3 million during the period from January 1, 2024 to July 30, 2024 (Predecessor). As of July 30, 2024 prior to the Closing (Predecessor), the total unrecognized compensation cost of $0.4 million was accelerated at the Closing, which was recognized and expensed in accordance with the terms of the 2012 Stock Incentive Plan and the 2022 Stock Incentive Plan.</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45,544 In-the-Money Adagio Options were canceled and extinguished in exchange for 7,587 options to purchase the Company’s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expense recorded in the consolidated statements of operations and comprehensive loss for the periods from January 1, 2024 to July 30, 2024 (Predecessor), July 31 to December 31, 2024 (Successor), and the year ended December 31, 2023 (Predecessor) (in thousands):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2"/>
                <w:szCs w:val="12"/>
                <w:color w:val="auto"/>
              </w:rPr>
            </w:pPr>
          </w:p>
        </w:tc>
        <w:tc>
          <w:tcPr>
            <w:tcW w:w="8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80" w:type="dxa"/>
            <w:vAlign w:val="bottom"/>
          </w:tcPr>
          <w:p>
            <w:pPr>
              <w:spacing w:after="0"/>
              <w:rPr>
                <w:sz w:val="10"/>
                <w:szCs w:val="10"/>
                <w:color w:val="auto"/>
              </w:rPr>
            </w:pPr>
          </w:p>
        </w:tc>
        <w:tc>
          <w:tcPr>
            <w:tcW w:w="8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80" w:type="dxa"/>
            <w:vAlign w:val="bottom"/>
          </w:tcPr>
          <w:p>
            <w:pPr>
              <w:spacing w:after="0"/>
              <w:rPr>
                <w:sz w:val="10"/>
                <w:szCs w:val="10"/>
                <w:color w:val="auto"/>
              </w:rPr>
            </w:pP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10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1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20" w:type="dxa"/>
            <w:vAlign w:val="bottom"/>
            <w:vMerge w:val="restart"/>
          </w:tcPr>
          <w:p>
            <w:pPr>
              <w:jc w:val="right"/>
              <w:ind w:right="1279"/>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Successor </w:t>
      </w:r>
      <w:r>
        <w:rPr>
          <w:rFonts w:ascii="Times New Roman" w:cs="Times New Roman" w:eastAsia="Times New Roman" w:hAnsi="Times New Roman"/>
          <w:sz w:val="18"/>
          <w:szCs w:val="18"/>
          <w:b w:val="1"/>
          <w:bCs w:val="1"/>
          <w:i w:val="1"/>
          <w:iCs w:val="1"/>
          <w:color w:val="auto"/>
        </w:rPr>
        <w:t>Periods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adopted the 2024 Equity Incentive Plan on July 26, 2024. The purpose of the plan is to promote the success and enhance the value of the Company by linking the individual interests of the members of the Board,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The Company may grant an option, a stock appreciation right, a restricted stock award, a restricted stock unit award, a performance stock award, a performance stock unit award, or other stock- or cash-based award, or a dividend equivalent award, which may be awarded or granted under the Plan. The awards can be issued to any person who is an employee, a consultant, or a non-employee director.</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not granted any awards under this plan as of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Key Employee Equity Incentive Plan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Key Employee Equity Incentive Plan on July 26, 2024. The purpose of the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plan who are an employee, a consultant, or a non-employee director.</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not granted any awards under this plan as of December 31,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Equity Incentive Plan on July 26, 2024. The 2024 Employee Stock Purchase Plan provides a means by which eligible employees of the Company and certain designated related corporations may be given an opportunity to purchase shares of the Company’s Common Stock. The plan permits the Company to grant a series of purchase rights to eligible employees under an Employee Stock Purchase Plan. The 2024 Employee Stock Purchase Plan authorizes the issuance of up to 441,293 shares of the Company’s Common Stock, plus an annual increase on the first day of each year beginning in 2025 and ending in (and including) 2034 equal to one percent (1%) of the share of common stock outstanding on a fully diluted basis on the last day of the immediately preceding fiscal year, provided that the Board or its compensation committee may reduce the amount of the increase in any particular year.</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not granted any purchase rights under this plan as of December 31,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during the period from July 31, 2024 to December 31, 2024 (Successor):</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5"/>
                <w:szCs w:val="15"/>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62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July 31, 2024 (Successor)</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issued as part of the Business Combination</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December 31, 2024 (Successor)</w:t>
            </w:r>
          </w:p>
        </w:tc>
        <w:tc>
          <w:tcPr>
            <w:tcW w:w="6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vMerge w:val="restart"/>
          </w:tcPr>
          <w:p>
            <w:pPr>
              <w:spacing w:after="0" w:line="20" w:lineRule="exact"/>
              <w:rPr>
                <w:sz w:val="1"/>
                <w:szCs w:val="1"/>
                <w:color w:val="auto"/>
              </w:rPr>
            </w:pPr>
          </w:p>
        </w:tc>
        <w:tc>
          <w:tcPr>
            <w:tcW w:w="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7,587</w:t>
            </w:r>
          </w:p>
        </w:tc>
        <w:tc>
          <w:tcPr>
            <w:tcW w:w="2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exercisable, December 31, 2024 (Successor)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discussed above, the Company has not granted any options under the 2024 Equity Incentive Plan, the 2024 Key Employee Equity Incentive Plan and the 2024 Employee Stock Purchase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Earnings Per Share (“EPS”)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-116840</wp:posOffset>
            </wp:positionV>
            <wp:extent cx="564896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9"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 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14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9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r>
      <w:tr>
        <w:trPr>
          <w:trHeight w:val="148"/>
        </w:trPr>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January 1 to</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30, 2024</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bl>
    <w:p>
      <w:pPr>
        <w:spacing w:after="0" w:line="198"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(21,278)  $   (36,590)</w:t>
      </w:r>
    </w:p>
    <w:p>
      <w:pPr>
        <w:spacing w:after="0" w:line="333"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color w:val="auto"/>
        </w:rPr>
        <w:t>815,854</w:t>
      </w:r>
      <w:r>
        <w:rPr>
          <w:sz w:val="20"/>
          <w:szCs w:val="20"/>
          <w:color w:val="auto"/>
        </w:rPr>
        <w:tab/>
      </w:r>
      <w:r>
        <w:rPr>
          <w:rFonts w:ascii="Times New Roman" w:cs="Times New Roman" w:eastAsia="Times New Roman" w:hAnsi="Times New Roman"/>
          <w:sz w:val="18"/>
          <w:szCs w:val="18"/>
          <w:color w:val="auto"/>
        </w:rPr>
        <w:t>759,814</w:t>
      </w:r>
    </w:p>
    <w:p>
      <w:pPr>
        <w:spacing w:after="0" w:line="117" w:lineRule="exact"/>
        <w:rPr>
          <w:sz w:val="20"/>
          <w:szCs w:val="20"/>
          <w:color w:val="auto"/>
        </w:rPr>
      </w:pPr>
    </w:p>
    <w:p>
      <w:pPr>
        <w:spacing w:after="0"/>
        <w:tabs>
          <w:tab w:leader="none" w:pos="400" w:val="left"/>
          <w:tab w:leader="none" w:pos="1120" w:val="left"/>
          <w:tab w:leader="none" w:pos="1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(26.08)</w:t>
        <w:tab/>
        <w:t>$</w:t>
      </w:r>
      <w:r>
        <w:rPr>
          <w:sz w:val="20"/>
          <w:szCs w:val="20"/>
          <w:color w:val="auto"/>
        </w:rPr>
        <w:tab/>
      </w:r>
      <w:r>
        <w:rPr>
          <w:rFonts w:ascii="Times New Roman" w:cs="Times New Roman" w:eastAsia="Times New Roman" w:hAnsi="Times New Roman"/>
          <w:sz w:val="17"/>
          <w:szCs w:val="17"/>
          <w:color w:val="auto"/>
        </w:rPr>
        <w:t>(48.16)</w:t>
      </w:r>
    </w:p>
    <w:p>
      <w:pPr>
        <w:spacing w:after="0" w:line="218" w:lineRule="exact"/>
        <w:rPr>
          <w:sz w:val="20"/>
          <w:szCs w:val="20"/>
          <w:color w:val="auto"/>
        </w:rPr>
      </w:pPr>
    </w:p>
    <w:p>
      <w:pPr>
        <w:sectPr>
          <w:pgSz w:w="11900" w:h="16838" w:orient="portrait"/>
          <w:cols w:equalWidth="0" w:num="2">
            <w:col w:w="6440" w:space="420"/>
            <w:col w:w="2159"/>
          </w:cols>
          <w:pgMar w:left="1440" w:top="513" w:right="1440" w:bottom="1440" w:gutter="0" w:footer="0" w:header="0"/>
          <w:type w:val="continuous"/>
        </w:sectPr>
      </w:pPr>
    </w:p>
    <w:p>
      <w:pPr>
        <w:spacing w:after="0" w:line="7"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8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1180" w:type="dxa"/>
            <w:vAlign w:val="bottom"/>
          </w:tcPr>
          <w:p>
            <w:pPr>
              <w:jc w:val="right"/>
              <w:ind w:right="355"/>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30, 2024   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740,409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SVB Warrants</w:t>
            </w:r>
          </w:p>
        </w:tc>
        <w:tc>
          <w:tcPr>
            <w:tcW w:w="3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3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5,472,453</w:t>
            </w: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16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155</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After the Business Combination, the Successor calculated basic earnings-per-share (“EPS”) and diluted EPS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the two-class method, undistributed earnings allocated to these participating securities were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period from July 31, 2024 to December 31, 2024 (Successor), the Convertible Securities Notes were not considered participating securities, and were excluded from the two-class method EPS calculation for those periods.</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Further, Basic EPS under the two-class method includes the impact of the Company’s PIPE Pre-funded Warrants as the PIPE Pre-funded Warrants are exercisable for only $0.01 per share (i.e., de minimis cash consideration) without an expiration date and not subject to exercise contingencies.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discloses the Diluted EPS under the if-converted method as such diluted EPS is lower than the diluted EPS calculated under the two-class method. The Earn-out shares subject to vesting conditions are not considered in the denominator for the calculation of diluted EPS as the vesting conditions for the Earn-out shares were not met during the successor reporting period.</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earnings per share attributable to common stockholders and the participating securities for the periods presented (in thousands, except share and per share data):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Basic EPS: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2024 to December 31, 2024 (Successor)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0"/>
                <w:szCs w:val="10"/>
                <w:color w:val="auto"/>
              </w:rPr>
            </w:pPr>
          </w:p>
        </w:tc>
        <w:tc>
          <w:tcPr>
            <w:tcW w:w="7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data)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allocated to each class of participating securities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to Convertible Securities Notes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Sponsor Earnout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each class of participating securities – 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846"/>
        </w:trPr>
        <w:tc>
          <w:tcPr>
            <w:tcW w:w="5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earnings per share attributable to common stockholders for the periods presented (in thousands, except share and per share data):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Diluted EPS: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7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data)</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July 31, 2024 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Adjustment for fair value changes to convertible securities notes</w:t>
            </w: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effect of shares issuable to Convertible Securities Notes (if-converted method)</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shares – Diluted (if-converted method)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Warrants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 subject to vesting conditions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 issued in connection with the Business Combination</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157</w:t>
            </w: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762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6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our deferred tax assets. As of each reporting date, the Company’s management considers new evidence, both positive and negative, that could impact management’s view with regard to future realization of deferred tax assets. For the periods from January 1, 2024 to July 30, 2024 (Predecessor) and July 31, 2024 to December 31, 2024 (Successor), there was no material change from fiscal year ended December 31, 2023 (Predecessor) in the amount of the Company's deferred tax assets that are not considered to be more likely than not to be realized in future years.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periods from January 1, 2024 to July 30, 2024 (Predecessor) and July 31, 2024 to December 31, 2024 (Successor), the effective tax rate for the Company’s operations was 21.0%.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(Predecessor), the effective tax rate for the Company’s operations was 21.0%. The effective tax rate differed from the U.S. federal statutory rate primarily due to state income taxes, losses from the German subsidiary that is subject to different effective tax rates, stock-based compensation and a change in the valuation allowance that offset the tax benefit on the current period pre-tax loss.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foreign and state tax jurisdictions. The tax years 2019-2024 remain open to examination by the major taxing jurisdictions to which the Company is subject, except the Internal Revenue Service for which the tax years 2020-2024 remain open.</w:t>
      </w:r>
    </w:p>
    <w:p>
      <w:pPr>
        <w:spacing w:after="0" w:line="176"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pretax loss from operations for the years ended December 31, 2024 and 2023 are as follows `(dollars in thousands):</w:t>
      </w:r>
    </w:p>
    <w:p>
      <w:pPr>
        <w:spacing w:after="0" w:line="263"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9"/>
                <w:szCs w:val="19"/>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60" w:type="dxa"/>
            <w:vAlign w:val="bottom"/>
          </w:tcPr>
          <w:p>
            <w:pPr>
              <w:spacing w:after="0"/>
              <w:rPr>
                <w:sz w:val="10"/>
                <w:szCs w:val="10"/>
                <w:color w:val="auto"/>
              </w:rPr>
            </w:pP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9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July 30</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(76,889)</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 from operations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There was no income tax provision for the year ended December 31, 2024 and 2023. Current income taxes are based upon the year’s income taxable for federal, state and foreign tax reporting purposes. Deferred income taxes are provided for certain income and expenses which are recognized in different periods for tax and financial reporting purposes. Deferred tax assets and liabilities are computed for differences between the consolidated financial statements and tax bases of assets and liabilities that will result in taxable or deductible amounts in the future based on enacted tax laws and rates applicable to the period in which the differences are expected to affect taxable income, and include NOL carryforwards and R&amp;D tax credit carryforwards.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tax computed at the U.S. federal statutory tax rate to the total income tax benefit for the years ended December 31, 2024 and 2023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236"/>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60" w:type="dxa"/>
            <w:vAlign w:val="bottom"/>
          </w:tcPr>
          <w:p>
            <w:pPr>
              <w:spacing w:after="0"/>
              <w:rPr>
                <w:sz w:val="20"/>
                <w:szCs w:val="20"/>
                <w:color w:val="auto"/>
              </w:rPr>
            </w:pPr>
          </w:p>
        </w:tc>
      </w:tr>
      <w:tr>
        <w:trPr>
          <w:trHeight w:val="185"/>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July 31 to December 31</w:t>
            </w:r>
          </w:p>
        </w:tc>
        <w:tc>
          <w:tcPr>
            <w:tcW w:w="1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to July 30</w:t>
            </w:r>
          </w:p>
        </w:tc>
        <w:tc>
          <w:tcPr>
            <w:tcW w:w="260" w:type="dxa"/>
            <w:vAlign w:val="bottom"/>
          </w:tcPr>
          <w:p>
            <w:pPr>
              <w:spacing w:after="0"/>
              <w:rPr>
                <w:sz w:val="16"/>
                <w:szCs w:val="16"/>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January 1 to December 31</w:t>
            </w:r>
          </w:p>
        </w:tc>
        <w:tc>
          <w:tcPr>
            <w:tcW w:w="160" w:type="dxa"/>
            <w:vAlign w:val="bottom"/>
          </w:tcPr>
          <w:p>
            <w:pPr>
              <w:spacing w:after="0"/>
              <w:rPr>
                <w:sz w:val="16"/>
                <w:szCs w:val="16"/>
                <w:color w:val="auto"/>
              </w:rPr>
            </w:pPr>
          </w:p>
        </w:tc>
      </w:tr>
      <w:tr>
        <w:trPr>
          <w:trHeight w:val="18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8"/>
              </w:rPr>
              <w:t>Tax Rate</w:t>
            </w:r>
          </w:p>
        </w:tc>
        <w:tc>
          <w:tcPr>
            <w:tcW w:w="100" w:type="dxa"/>
            <w:vAlign w:val="bottom"/>
            <w:tcBorders>
              <w:right w:val="single" w:sz="8" w:color="auto"/>
            </w:tcBorders>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8"/>
              </w:rPr>
              <w:t>Tax Rate</w:t>
            </w:r>
          </w:p>
        </w:tc>
        <w:tc>
          <w:tcPr>
            <w:tcW w:w="1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8"/>
              </w:rPr>
              <w:t>Tax Rate</w:t>
            </w:r>
          </w:p>
        </w:tc>
      </w:tr>
      <w:tr>
        <w:trPr>
          <w:trHeight w:val="209"/>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for tax effects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Permanent adjustments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6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FV of convertible note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FV of warrant liability</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NOL true-up adjustment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right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2024 and 2023 are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10"/>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25,786</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Unrecognized tax benefit</w:t>
            </w:r>
          </w:p>
        </w:tc>
        <w:tc>
          <w:tcPr>
            <w:tcW w:w="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established a valuation allowance as of December 31, 2024 and 2023 to fully offset the net deferred tax assets of $36.9 million and $32.1 million, respectively. Realization of the future tax benefits is dependent on the Company’s ability to generate sufficient taxable income within the carryforward period. 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2024. Such objective evidence limits the ability to consider other subjective evidence, such as the Company’s projections for future commercialization. Management has concluded that it is more likely than not that the Company will not have sufficient foreseeable taxable income to allow for the utilization of the deferred tax assets; therefore, a full valuation allowance has been established to reduce the net deferred tax liability to $883 at December 31, 2024, and to zero net deferred tax at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and 2023, the Company had federal NOL carryforwards of approximately $122.3 million and $100.0 million, respectively. $19.0 million of the federal NOL carryforwards will begin to expire from 2031. Due to the enactment of the Tax Cuts and Jobs Act, federal net operating losses generated beginning in 2018 are carried forward indefinitely. Therefore, the remaining federal NOL carry forwards of $103.3 million and $81.0 million as of December 31, 2024 and 2023, respectively, have an unlimited carryover period. As of December 31, 2024 and 2023, the Company had state NOL carryforwards of $53.4 million and $53.4 million, respectively, which will begin to expire from 2031. As of December 31, 2024 and 2023, the Company had a NOL from Adagio Medical GmbH of $180.2 thousand and $249.3 thousand, respectively. The NOLs are carried forward indefinitely. As of December 31, 2024 and 2023, the Company also had net federal R&amp;D tax credit carry-forwards of approximately $1.6 million and $1.6 million, respectively. The federal R&amp;D tax credits will begin to expire in 2038. The Company had no state R&amp;D credits.</w:t>
      </w:r>
    </w:p>
    <w:p>
      <w:pPr>
        <w:spacing w:after="0" w:line="11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tax attribute carryforwards may be subject to a substantial annual limitation due to ownership change limitations that may have occurred or that could occur in the future, as required by Section 382 of the Internal Revenue Code of 1986, as amended (the “Code”), as well as similar state and foreign provisions. These ownership changes may limit the amount of NOL and R&amp;D credit carryforwards that can be used annually to offset future taxable income and tax, respectively. In general, an “ownership change” as defined by Section 382 of the Code results from a transaction or series of transactions over a three-year period resulting in an ownership change of more than 50% of the outstanding stock of a company by certain stockholders. The Company has not completed a study to assess whether an ownership change has occurred or whether there have been multiple ownership changes since the Company’s formation due to the complexity and cost associated with such study, and the fact that there may be additional such ownership changes in the future. Any limitation may result in expiration of a portion of the NOL carryforwards or R&amp;D tax credit carryforwards before utilization; however, such limitation, if any, would not have an impact on the Company’s financial statement due to the full valuation allowance.</w:t>
      </w:r>
    </w:p>
    <w:p>
      <w:pPr>
        <w:spacing w:after="0" w:line="9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conducts intensive research and experimentation activities, generating R&amp;D tax credits for federal purposes under Section 41 of the Code. The Company has performed a formal study validating these credits claimed in the tax returns.</w:t>
      </w:r>
    </w:p>
    <w:p>
      <w:pPr>
        <w:spacing w:after="0" w:line="81" w:lineRule="exact"/>
        <w:rPr>
          <w:sz w:val="20"/>
          <w:szCs w:val="20"/>
          <w:color w:val="auto"/>
        </w:rPr>
      </w:pPr>
    </w:p>
    <w:p>
      <w:pPr>
        <w:ind w:left="60" w:right="5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changes to unrecognized tax benefits as of December 31, 2024 and 2023 (in thousands):</w:t>
      </w: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 w:type="dxa"/>
            <w:vAlign w:val="bottom"/>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right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60" w:type="dxa"/>
            <w:vAlign w:val="bottom"/>
          </w:tcPr>
          <w:p>
            <w:pPr>
              <w:spacing w:after="0"/>
              <w:rPr>
                <w:sz w:val="10"/>
                <w:szCs w:val="10"/>
                <w:color w:val="auto"/>
              </w:rPr>
            </w:pP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60" w:type="dxa"/>
            <w:vAlign w:val="bottom"/>
          </w:tcPr>
          <w:p>
            <w:pPr>
              <w:spacing w:after="0"/>
              <w:rPr>
                <w:sz w:val="10"/>
                <w:szCs w:val="10"/>
                <w:color w:val="auto"/>
              </w:rPr>
            </w:pP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9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 July 30</w:t>
            </w: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Gross increases – tax positions during the year</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right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unrecognized tax benefits of $0.5 million of which $0.5 million will affect the effective tax rate if recognized when the Company no longer has a valuation allowance offsetting its deferred tax assets.</w:t>
      </w:r>
    </w:p>
    <w:p>
      <w:pPr>
        <w:spacing w:after="0" w:line="9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anticipate that there will be a significant change in unrecognized tax benefits over the next 12 months.</w:t>
      </w:r>
    </w:p>
    <w:p>
      <w:pPr>
        <w:spacing w:after="0" w:line="6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U.S. federal and various state tax as well as Germany tax jurisdictions. Since the Company formed in 2011, all filed tax returns are subject to examination. Generally, the tax years remain open for examination by the federal statute under a three-year statute of limitation; however, states generally keep their statutes open between three and four years. However, the Company’s tax years from inception are subject to examination by the United States and various state taxing authorities due to the carry forward of unused NOLs and R&amp;D credits.</w:t>
      </w:r>
    </w:p>
    <w:p>
      <w:pPr>
        <w:spacing w:after="0" w:line="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Enacted in December 2017, the Tax Cuts and Jobs Act of 2017 (“TCJA”) amended Section 174 to require capitalization of all research and experimental (“R&amp;E”) costs incurred in tax years beginning after December 31, 2021. For tax years beginning on or after January 1, 2022, R&amp;E costs must be amortized over five years if the R&amp;E activities are performed in the U.S., or over 15 years if the activities are performed outside of the U.S., beginning with the midpoint of the tax year in which the costs were paid or incurred. During 2024, the Company capitalized $11.8 million of R&amp;E costs. The Company plans to refine the calculation for Section 174 and make an adjustment on the tax return.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Agreement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periods from January 1, 2024 to July 30, 2024 (Predecessor), from July 31, 2024 to December 31, 2024 (Successor), and the year ended December 31, 2023 (Predecessor), the Company incurred $0.9 million, $0.4 million, $1.4 million, respectively, for finance and accounting services and other general and administrative support services (“Shared Services Agreement”) to Fjord Ventures (“Fjord”), a company owned and operated by the Company’s CEO. The transactions are recorded as selling, general and administrative expenses on the consolidated statements of operations and comprehensive 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Laguna Hills Sublease (Predecessor)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Shared Services Agreement, Legacy Adagio also sub-leases approximately 4,992 square feet of office and manufacturing space in Laguna Hills, California from Fjord. On March 31, 2024, the sub-lease with Fjord is expired.</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periods from January 1, 2024 to July 30, 2024 (Predecessor), and the year ended December 31, 2023 (Predecessor), Legacy Adagio incurred $25.5 thousand, $0.1 million of lease expense, respectively, under the sub-lease agreement.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11-Operating Leases</w:t>
      </w:r>
      <w:r>
        <w:rPr>
          <w:rFonts w:ascii="Times New Roman" w:cs="Times New Roman" w:eastAsia="Times New Roman" w:hAnsi="Times New Roman"/>
          <w:sz w:val="18"/>
          <w:szCs w:val="18"/>
          <w:color w:val="auto"/>
        </w:rPr>
        <w:t xml:space="preserve"> for further detail.</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October 2022 Convertible Notes (Predecessor)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27, 2022, Legacy Adagio issued a $0.5 million convertible promissory note to Fjordinvest, LLC (“Fjordinvest”), a company owned and operated by the Legacy Adagio’s CEO. On April 4, 2023, November 28, 2023 and February 13, 2024, the October 2022 Convertible Notes were amended. Refer to </w:t>
      </w:r>
      <w:r>
        <w:rPr>
          <w:rFonts w:ascii="Times New Roman" w:cs="Times New Roman" w:eastAsia="Times New Roman" w:hAnsi="Times New Roman"/>
          <w:sz w:val="18"/>
          <w:szCs w:val="18"/>
          <w:i w:val="1"/>
          <w:iCs w:val="1"/>
          <w:color w:val="auto"/>
        </w:rPr>
        <w:t>Note 9-Debt</w:t>
      </w:r>
      <w:r>
        <w:rPr>
          <w:rFonts w:ascii="Times New Roman" w:cs="Times New Roman" w:eastAsia="Times New Roman" w:hAnsi="Times New Roman"/>
          <w:sz w:val="18"/>
          <w:szCs w:val="18"/>
          <w:color w:val="auto"/>
        </w:rPr>
        <w:t xml:space="preserve"> for additional information regarding the October 2022 Convertible Notes.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 w:cs="Times New Roman" w:eastAsia="Times New Roman" w:hAnsi="Times New Roman"/>
          <w:sz w:val="18"/>
          <w:szCs w:val="18"/>
          <w:i w:val="1"/>
          <w:iCs w:val="1"/>
          <w:color w:val="auto"/>
        </w:rPr>
        <w:t xml:space="preserve">Note 9-Debt </w:t>
      </w:r>
      <w:r>
        <w:rPr>
          <w:rFonts w:ascii="Times New Roman" w:cs="Times New Roman" w:eastAsia="Times New Roman" w:hAnsi="Times New Roman"/>
          <w:sz w:val="18"/>
          <w:szCs w:val="18"/>
          <w:color w:val="auto"/>
        </w:rPr>
        <w:t>for additional information regarding the Convertible Securities Notes.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Financing (Successor)</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 w:cs="Times New Roman" w:eastAsia="Times New Roman" w:hAnsi="Times New Roman"/>
          <w:sz w:val="18"/>
          <w:szCs w:val="18"/>
          <w:i w:val="1"/>
          <w:iCs w:val="1"/>
          <w:color w:val="auto"/>
        </w:rPr>
        <w:t>Note 9-Debt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Further, in connection with the PIPE Financing, the Company issued 2,250,352 shares of the Company’s Common Stock and 1,905,069 Base Warrants to Perceptive PIPE Investor, the controlling party of the Company, in exchange for Perceptive PIPE Investor’s additional cash investment of approximately $15.9 million in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w:t>
      </w:r>
      <w:r>
        <w:rPr>
          <w:rFonts w:ascii="Times New Roman" w:cs="Times New Roman" w:eastAsia="Times New Roman" w:hAnsi="Times New Roman"/>
          <w:sz w:val="18"/>
          <w:szCs w:val="18"/>
          <w:i w:val="1"/>
          <w:iCs w:val="1"/>
          <w:color w:val="auto"/>
        </w:rPr>
        <w:t>ASU 2023-07</w:t>
      </w:r>
      <w:r>
        <w:rPr>
          <w:rFonts w:ascii="Times New Roman" w:cs="Times New Roman" w:eastAsia="Times New Roman" w:hAnsi="Times New Roman"/>
          <w:sz w:val="18"/>
          <w:szCs w:val="18"/>
          <w:color w:val="auto"/>
        </w:rPr>
        <w:t xml:space="preserve"> during the year ended December 31, 2024 retrospectively to all periods presented in the consolidated financial statements. The Company has one reportable segment managed on a consolidated basis by the Chief Executive Officer (CEO) who is the chief operating decision maker (“CODM”). In identifying one reportable segment, the Company considered the basis of organization for the design and development and commercialization of ablation technologies for the treatment of cardiac arrhythmias.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balance sheet as cash, cash equivalents and money market accounts.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Summary of segment net loss, including significant segment expenses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9"/>
        </w:trPr>
        <w:tc>
          <w:tcPr>
            <w:tcW w:w="46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Pr>
          <w:p>
            <w:pPr>
              <w:spacing w:after="0"/>
              <w:rPr>
                <w:sz w:val="17"/>
                <w:szCs w:val="17"/>
                <w:color w:val="auto"/>
              </w:rPr>
            </w:pPr>
          </w:p>
        </w:tc>
      </w:tr>
      <w:tr>
        <w:trPr>
          <w:trHeight w:val="180"/>
        </w:trPr>
        <w:tc>
          <w:tcPr>
            <w:tcW w:w="4620" w:type="dxa"/>
            <w:vAlign w:val="bottom"/>
          </w:tcPr>
          <w:p>
            <w:pPr>
              <w:spacing w:after="0"/>
              <w:rPr>
                <w:sz w:val="15"/>
                <w:szCs w:val="15"/>
                <w:color w:val="auto"/>
              </w:rPr>
            </w:pPr>
          </w:p>
        </w:tc>
        <w:tc>
          <w:tcPr>
            <w:tcW w:w="124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January 1 to July</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January 1 to</w:t>
            </w:r>
          </w:p>
        </w:tc>
        <w:tc>
          <w:tcPr>
            <w:tcW w:w="20" w:type="dxa"/>
            <w:vAlign w:val="bottom"/>
          </w:tcPr>
          <w:p>
            <w:pPr>
              <w:spacing w:after="0"/>
              <w:rPr>
                <w:sz w:val="15"/>
                <w:szCs w:val="15"/>
                <w:color w:val="auto"/>
              </w:rPr>
            </w:pPr>
          </w:p>
        </w:tc>
      </w:tr>
      <w:tr>
        <w:trPr>
          <w:trHeight w:val="215"/>
        </w:trPr>
        <w:tc>
          <w:tcPr>
            <w:tcW w:w="462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5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0" w:type="dxa"/>
            <w:vAlign w:val="bottom"/>
          </w:tcPr>
          <w:p>
            <w:pPr>
              <w:spacing w:after="0"/>
              <w:rPr>
                <w:sz w:val="17"/>
                <w:szCs w:val="17"/>
                <w:color w:val="auto"/>
              </w:rPr>
            </w:pPr>
          </w:p>
        </w:tc>
      </w:tr>
      <w:tr>
        <w:trPr>
          <w:trHeight w:val="193"/>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20" w:type="dxa"/>
            <w:vAlign w:val="bottom"/>
          </w:tcPr>
          <w:p>
            <w:pPr>
              <w:spacing w:after="0"/>
              <w:rPr>
                <w:sz w:val="17"/>
                <w:szCs w:val="17"/>
                <w:color w:val="auto"/>
              </w:rPr>
            </w:pPr>
          </w:p>
        </w:tc>
      </w:tr>
      <w:tr>
        <w:trPr>
          <w:trHeight w:val="203"/>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20" w:type="dxa"/>
            <w:vAlign w:val="bottom"/>
          </w:tcPr>
          <w:p>
            <w:pPr>
              <w:spacing w:after="0"/>
              <w:rPr>
                <w:sz w:val="17"/>
                <w:szCs w:val="17"/>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20" w:type="dxa"/>
            <w:vAlign w:val="bottom"/>
          </w:tcPr>
          <w:p>
            <w:pPr>
              <w:spacing w:after="0"/>
              <w:rPr>
                <w:sz w:val="17"/>
                <w:szCs w:val="17"/>
                <w:color w:val="auto"/>
              </w:rPr>
            </w:pPr>
          </w:p>
        </w:tc>
      </w:tr>
      <w:tr>
        <w:trPr>
          <w:trHeight w:val="203"/>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 Goodwill</w:t>
            </w:r>
          </w:p>
        </w:tc>
        <w:tc>
          <w:tcPr>
            <w:tcW w:w="5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 Intangible assets, net</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5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right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20" w:type="dxa"/>
            <w:vAlign w:val="bottom"/>
          </w:tcPr>
          <w:p>
            <w:pPr>
              <w:spacing w:after="0"/>
              <w:rPr>
                <w:sz w:val="17"/>
                <w:szCs w:val="17"/>
                <w:color w:val="auto"/>
              </w:rPr>
            </w:pPr>
          </w:p>
        </w:tc>
      </w:tr>
      <w:tr>
        <w:trPr>
          <w:trHeight w:val="19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5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(53,763)</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(36,590)</w:t>
            </w:r>
          </w:p>
        </w:tc>
        <w:tc>
          <w:tcPr>
            <w:tcW w:w="2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occurring after the balance sheet date through the date these consolidated financial statements were issued and determined that the following material events required disclosure:</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March 20, 2025, the Company granted stock options to purchase an aggregate of 2,706,000 shares of its common stock to employees, executives, and members of the Board of Directors under its 2024 Equity Incentive Plan. The grants included Incentive Stock Options (“ISOs”) and Non-statutory Stock Options (“NSOs”) with an exercise price equal to the fair market value of the Company’s common stock on the grant date.</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March 11, 2025, John Dahldorf, the Company’s Chief Financial Officer announced his decision to resign as Chief Financial Officer, effective March 28, 2025.</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Mr. Dahldorf’s resignation was not the result of any dispute or disagreement with the Company on any matter related to the Company’s financial reporting or accounting policies, procedures, estimates, or judgments.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28, 2025, the Company announced a strategic restructuring to prioritize its FULCRUM-VT U.S. pivotal investigational device exemption clinical trial and a new product design optimization program. This restructuring includes pausing the limited European launch of the vCLAS catheter and implementing a reduction in workforce effective February 28, 2025, to reallocate resources toward these critical priorities.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January 30, 2025, the Company provided formal notice to Fjord Ventures LLC of its intent to terminate the Facilities and Services Agreement, dated as of June 1, 2011, as amended. The notice of termination was provided in accordance with the termination provisions outlined in the Agreement. The Agreement will terminate effective July 30, 2025. The termination is due to the Company no longer needing the services provided under the Agreement. The Agreement provided for various services and facilities to be rendered by Fjord to the Company. These services included employee benefits plan administration, administrative support, IT services, and the provision of office space and supplies.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January 3, 2025, the Company entered into Limited Waiver and Amendment agreements with certain investors to address defaults related to misstated financial statements previously disclosed on November 1, 2024. These waivers pertain to the Securities Purchase Agreement, Registration Rights Agreement, and promissory notes issued on July 31, 2024. The investors agreed to accept restricted shares in lieu of payment in cash at a price of $2.00 per share, with the Company issuing a total of 183,333 Restricted Shares for registration delay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8" w:lineRule="exact"/>
        <w:rPr>
          <w:sz w:val="20"/>
          <w:szCs w:val="20"/>
          <w:color w:val="auto"/>
        </w:rPr>
      </w:pPr>
    </w:p>
    <w:p>
      <w:pPr>
        <w:jc w:val="both"/>
        <w:ind w:left="60" w:right="59" w:firstLine="405"/>
        <w:spacing w:after="0" w:line="258"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the design and operation of our disclosure controls and procedures as of December 31, 2024 and prior to the filing of this Annual Report. Based on such evaluation, our Chief Executive Officer and Chief Financial Officer have concluded that, as of December 31, 2024, our disclosure controls and procedures were not effective due to the material weaknesses described below.</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left="60" w:right="59" w:firstLine="405"/>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Under the supervision and with the participation of our Chief Executive Officer and Chief Financial Officer and oversight of the Board of Directors, we conducted an evaluation of the effectiveness of our internal control over financial reporting based on criteria established in the framework set forth in Internal Control-Integrated Framework (2013) issued by the Committee of Sponsoring Organizations of the Treadway Commission.</w:t>
      </w:r>
    </w:p>
    <w:p>
      <w:pPr>
        <w:spacing w:after="0" w:line="187" w:lineRule="exact"/>
        <w:rPr>
          <w:sz w:val="20"/>
          <w:szCs w:val="20"/>
          <w:color w:val="auto"/>
        </w:rPr>
      </w:pPr>
    </w:p>
    <w:p>
      <w:pPr>
        <w:jc w:val="both"/>
        <w:ind w:left="60" w:right="59" w:firstLine="405"/>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recognizes that disclosure internal controls over financial reporting,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Identified Material Weaknesses and Remediation</w:t>
      </w:r>
    </w:p>
    <w:p>
      <w:pPr>
        <w:spacing w:after="0" w:line="227" w:lineRule="exact"/>
        <w:rPr>
          <w:sz w:val="20"/>
          <w:szCs w:val="20"/>
          <w:color w:val="auto"/>
        </w:rPr>
      </w:pPr>
    </w:p>
    <w:p>
      <w:pPr>
        <w:jc w:val="both"/>
        <w:ind w:left="60" w:right="59" w:firstLine="405"/>
        <w:spacing w:after="0" w:line="266" w:lineRule="auto"/>
        <w:rPr>
          <w:sz w:val="20"/>
          <w:szCs w:val="20"/>
          <w:color w:val="auto"/>
        </w:rPr>
      </w:pPr>
      <w:r>
        <w:rPr>
          <w:rFonts w:ascii="Times New Roman" w:cs="Times New Roman" w:eastAsia="Times New Roman" w:hAnsi="Times New Roman"/>
          <w:sz w:val="18"/>
          <w:szCs w:val="18"/>
          <w:color w:val="auto"/>
        </w:rPr>
        <w:t>A material weakness is a significant deficiency, or a combination of significant deficiencies, in internal control over financial reporting such that it is reasonably possible that a material misstatement of the annual or interim financial statements will not be prevented or detected.</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Based on our evaluation and our Chief Executive Officer and Chief Financial Officer assessment over the effectiveness of our internal control over financial reporting as of December 31, 2024, and we determined that our internal control over financial reporting was not effective as of December 31, 2024 at a reasonable assurance level due to the material weaknesses related to the inadequate design and operation of management’s review controls over valuation reports prepared by third-party specialists in conjunction with the accounting for certain debt and equity instruments.</w:t>
      </w:r>
    </w:p>
    <w:p>
      <w:pPr>
        <w:spacing w:after="0" w:line="39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have implemented our remediation plan to address the material weaknesses identified above. Such measures include:</w:t>
      </w:r>
    </w:p>
    <w:p>
      <w:pPr>
        <w:spacing w:after="0" w:line="162" w:lineRule="exact"/>
        <w:rPr>
          <w:sz w:val="20"/>
          <w:szCs w:val="20"/>
          <w:color w:val="auto"/>
        </w:rPr>
      </w:pPr>
    </w:p>
    <w:p>
      <w:pPr>
        <w:ind w:left="940" w:hanging="242"/>
        <w:spacing w:after="0"/>
        <w:tabs>
          <w:tab w:leader="none" w:pos="9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review of third-party valuation reports utilized in the accounting for certain debt and equity</w:t>
      </w:r>
    </w:p>
    <w:p>
      <w:pPr>
        <w:spacing w:after="0" w:line="2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w:t>
      </w:r>
    </w:p>
    <w:p>
      <w:pPr>
        <w:spacing w:after="0" w:line="206" w:lineRule="exact"/>
        <w:rPr>
          <w:rFonts w:ascii="Times New Roman" w:cs="Times New Roman" w:eastAsia="Times New Roman" w:hAnsi="Times New Roman"/>
          <w:sz w:val="18"/>
          <w:szCs w:val="18"/>
          <w:color w:val="auto"/>
        </w:rPr>
      </w:pPr>
    </w:p>
    <w:p>
      <w:pPr>
        <w:ind w:left="60" w:right="79" w:firstLine="638"/>
        <w:spacing w:after="0" w:line="282" w:lineRule="auto"/>
        <w:tabs>
          <w:tab w:leader="none" w:pos="9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review of the manual journal entries based on externally generated reports and agreements with regard to accounting issues in certain debt and equity instruments;</w:t>
      </w:r>
    </w:p>
    <w:p>
      <w:pPr>
        <w:spacing w:after="0" w:line="161" w:lineRule="exact"/>
        <w:rPr>
          <w:rFonts w:ascii="Times New Roman" w:cs="Times New Roman" w:eastAsia="Times New Roman" w:hAnsi="Times New Roman"/>
          <w:sz w:val="18"/>
          <w:szCs w:val="18"/>
          <w:color w:val="auto"/>
        </w:rPr>
      </w:pPr>
    </w:p>
    <w:p>
      <w:pPr>
        <w:ind w:left="900" w:hanging="202"/>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oversight controls on the work performed by third-party specialists.</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will not consider the material weakness remediated until the remedial controls operate for a sufficient period of time and we have concluded, through testing, that these controls are effectively designed and operating effectively. We will continue to assess throughout 2025.</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than in connection with executing upon the continued implementation of the remediation measures referenced above, there have been no changes in our internal controls over financial reporting during the year ended December 31, 2024, that have materially affected, or are reasonably likely to materially affect, our internal controls over financial reporting.</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three-months ended December 31, 2024, no director or 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to be filed with the SEC within 120 days of the fiscal year ended December 31, 2024, and is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to be filed with the SEC within 120 days of the fiscal year ended December 31, 2024,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to be filed with the SEC within 120 days of the fiscal year ended December 31, 2024,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to be filed with the SEC within 120 days of the fiscal year ended December 31, 2024,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Meeting of Stockholders to be filed with the SEC within 120 days of the fiscal year ended December 31, 2024,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The following documents are filed as a part of this report:</w:t>
      </w:r>
    </w:p>
    <w:p>
      <w:pPr>
        <w:spacing w:after="0" w:line="223" w:lineRule="exact"/>
        <w:rPr>
          <w:sz w:val="20"/>
          <w:szCs w:val="20"/>
          <w:color w:val="auto"/>
        </w:rPr>
      </w:pPr>
    </w:p>
    <w:p>
      <w:pPr>
        <w:ind w:left="820" w:right="79"/>
        <w:spacing w:after="0" w:line="284"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Consolidated Financial Statements filed as part of this report are listed under Item 8. Financial Statements and Supplementary Data.</w:t>
      </w:r>
    </w:p>
    <w:p>
      <w:pPr>
        <w:spacing w:after="0" w:line="158" w:lineRule="exact"/>
        <w:rPr>
          <w:rFonts w:ascii="Times New Roman" w:cs="Times New Roman" w:eastAsia="Times New Roman" w:hAnsi="Times New Roman"/>
          <w:sz w:val="18"/>
          <w:szCs w:val="18"/>
          <w:color w:val="auto"/>
        </w:rPr>
      </w:pPr>
    </w:p>
    <w:p>
      <w:pPr>
        <w:ind w:left="1000" w:hanging="180"/>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 Not Applicable.</w:t>
      </w:r>
    </w:p>
    <w:p>
      <w:pPr>
        <w:spacing w:after="0" w:line="225" w:lineRule="exact"/>
        <w:rPr>
          <w:rFonts w:ascii="Times New Roman" w:cs="Times New Roman" w:eastAsia="Times New Roman" w:hAnsi="Times New Roman"/>
          <w:sz w:val="18"/>
          <w:szCs w:val="18"/>
          <w:color w:val="auto"/>
        </w:rPr>
      </w:pPr>
    </w:p>
    <w:p>
      <w:pPr>
        <w:ind w:left="1000" w:hanging="180"/>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See Item 15(b) below.</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No.</w:t>
            </w:r>
          </w:p>
        </w:tc>
        <w:tc>
          <w:tcPr>
            <w:tcW w:w="1440" w:type="dxa"/>
            <w:vAlign w:val="bottom"/>
          </w:tcPr>
          <w:p>
            <w:pPr>
              <w:spacing w:after="0"/>
              <w:rPr>
                <w:sz w:val="20"/>
                <w:szCs w:val="20"/>
                <w:color w:val="auto"/>
              </w:rPr>
            </w:pPr>
          </w:p>
        </w:tc>
        <w:tc>
          <w:tcPr>
            <w:tcW w:w="6340" w:type="dxa"/>
            <w:vAlign w:val="bottom"/>
            <w:gridSpan w:val="24"/>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7780" w:type="dxa"/>
            <w:vAlign w:val="bottom"/>
            <w:tcBorders>
              <w:top w:val="single" w:sz="8" w:color="auto"/>
            </w:tcBorders>
            <w:gridSpan w:val="25"/>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Business Combination Agreement, dated as of February 13, 2024, by and among Aja HoldCo, Inc., ARYA</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Sciences Acquisition Corp IV, Aja Merger Sub 1, Aja Merger Sub 2, Inc. and Adagio Medical, Inc.</w:t>
              </w:r>
            </w:hyperlink>
          </w:p>
        </w:tc>
        <w:tc>
          <w:tcPr>
            <w:tcW w:w="520" w:type="dxa"/>
            <w:vAlign w:val="bottom"/>
            <w:tcBorders>
              <w:top w:val="single" w:sz="8" w:color="0000EE"/>
            </w:tcBorders>
            <w:gridSpan w:val="9"/>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(incorporated by reference to Exhibit 2.1 to the Company’s Current Report on Form 8-K filed with the SEC</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on August 6, 2024).</w:t>
              </w:r>
            </w:hyperlink>
          </w:p>
        </w:tc>
        <w:tc>
          <w:tcPr>
            <w:tcW w:w="6340" w:type="dxa"/>
            <w:vAlign w:val="bottom"/>
            <w:gridSpan w:val="24"/>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7"/>
                <w:szCs w:val="17"/>
                <w:color w:val="auto"/>
              </w:rPr>
            </w:pPr>
          </w:p>
        </w:tc>
        <w:tc>
          <w:tcPr>
            <w:tcW w:w="77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Consent and Amendment No. 1 to the Business Combination Agreement, dated as of June 25, 2024, by and</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among ARYA Sciences Acquisition Corp IV and Adagio Medical, Inc. (incorporated by reference to</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Exhibit 2.2 to the Company’s Current Report on Form 8-K filed with the SEC on August 6, 2024).</w:t>
              </w:r>
            </w:hyperlink>
          </w:p>
        </w:tc>
        <w:tc>
          <w:tcPr>
            <w:tcW w:w="120" w:type="dxa"/>
            <w:vAlign w:val="bottom"/>
            <w:tcBorders>
              <w:top w:val="single" w:sz="8" w:color="0000EE"/>
            </w:tcBorders>
            <w:gridSpan w:val="2"/>
          </w:tcPr>
          <w:p>
            <w:pPr>
              <w:spacing w:after="0"/>
              <w:rPr>
                <w:sz w:val="17"/>
                <w:szCs w:val="17"/>
                <w:color w:val="auto"/>
              </w:rPr>
            </w:pPr>
          </w:p>
        </w:tc>
        <w:tc>
          <w:tcPr>
            <w:tcW w:w="560" w:type="dxa"/>
            <w:vAlign w:val="bottom"/>
            <w:gridSpan w:val="13"/>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Amended and Restated Certificate of Incorporation of the Company (incorporated by reference to Exhibit</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with the SEC on August 6, 2024).</w:t>
              </w:r>
            </w:hyperlink>
          </w:p>
        </w:tc>
        <w:tc>
          <w:tcPr>
            <w:tcW w:w="18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Amended and Restated By-Laws of the Company (incorporated by reference to Exhibit 3.2 to the</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Company’s Current Report on Form 8-K filed with the SEC on August 6, 2024).</w:t>
              </w:r>
            </w:hyperlink>
          </w:p>
        </w:tc>
        <w:tc>
          <w:tcPr>
            <w:tcW w:w="780" w:type="dxa"/>
            <w:vAlign w:val="bottom"/>
            <w:gridSpan w:val="1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7"/>
                <w:szCs w:val="17"/>
                <w:color w:val="auto"/>
              </w:rPr>
            </w:pPr>
          </w:p>
        </w:tc>
        <w:tc>
          <w:tcPr>
            <w:tcW w:w="7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Form of Base Warrant Agreement (incorporated by reference to Exhibit 4.1 to the Company’s Current</w:t>
              </w:r>
            </w:hyperlink>
          </w:p>
        </w:tc>
        <w:tc>
          <w:tcPr>
            <w:tcW w:w="44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Report on Form 8-K filed with the SEC on August 6, 2024).</w:t>
              </w:r>
            </w:hyperlink>
          </w:p>
        </w:tc>
        <w:tc>
          <w:tcPr>
            <w:tcW w:w="3440" w:type="dxa"/>
            <w:vAlign w:val="bottom"/>
            <w:gridSpan w:val="23"/>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Pre-Funded Warrant Agreement (incorporated by reference to Exhibit 4.2 to the Company’s</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Current Report on Form 8-K filed with the SEC on August 6, 2024).</w:t>
              </w:r>
            </w:hyperlink>
          </w:p>
        </w:tc>
        <w:tc>
          <w:tcPr>
            <w:tcW w:w="560" w:type="dxa"/>
            <w:vAlign w:val="bottom"/>
            <w:gridSpan w:val="1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Convert Warrant Agreement (incorporated by reference to Exhibit 4.3 to the Company’s Current</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Report on Form 8-K filed with the SEC on August 6, 2024).</w:t>
              </w:r>
            </w:hyperlink>
          </w:p>
        </w:tc>
        <w:tc>
          <w:tcPr>
            <w:tcW w:w="3220" w:type="dxa"/>
            <w:vAlign w:val="bottom"/>
            <w:tcBorders>
              <w:top w:val="single" w:sz="8" w:color="0000EE"/>
            </w:tcBorders>
            <w:gridSpan w:val="16"/>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Specimen Common Stock Certificate of New Adagio (incorporated by reference to Exhibit 4.4 to the</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Company’s Current Report on Form 8-K filed with the SEC on August 6, 2024).</w:t>
              </w:r>
            </w:hyperlink>
          </w:p>
        </w:tc>
        <w:tc>
          <w:tcPr>
            <w:tcW w:w="520" w:type="dxa"/>
            <w:vAlign w:val="bottom"/>
            <w:gridSpan w:val="1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Form of Convertible Security Subscription Agreement (incorporated by reference to Exhibit 10.1 to the</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Company’s Current Report on Form 8-K filed with the SEC on August 6, 2024).</w:t>
              </w:r>
            </w:hyperlink>
          </w:p>
        </w:tc>
        <w:tc>
          <w:tcPr>
            <w:tcW w:w="340" w:type="dxa"/>
            <w:vAlign w:val="bottom"/>
            <w:gridSpan w:val="10"/>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7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Investor Rights Agreement, dated as of February 13, 2024, by and among ARYA, ListCo, the Perceptive</w:t>
              </w:r>
            </w:hyperlink>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PIPE Investor, the Sponsor and the other parties thereto (incorporated by reference to Exhibit 10.2 to the</w:t>
              </w:r>
            </w:hyperlink>
          </w:p>
        </w:tc>
        <w:tc>
          <w:tcPr>
            <w:tcW w:w="2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Company’s Current Report on Form 8-K filed with the SEC on August 6, 2024).</w:t>
              </w:r>
            </w:hyperlink>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Sponsor Letter Agreement, dated February 13, 2024, by and between ARYA Sciences Acquisition Corp,</w:t>
              </w:r>
            </w:hyperlink>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ARYA Sciences Holdings IV, Todd Wider, Michael Henderson, Leslie Trigg, Joseph Edelman, Adam Stone,</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Michael Altman, Konstantin Poukalov and Adagio Medical, Inc. (incorporated by reference to Exhibit 10.3</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to the Company’s Current Report on Form 8-K filed with the SEC on August 6, 2024).</w:t>
              </w:r>
            </w:hyperlink>
          </w:p>
        </w:tc>
        <w:tc>
          <w:tcPr>
            <w:tcW w:w="1480" w:type="dxa"/>
            <w:vAlign w:val="bottom"/>
            <w:tcBorders>
              <w:top w:val="single" w:sz="8" w:color="0000EE"/>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7"/>
                <w:szCs w:val="17"/>
                <w:color w:val="auto"/>
              </w:rPr>
            </w:pPr>
          </w:p>
        </w:tc>
        <w:tc>
          <w:tcPr>
            <w:tcW w:w="7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Form of Adagio Stockholder Transaction Support Agreement (incorporated by reference to Exhibit 10.4 to</w:t>
              </w:r>
            </w:hyperlink>
          </w:p>
        </w:tc>
        <w:tc>
          <w:tcPr>
            <w:tcW w:w="10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the Company’s Current Report on Form 8-K filed with the SEC on August 6, 2024).</w:t>
              </w:r>
            </w:hyperlink>
          </w:p>
        </w:tc>
        <w:tc>
          <w:tcPr>
            <w:tcW w:w="1720" w:type="dxa"/>
            <w:vAlign w:val="bottom"/>
            <w:gridSpan w:val="20"/>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7"/>
                <w:szCs w:val="17"/>
                <w:color w:val="auto"/>
              </w:rPr>
            </w:pPr>
          </w:p>
        </w:tc>
        <w:tc>
          <w:tcPr>
            <w:tcW w:w="70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Form of New Adagio 2024 Equity Incentive Plan (incorporated by reference to Exhibit 10.5 to the</w:t>
              </w:r>
            </w:hyperlink>
          </w:p>
        </w:tc>
        <w:tc>
          <w:tcPr>
            <w:tcW w:w="70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Company’s Current Report on Form 8-K filed with the SEC on August 6, 2024).</w:t>
              </w:r>
            </w:hyperlink>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196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New Adagio 2024 Key Employee Equity Incentive Plan (incorporated by reference to Exhibit 10.6</w:t>
              </w:r>
            </w:hyperlink>
          </w:p>
        </w:tc>
      </w:tr>
      <w:tr>
        <w:trPr>
          <w:trHeight w:val="196"/>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to the Company’s Current Report on Form 8-K filed with the SEC on August 6, 2024).</w:t>
              </w:r>
            </w:hyperlink>
          </w:p>
        </w:tc>
        <w:tc>
          <w:tcPr>
            <w:tcW w:w="150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780" w:type="dxa"/>
            <w:vAlign w:val="bottom"/>
            <w:gridSpan w:val="25"/>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Form of New Adagio 2024 Employee Stock Purchase Plan (incorporated by reference to Exhibit 10.7 to the</w:t>
              </w:r>
            </w:hyperlink>
          </w:p>
        </w:tc>
      </w:tr>
      <w:tr>
        <w:trPr>
          <w:trHeight w:val="196"/>
        </w:trPr>
        <w:tc>
          <w:tcPr>
            <w:tcW w:w="1080" w:type="dxa"/>
            <w:vAlign w:val="bottom"/>
          </w:tcPr>
          <w:p>
            <w:pPr>
              <w:spacing w:after="0"/>
              <w:rPr>
                <w:sz w:val="17"/>
                <w:szCs w:val="17"/>
                <w:color w:val="auto"/>
              </w:rPr>
            </w:pPr>
          </w:p>
        </w:tc>
        <w:tc>
          <w:tcPr>
            <w:tcW w:w="58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Company’s Current Report on Form 8-K filed with the SEC on August 6, 2024).</w:t>
              </w:r>
            </w:hyperlink>
          </w:p>
        </w:tc>
        <w:tc>
          <w:tcPr>
            <w:tcW w:w="19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of New Adagio Indemnity Agreement (incorporated by reference to Exhibit 10.8 to the Company’s</w:t>
              </w:r>
            </w:hyperlink>
          </w:p>
        </w:tc>
      </w:tr>
      <w:tr>
        <w:trPr>
          <w:trHeight w:val="196"/>
        </w:trPr>
        <w:tc>
          <w:tcPr>
            <w:tcW w:w="10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Current Report on Form 8-K filed with the SEC on August 6, 2024).</w:t>
              </w:r>
            </w:hyperlink>
          </w:p>
        </w:tc>
        <w:tc>
          <w:tcPr>
            <w:tcW w:w="2620" w:type="dxa"/>
            <w:vAlign w:val="bottom"/>
            <w:tcBorders>
              <w:top w:val="single" w:sz="8" w:color="0000EE"/>
            </w:tcBorders>
            <w:gridSpan w:val="10"/>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6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Convert Guaranty, dated as of July 31, 2024, by and among Adagio and the other parties thereto</w:t>
              </w:r>
            </w:hyperlink>
          </w:p>
        </w:tc>
        <w:tc>
          <w:tcPr>
            <w:tcW w:w="86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(incorporated by reference to Exhibit 10.9 to the Company’s Current Report on Form 8-K filed with the</w:t>
              </w:r>
            </w:hyperlink>
          </w:p>
        </w:tc>
      </w:tr>
      <w:tr>
        <w:trPr>
          <w:trHeight w:val="196"/>
        </w:trPr>
        <w:tc>
          <w:tcPr>
            <w:tcW w:w="10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SEC on August 6, 2024).</w:t>
              </w:r>
            </w:hyperlink>
          </w:p>
        </w:tc>
        <w:tc>
          <w:tcPr>
            <w:tcW w:w="5640" w:type="dxa"/>
            <w:vAlign w:val="bottom"/>
            <w:tcBorders>
              <w:top w:val="single" w:sz="8" w:color="0000EE"/>
            </w:tcBorders>
            <w:gridSpan w:val="14"/>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Convert Security Document, dated as of July 31, 2024, by and among New Adagio, Adagio and the other</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6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parties thereto (incorporated by reference to Exhibit 10.10 to the Company’s Current Report on Form 8-K</w:t>
              </w:r>
            </w:hyperlink>
          </w:p>
        </w:tc>
        <w:tc>
          <w:tcPr>
            <w:tcW w:w="16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filed with the SEC on August 6, 2024).</w:t>
              </w:r>
            </w:hyperlink>
          </w:p>
        </w:tc>
        <w:tc>
          <w:tcPr>
            <w:tcW w:w="4960" w:type="dxa"/>
            <w:vAlign w:val="bottom"/>
            <w:gridSpan w:val="19"/>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Registration Rights Agreement dated as of July 31, 2024, by and among New Adagio, Perceptive Life</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6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Sciences Master Fund, Ltd. and the other parties thereto (incorporated by reference to Exhibit 10.11 to the</w:t>
              </w:r>
            </w:hyperlink>
          </w:p>
        </w:tc>
        <w:tc>
          <w:tcPr>
            <w:tcW w:w="14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Company’s Current Report on Form 8-K filed with the SEC on August 6, 2024).</w:t>
              </w:r>
            </w:hyperlink>
          </w:p>
        </w:tc>
        <w:tc>
          <w:tcPr>
            <w:tcW w:w="1980" w:type="dxa"/>
            <w:vAlign w:val="bottom"/>
            <w:gridSpan w:val="15"/>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7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Offer Letter, dated July 31, 2024, between Adagio Medical, Inc. and Olav Bergheim (incorporated by</w:t>
              </w:r>
            </w:hyperlink>
          </w:p>
        </w:tc>
        <w:tc>
          <w:tcPr>
            <w:tcW w:w="44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5"/>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reference to Exhibit 10.23 to the Company’s Current Report on Form 8-K filed with the SEC on August 6,</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7">
              <w:r>
                <w:rPr>
                  <w:rFonts w:ascii="Times New Roman" w:cs="Times New Roman" w:eastAsia="Times New Roman" w:hAnsi="Times New Roman"/>
                  <w:sz w:val="18"/>
                  <w:szCs w:val="18"/>
                  <w:color w:val="0000EE"/>
                  <w:w w:val="94"/>
                </w:rPr>
                <w:t>2024).</w:t>
              </w:r>
            </w:hyperlink>
          </w:p>
        </w:tc>
        <w:tc>
          <w:tcPr>
            <w:tcW w:w="5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77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Tenth Amendment to the Facilities and Services Agreement, dated August 1, 2024, between Fjord Ventures,</w:t>
            </w:r>
          </w:p>
        </w:tc>
      </w:tr>
      <w:tr>
        <w:trPr>
          <w:trHeight w:val="196"/>
        </w:trPr>
        <w:tc>
          <w:tcPr>
            <w:tcW w:w="1080" w:type="dxa"/>
            <w:vAlign w:val="bottom"/>
          </w:tcPr>
          <w:p>
            <w:pPr>
              <w:spacing w:after="0"/>
              <w:rPr>
                <w:sz w:val="17"/>
                <w:szCs w:val="17"/>
                <w:color w:val="auto"/>
              </w:rPr>
            </w:pPr>
          </w:p>
        </w:tc>
        <w:tc>
          <w:tcPr>
            <w:tcW w:w="7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LLC and Adagio Medical, Inc.</w:t>
            </w: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Insider Trading Policy</w:t>
            </w:r>
          </w:p>
        </w:tc>
        <w:tc>
          <w:tcPr>
            <w:tcW w:w="600" w:type="dxa"/>
            <w:vAlign w:val="bottom"/>
            <w:tcBorders>
              <w:top w:val="single" w:sz="8" w:color="0000EE"/>
            </w:tcBorders>
            <w:gridSpan w:val="2"/>
          </w:tcPr>
          <w:p>
            <w:pPr>
              <w:spacing w:after="0"/>
              <w:rPr>
                <w:sz w:val="17"/>
                <w:szCs w:val="17"/>
                <w:color w:val="auto"/>
              </w:rPr>
            </w:pPr>
          </w:p>
        </w:tc>
        <w:tc>
          <w:tcPr>
            <w:tcW w:w="5560" w:type="dxa"/>
            <w:vAlign w:val="bottom"/>
            <w:gridSpan w:val="20"/>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6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WithumSmith+Brown, PC, independent registered public accounting firm for Adagio Medical</w:t>
            </w:r>
          </w:p>
        </w:tc>
        <w:tc>
          <w:tcPr>
            <w:tcW w:w="16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Holdings, Inc.</w:t>
            </w:r>
          </w:p>
        </w:tc>
      </w:tr>
      <w:tr>
        <w:trPr>
          <w:trHeight w:val="20"/>
        </w:trPr>
        <w:tc>
          <w:tcPr>
            <w:tcW w:w="10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w:t>
            </w:r>
          </w:p>
        </w:tc>
      </w:tr>
      <w:tr>
        <w:trPr>
          <w:trHeight w:val="196"/>
        </w:trPr>
        <w:tc>
          <w:tcPr>
            <w:tcW w:w="108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as adopted Pursuant to Section 302 of the Sarbanes-Oxley Act of 2002.</w:t>
            </w:r>
          </w:p>
        </w:tc>
        <w:tc>
          <w:tcPr>
            <w:tcW w:w="1240" w:type="dxa"/>
            <w:vAlign w:val="bottom"/>
            <w:tcBorders>
              <w:top w:val="single" w:sz="8" w:color="0000EE"/>
            </w:tcBorders>
            <w:gridSpan w:val="3"/>
          </w:tcPr>
          <w:p>
            <w:pPr>
              <w:spacing w:after="0"/>
              <w:rPr>
                <w:sz w:val="17"/>
                <w:szCs w:val="17"/>
                <w:color w:val="auto"/>
              </w:rPr>
            </w:pPr>
          </w:p>
        </w:tc>
        <w:tc>
          <w:tcPr>
            <w:tcW w:w="480" w:type="dxa"/>
            <w:vAlign w:val="bottom"/>
            <w:gridSpan w:val="11"/>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2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Securities Exchange Act Rules 13a-14(a) and</w:t>
            </w:r>
          </w:p>
        </w:tc>
        <w:tc>
          <w:tcPr>
            <w:tcW w:w="52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as adopted Pursuant to Section 302 of the Sarbanes-Oxley Act of 2002.</w:t>
            </w:r>
          </w:p>
        </w:tc>
        <w:tc>
          <w:tcPr>
            <w:tcW w:w="1720" w:type="dxa"/>
            <w:vAlign w:val="bottom"/>
            <w:gridSpan w:val="1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w:t>
            </w:r>
          </w:p>
        </w:tc>
      </w:tr>
      <w:tr>
        <w:trPr>
          <w:trHeight w:val="196"/>
        </w:trPr>
        <w:tc>
          <w:tcPr>
            <w:tcW w:w="1080" w:type="dxa"/>
            <w:vAlign w:val="bottom"/>
          </w:tcPr>
          <w:p>
            <w:pPr>
              <w:spacing w:after="0"/>
              <w:rPr>
                <w:sz w:val="17"/>
                <w:szCs w:val="17"/>
                <w:color w:val="auto"/>
              </w:rPr>
            </w:pPr>
          </w:p>
        </w:tc>
        <w:tc>
          <w:tcPr>
            <w:tcW w:w="7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40" w:type="dxa"/>
            <w:vAlign w:val="bottom"/>
            <w:gridSpan w:val="8"/>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4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w:t>
            </w:r>
          </w:p>
        </w:tc>
        <w:tc>
          <w:tcPr>
            <w:tcW w:w="38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80" w:type="dxa"/>
            <w:vAlign w:val="bottom"/>
          </w:tcPr>
          <w:p>
            <w:pPr>
              <w:spacing w:after="0" w:line="20" w:lineRule="exact"/>
              <w:rPr>
                <w:sz w:val="1"/>
                <w:szCs w:val="1"/>
                <w:color w:val="auto"/>
              </w:rPr>
            </w:pPr>
          </w:p>
        </w:tc>
        <w:tc>
          <w:tcPr>
            <w:tcW w:w="3460" w:type="dxa"/>
            <w:vAlign w:val="bottom"/>
            <w:gridSpan w:val="7"/>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7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Policy Relating to Recovery of Erroneously Awarded Compensation</w:t>
            </w: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60" w:type="dxa"/>
            <w:vAlign w:val="bottom"/>
            <w:gridSpan w:val="17"/>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for the cover page of this Annual Report on Form 10-K, included in the Exhibit 101 Inline</w:t>
            </w:r>
          </w:p>
        </w:tc>
      </w:tr>
      <w:tr>
        <w:trPr>
          <w:trHeight w:val="234"/>
        </w:trPr>
        <w:tc>
          <w:tcPr>
            <w:tcW w:w="1080" w:type="dxa"/>
            <w:vAlign w:val="bottom"/>
          </w:tcPr>
          <w:p>
            <w:pPr>
              <w:spacing w:after="0"/>
              <w:rPr>
                <w:sz w:val="20"/>
                <w:szCs w:val="20"/>
                <w:color w:val="auto"/>
              </w:rPr>
            </w:pPr>
          </w:p>
        </w:tc>
        <w:tc>
          <w:tcPr>
            <w:tcW w:w="77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Document Set.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wp:posOffset>
            </wp:positionV>
            <wp:extent cx="14141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10" w:lineRule="exact"/>
        <w:rPr>
          <w:sz w:val="20"/>
          <w:szCs w:val="20"/>
          <w:color w:val="auto"/>
        </w:rPr>
      </w:pPr>
    </w:p>
    <w:p>
      <w:pPr>
        <w:ind w:left="380" w:hanging="330"/>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ectPr>
          <w:pgSz w:w="11900" w:h="16838" w:orient="portrait"/>
          <w:cols w:equalWidth="0" w:num="1">
            <w:col w:w="9019"/>
          </w:cols>
          <w:pgMar w:left="1440" w:top="513" w:right="1440" w:bottom="1440" w:gutter="0" w:footer="0" w:header="0"/>
        </w:sect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Date: March 27,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Todd Usen</w:t>
      </w:r>
    </w:p>
    <w:p>
      <w:pPr>
        <w:spacing w:after="0" w:line="59" w:lineRule="exact"/>
        <w:rPr>
          <w:sz w:val="20"/>
          <w:szCs w:val="20"/>
          <w:color w:val="auto"/>
        </w:rPr>
      </w:pPr>
    </w:p>
    <w:p>
      <w:pPr>
        <w:sectPr>
          <w:pgSz w:w="11900" w:h="16838" w:orient="portrait"/>
          <w:cols w:equalWidth="0" w:num="2">
            <w:col w:w="4320" w:space="720"/>
            <w:col w:w="397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r>
      <w:tr>
        <w:trPr>
          <w:trHeight w:val="171"/>
        </w:trPr>
        <w:tc>
          <w:tcPr>
            <w:tcW w:w="8900" w:type="dxa"/>
            <w:vAlign w:val="bottom"/>
            <w:gridSpan w:val="3"/>
          </w:tcPr>
          <w:p>
            <w:pPr>
              <w:ind w:left="4500"/>
              <w:spacing w:after="0" w:line="171" w:lineRule="exact"/>
              <w:rPr>
                <w:sz w:val="20"/>
                <w:szCs w:val="20"/>
                <w:color w:val="auto"/>
              </w:rPr>
            </w:pPr>
            <w:r>
              <w:rPr>
                <w:rFonts w:ascii="Times New Roman" w:cs="Times New Roman" w:eastAsia="Times New Roman" w:hAnsi="Times New Roman"/>
                <w:sz w:val="18"/>
                <w:szCs w:val="18"/>
                <w:color w:val="auto"/>
              </w:rPr>
              <w:t>Name: Todd Usen</w:t>
            </w:r>
          </w:p>
        </w:tc>
      </w:tr>
      <w:tr>
        <w:trPr>
          <w:trHeight w:val="234"/>
        </w:trPr>
        <w:tc>
          <w:tcPr>
            <w:tcW w:w="8900" w:type="dxa"/>
            <w:vAlign w:val="bottom"/>
            <w:gridSpan w:val="3"/>
          </w:tcPr>
          <w:p>
            <w:pPr>
              <w:ind w:left="4500"/>
              <w:spacing w:after="0"/>
              <w:rPr>
                <w:sz w:val="20"/>
                <w:szCs w:val="20"/>
                <w:color w:val="auto"/>
              </w:rPr>
            </w:pPr>
            <w:r>
              <w:rPr>
                <w:rFonts w:ascii="Times New Roman" w:cs="Times New Roman" w:eastAsia="Times New Roman" w:hAnsi="Times New Roman"/>
                <w:sz w:val="18"/>
                <w:szCs w:val="18"/>
                <w:color w:val="auto"/>
              </w:rPr>
              <w:t>Title:  Director and Chief Executive Officer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Dahldorf</w:t>
            </w:r>
          </w:p>
        </w:tc>
      </w:tr>
      <w:tr>
        <w:trPr>
          <w:trHeight w:val="191"/>
        </w:trPr>
        <w:tc>
          <w:tcPr>
            <w:tcW w:w="5000" w:type="dxa"/>
            <w:vAlign w:val="bottom"/>
            <w:gridSpan w:val="2"/>
          </w:tcPr>
          <w:p>
            <w:pPr>
              <w:ind w:left="450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39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John Dahldorf</w:t>
            </w:r>
          </w:p>
        </w:tc>
      </w:tr>
      <w:tr>
        <w:trPr>
          <w:trHeight w:val="234"/>
        </w:trPr>
        <w:tc>
          <w:tcPr>
            <w:tcW w:w="49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L. Cox</w:t>
            </w:r>
          </w:p>
        </w:tc>
      </w:tr>
      <w:tr>
        <w:trPr>
          <w:trHeight w:val="191"/>
        </w:trPr>
        <w:tc>
          <w:tcPr>
            <w:tcW w:w="5000" w:type="dxa"/>
            <w:vAlign w:val="bottom"/>
            <w:gridSpan w:val="2"/>
          </w:tcPr>
          <w:p>
            <w:pPr>
              <w:ind w:left="450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39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James L. Cox</w:t>
            </w:r>
          </w:p>
        </w:tc>
      </w:tr>
      <w:tr>
        <w:trPr>
          <w:trHeight w:val="234"/>
        </w:trPr>
        <w:tc>
          <w:tcPr>
            <w:tcW w:w="49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Orly Mishan</w:t>
            </w:r>
          </w:p>
        </w:tc>
      </w:tr>
      <w:tr>
        <w:trPr>
          <w:trHeight w:val="191"/>
        </w:trPr>
        <w:tc>
          <w:tcPr>
            <w:tcW w:w="5000" w:type="dxa"/>
            <w:vAlign w:val="bottom"/>
            <w:gridSpan w:val="2"/>
          </w:tcPr>
          <w:p>
            <w:pPr>
              <w:ind w:left="450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39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Orly Mishan</w:t>
            </w:r>
          </w:p>
        </w:tc>
      </w:tr>
      <w:tr>
        <w:trPr>
          <w:trHeight w:val="234"/>
        </w:trPr>
        <w:tc>
          <w:tcPr>
            <w:tcW w:w="49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Keyvan Mirsaeedi-Farahani</w:t>
            </w:r>
          </w:p>
        </w:tc>
      </w:tr>
      <w:tr>
        <w:trPr>
          <w:trHeight w:val="191"/>
        </w:trPr>
        <w:tc>
          <w:tcPr>
            <w:tcW w:w="8900" w:type="dxa"/>
            <w:vAlign w:val="bottom"/>
            <w:gridSpan w:val="3"/>
          </w:tcPr>
          <w:p>
            <w:pPr>
              <w:ind w:left="4500"/>
              <w:spacing w:after="0" w:line="191" w:lineRule="exact"/>
              <w:rPr>
                <w:sz w:val="20"/>
                <w:szCs w:val="20"/>
                <w:color w:val="auto"/>
              </w:rPr>
            </w:pPr>
            <w:r>
              <w:rPr>
                <w:rFonts w:ascii="Times New Roman" w:cs="Times New Roman" w:eastAsia="Times New Roman" w:hAnsi="Times New Roman"/>
                <w:sz w:val="18"/>
                <w:szCs w:val="18"/>
                <w:color w:val="auto"/>
              </w:rPr>
              <w:t>Name:Keyvan Mirsaeedi-Farahani</w:t>
            </w:r>
          </w:p>
        </w:tc>
      </w:tr>
      <w:tr>
        <w:trPr>
          <w:trHeight w:val="234"/>
        </w:trPr>
        <w:tc>
          <w:tcPr>
            <w:tcW w:w="49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Timothy Moran</w:t>
            </w:r>
          </w:p>
        </w:tc>
      </w:tr>
      <w:tr>
        <w:trPr>
          <w:trHeight w:val="191"/>
        </w:trPr>
        <w:tc>
          <w:tcPr>
            <w:tcW w:w="8900" w:type="dxa"/>
            <w:vAlign w:val="bottom"/>
            <w:gridSpan w:val="3"/>
          </w:tcPr>
          <w:p>
            <w:pPr>
              <w:ind w:left="4500"/>
              <w:spacing w:after="0" w:line="191" w:lineRule="exact"/>
              <w:rPr>
                <w:sz w:val="20"/>
                <w:szCs w:val="20"/>
                <w:color w:val="auto"/>
              </w:rPr>
            </w:pPr>
            <w:r>
              <w:rPr>
                <w:rFonts w:ascii="Times New Roman" w:cs="Times New Roman" w:eastAsia="Times New Roman" w:hAnsi="Times New Roman"/>
                <w:sz w:val="18"/>
                <w:szCs w:val="18"/>
                <w:color w:val="auto"/>
              </w:rPr>
              <w:t>Name:Timothy Moran</w:t>
            </w:r>
          </w:p>
        </w:tc>
      </w:tr>
      <w:tr>
        <w:trPr>
          <w:trHeight w:val="234"/>
        </w:trPr>
        <w:tc>
          <w:tcPr>
            <w:tcW w:w="49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Sandra Gardiner</w:t>
            </w:r>
          </w:p>
        </w:tc>
      </w:tr>
      <w:tr>
        <w:trPr>
          <w:trHeight w:val="191"/>
        </w:trPr>
        <w:tc>
          <w:tcPr>
            <w:tcW w:w="5000" w:type="dxa"/>
            <w:vAlign w:val="bottom"/>
            <w:gridSpan w:val="2"/>
          </w:tcPr>
          <w:p>
            <w:pPr>
              <w:ind w:left="450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39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Sandra Gardiner</w:t>
            </w:r>
          </w:p>
        </w:tc>
      </w:tr>
      <w:tr>
        <w:trPr>
          <w:trHeight w:val="234"/>
        </w:trPr>
        <w:tc>
          <w:tcPr>
            <w:tcW w:w="49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TENTH AMENDMENT TO FACILITIES AND SERVICES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1D1D1D"/>
        </w:rPr>
        <w:t xml:space="preserve">This Tenth Amendment to Facilities and Services Agreement (the </w:t>
      </w:r>
      <w:r>
        <w:rPr>
          <w:rFonts w:ascii="Times New Roman" w:cs="Times New Roman" w:eastAsia="Times New Roman" w:hAnsi="Times New Roman"/>
          <w:sz w:val="18"/>
          <w:szCs w:val="18"/>
          <w:u w:val="single" w:color="auto"/>
          <w:color w:val="36363B"/>
        </w:rPr>
        <w:t>"</w:t>
      </w:r>
      <w:r>
        <w:rPr>
          <w:rFonts w:ascii="Times New Roman" w:cs="Times New Roman" w:eastAsia="Times New Roman" w:hAnsi="Times New Roman"/>
          <w:sz w:val="18"/>
          <w:szCs w:val="18"/>
          <w:u w:val="single" w:color="auto"/>
          <w:color w:val="1D1D1D"/>
        </w:rPr>
        <w:t>Amendment")</w:t>
      </w:r>
      <w:r>
        <w:rPr>
          <w:rFonts w:ascii="Times New Roman" w:cs="Times New Roman" w:eastAsia="Times New Roman" w:hAnsi="Times New Roman"/>
          <w:sz w:val="18"/>
          <w:szCs w:val="18"/>
          <w:color w:val="1D1D1D"/>
        </w:rPr>
        <w:t>, effective as of August 1</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2024, is made and entered into by Fjord Ventures, LLC </w:t>
      </w:r>
      <w:r>
        <w:rPr>
          <w:rFonts w:ascii="Times New Roman" w:cs="Times New Roman" w:eastAsia="Times New Roman" w:hAnsi="Times New Roman"/>
          <w:sz w:val="18"/>
          <w:szCs w:val="18"/>
          <w:u w:val="single" w:color="auto"/>
          <w:color w:val="1D1D1D"/>
        </w:rPr>
        <w:t>(</w:t>
      </w:r>
      <w:r>
        <w:rPr>
          <w:rFonts w:ascii="Times New Roman" w:cs="Times New Roman" w:eastAsia="Times New Roman" w:hAnsi="Times New Roman"/>
          <w:sz w:val="18"/>
          <w:szCs w:val="18"/>
          <w:u w:val="single" w:color="auto"/>
          <w:color w:val="36363B"/>
        </w:rPr>
        <w:t>"</w:t>
      </w:r>
      <w:r>
        <w:rPr>
          <w:rFonts w:ascii="Times New Roman" w:cs="Times New Roman" w:eastAsia="Times New Roman" w:hAnsi="Times New Roman"/>
          <w:sz w:val="18"/>
          <w:szCs w:val="18"/>
          <w:u w:val="single" w:color="auto"/>
          <w:color w:val="1D1D1D"/>
        </w:rPr>
        <w:t>Fjord</w:t>
      </w:r>
      <w:r>
        <w:rPr>
          <w:rFonts w:ascii="Times New Roman" w:cs="Times New Roman" w:eastAsia="Times New Roman" w:hAnsi="Times New Roman"/>
          <w:sz w:val="18"/>
          <w:szCs w:val="18"/>
          <w:u w:val="single" w:color="auto"/>
          <w:color w:val="36363B"/>
        </w:rPr>
        <w:t>"</w:t>
      </w:r>
      <w:r>
        <w:rPr>
          <w:rFonts w:ascii="Times New Roman" w:cs="Times New Roman" w:eastAsia="Times New Roman" w:hAnsi="Times New Roman"/>
          <w:sz w:val="18"/>
          <w:szCs w:val="18"/>
          <w:u w:val="single" w:color="auto"/>
          <w:color w:val="1D1D1D"/>
        </w:rPr>
        <w:t>)</w:t>
      </w:r>
      <w:r>
        <w:rPr>
          <w:rFonts w:ascii="Times New Roman" w:cs="Times New Roman" w:eastAsia="Times New Roman" w:hAnsi="Times New Roman"/>
          <w:sz w:val="18"/>
          <w:szCs w:val="18"/>
          <w:color w:val="1D1D1D"/>
        </w:rPr>
        <w:t xml:space="preserve"> and Adagio Medical, Inc. </w:t>
      </w:r>
      <w:r>
        <w:rPr>
          <w:rFonts w:ascii="Times New Roman" w:cs="Times New Roman" w:eastAsia="Times New Roman" w:hAnsi="Times New Roman"/>
          <w:sz w:val="18"/>
          <w:szCs w:val="18"/>
          <w:u w:val="single" w:color="auto"/>
          <w:color w:val="1D1D1D"/>
        </w:rPr>
        <w:t>("Adagio").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D1D1D"/>
        </w:rPr>
        <w:t>RECITALS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1D1D1D"/>
        </w:rPr>
        <w:t>Fjord and Adagio are parties to that certain Facilities and Services Agreement, dated as of June 1</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2011</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as amended (the </w:t>
      </w:r>
      <w:r>
        <w:rPr>
          <w:rFonts w:ascii="Times New Roman" w:cs="Times New Roman" w:eastAsia="Times New Roman" w:hAnsi="Times New Roman"/>
          <w:sz w:val="18"/>
          <w:szCs w:val="18"/>
          <w:u w:val="single" w:color="auto"/>
          <w:color w:val="1D1D1D"/>
        </w:rPr>
        <w:t>"Agreement")</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which describes services to be provided by Fjord to Adagio and the related terms and conditions related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1D1D1D"/>
        </w:rPr>
        <w:t>NOW, THEREFORE, the parties hereto do hereby agree as follows:</w:t>
      </w:r>
    </w:p>
    <w:p>
      <w:pPr>
        <w:spacing w:after="0" w:line="225" w:lineRule="exact"/>
        <w:rPr>
          <w:sz w:val="20"/>
          <w:szCs w:val="20"/>
          <w:color w:val="auto"/>
        </w:rPr>
      </w:pPr>
    </w:p>
    <w:p>
      <w:pPr>
        <w:ind w:firstLine="656"/>
        <w:spacing w:after="0" w:line="282" w:lineRule="auto"/>
        <w:tabs>
          <w:tab w:leader="none" w:pos="1398" w:val="left"/>
        </w:tabs>
        <w:numPr>
          <w:ilvl w:val="0"/>
          <w:numId w:val="60"/>
        </w:numPr>
        <w:rPr>
          <w:rFonts w:ascii="Times New Roman" w:cs="Times New Roman" w:eastAsia="Times New Roman" w:hAnsi="Times New Roman"/>
          <w:sz w:val="18"/>
          <w:szCs w:val="18"/>
          <w:color w:val="1D1D1D"/>
        </w:rPr>
      </w:pPr>
      <w:r>
        <w:rPr>
          <w:rFonts w:ascii="Times New Roman" w:cs="Times New Roman" w:eastAsia="Times New Roman" w:hAnsi="Times New Roman"/>
          <w:sz w:val="18"/>
          <w:szCs w:val="18"/>
          <w:u w:val="single" w:color="auto"/>
          <w:color w:val="1D1D1D"/>
        </w:rPr>
        <w:t>Amendment to Exhibit A to Agreement.</w:t>
      </w:r>
      <w:r>
        <w:rPr>
          <w:rFonts w:ascii="Times New Roman" w:cs="Times New Roman" w:eastAsia="Times New Roman" w:hAnsi="Times New Roman"/>
          <w:sz w:val="18"/>
          <w:szCs w:val="18"/>
          <w:color w:val="1D1D1D"/>
        </w:rPr>
        <w:t xml:space="preserve"> Exhibit A to the Agreement has been modified to include updated services as outlined on Exhibit A hereto.</w:t>
      </w:r>
    </w:p>
    <w:p>
      <w:pPr>
        <w:spacing w:after="0" w:line="161" w:lineRule="exact"/>
        <w:rPr>
          <w:rFonts w:ascii="Times New Roman" w:cs="Times New Roman" w:eastAsia="Times New Roman" w:hAnsi="Times New Roman"/>
          <w:sz w:val="18"/>
          <w:szCs w:val="18"/>
          <w:color w:val="1D1D1D"/>
        </w:rPr>
      </w:pPr>
    </w:p>
    <w:p>
      <w:pPr>
        <w:ind w:firstLine="656"/>
        <w:spacing w:after="0" w:line="282" w:lineRule="auto"/>
        <w:tabs>
          <w:tab w:leader="none" w:pos="1393" w:val="left"/>
        </w:tabs>
        <w:numPr>
          <w:ilvl w:val="0"/>
          <w:numId w:val="60"/>
        </w:numPr>
        <w:rPr>
          <w:rFonts w:ascii="Times New Roman" w:cs="Times New Roman" w:eastAsia="Times New Roman" w:hAnsi="Times New Roman"/>
          <w:sz w:val="18"/>
          <w:szCs w:val="18"/>
          <w:color w:val="1D1D1D"/>
        </w:rPr>
      </w:pPr>
      <w:r>
        <w:rPr>
          <w:rFonts w:ascii="Times New Roman" w:cs="Times New Roman" w:eastAsia="Times New Roman" w:hAnsi="Times New Roman"/>
          <w:sz w:val="18"/>
          <w:szCs w:val="18"/>
          <w:u w:val="single" w:color="auto"/>
          <w:color w:val="1D1D1D"/>
        </w:rPr>
        <w:t>Amendment to Exhibit B to Agreement.</w:t>
      </w:r>
      <w:r>
        <w:rPr>
          <w:rFonts w:ascii="Times New Roman" w:cs="Times New Roman" w:eastAsia="Times New Roman" w:hAnsi="Times New Roman"/>
          <w:sz w:val="18"/>
          <w:szCs w:val="18"/>
          <w:color w:val="1D1D1D"/>
        </w:rPr>
        <w:t xml:space="preserve"> According to Exhibit B to the Agreement, Adagio agrees to pay Fjord at a net rate of $77,000 per month for the services described on Exhibit A.</w:t>
      </w:r>
    </w:p>
    <w:p>
      <w:pPr>
        <w:spacing w:after="0" w:line="161" w:lineRule="exact"/>
        <w:rPr>
          <w:rFonts w:ascii="Times New Roman" w:cs="Times New Roman" w:eastAsia="Times New Roman" w:hAnsi="Times New Roman"/>
          <w:sz w:val="18"/>
          <w:szCs w:val="18"/>
          <w:color w:val="1D1D1D"/>
        </w:rPr>
      </w:pPr>
    </w:p>
    <w:p>
      <w:pPr>
        <w:ind w:firstLine="656"/>
        <w:spacing w:after="0" w:line="282" w:lineRule="auto"/>
        <w:tabs>
          <w:tab w:leader="none" w:pos="1393" w:val="left"/>
        </w:tabs>
        <w:numPr>
          <w:ilvl w:val="0"/>
          <w:numId w:val="60"/>
        </w:numPr>
        <w:rPr>
          <w:rFonts w:ascii="Times New Roman" w:cs="Times New Roman" w:eastAsia="Times New Roman" w:hAnsi="Times New Roman"/>
          <w:sz w:val="18"/>
          <w:szCs w:val="18"/>
          <w:color w:val="1D1D1D"/>
        </w:rPr>
      </w:pPr>
      <w:r>
        <w:rPr>
          <w:rFonts w:ascii="Times New Roman" w:cs="Times New Roman" w:eastAsia="Times New Roman" w:hAnsi="Times New Roman"/>
          <w:sz w:val="18"/>
          <w:szCs w:val="18"/>
          <w:u w:val="single" w:color="auto"/>
          <w:color w:val="1D1D1D"/>
        </w:rPr>
        <w:t>No Further Amendment.</w:t>
      </w:r>
      <w:r>
        <w:rPr>
          <w:rFonts w:ascii="Times New Roman" w:cs="Times New Roman" w:eastAsia="Times New Roman" w:hAnsi="Times New Roman"/>
          <w:sz w:val="18"/>
          <w:szCs w:val="18"/>
          <w:color w:val="1D1D1D"/>
        </w:rPr>
        <w:t xml:space="preserve"> Except as specifically set forth herein, the Agreement is not being amended or modified and shall remain in full force and effect in accordance with its terms as amended hereby</w:t>
      </w:r>
      <w:r>
        <w:rPr>
          <w:rFonts w:ascii="Times New Roman" w:cs="Times New Roman" w:eastAsia="Times New Roman" w:hAnsi="Times New Roman"/>
          <w:sz w:val="18"/>
          <w:szCs w:val="18"/>
          <w:color w:val="4D4D4D"/>
        </w:rPr>
        <w:t>.</w:t>
      </w:r>
    </w:p>
    <w:p>
      <w:pPr>
        <w:spacing w:after="0" w:line="161" w:lineRule="exact"/>
        <w:rPr>
          <w:rFonts w:ascii="Times New Roman" w:cs="Times New Roman" w:eastAsia="Times New Roman" w:hAnsi="Times New Roman"/>
          <w:sz w:val="18"/>
          <w:szCs w:val="18"/>
          <w:color w:val="1D1D1D"/>
        </w:rPr>
      </w:pPr>
    </w:p>
    <w:p>
      <w:pPr>
        <w:jc w:val="both"/>
        <w:ind w:firstLine="656"/>
        <w:spacing w:after="0" w:line="261" w:lineRule="auto"/>
        <w:tabs>
          <w:tab w:leader="none" w:pos="1397" w:val="left"/>
        </w:tabs>
        <w:numPr>
          <w:ilvl w:val="0"/>
          <w:numId w:val="60"/>
        </w:numPr>
        <w:rPr>
          <w:rFonts w:ascii="Times New Roman" w:cs="Times New Roman" w:eastAsia="Times New Roman" w:hAnsi="Times New Roman"/>
          <w:sz w:val="18"/>
          <w:szCs w:val="18"/>
          <w:color w:val="1D1D1D"/>
        </w:rPr>
      </w:pPr>
      <w:r>
        <w:rPr>
          <w:rFonts w:ascii="Times New Roman" w:cs="Times New Roman" w:eastAsia="Times New Roman" w:hAnsi="Times New Roman"/>
          <w:sz w:val="18"/>
          <w:szCs w:val="18"/>
          <w:u w:val="single" w:color="auto"/>
          <w:color w:val="1D1D1D"/>
        </w:rPr>
        <w:t>Miscellaneous</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This Amendment may be executed in one or more counterparts</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each of which shall be deemed an original but all of which together shall constitute one and the same instrument. This Amendment shall be governed by and construed under the internal laws of the State of California as applies to agreements among California residents entered into and to be performed entirely within California</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without reference to principles of conflict of laws or choice of laws.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1D1D1D"/>
        </w:rPr>
        <w:t>IN WITNESS WHEREOF, the parties hereto have executed this Tenth Amendment as of the day and year first above written.</w:t>
      </w: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1D1D1D"/>
        </w:rPr>
        <w:t>ADAGIO MEDICAL</w:t>
      </w:r>
      <w:r>
        <w:rPr>
          <w:rFonts w:ascii="Times New Roman" w:cs="Times New Roman" w:eastAsia="Times New Roman" w:hAnsi="Times New Roman"/>
          <w:sz w:val="18"/>
          <w:szCs w:val="18"/>
          <w:color w:val="36363B"/>
        </w:rPr>
        <w:t>,</w:t>
      </w:r>
      <w:r>
        <w:rPr>
          <w:rFonts w:ascii="Times New Roman" w:cs="Times New Roman" w:eastAsia="Times New Roman" w:hAnsi="Times New Roman"/>
          <w:sz w:val="18"/>
          <w:szCs w:val="18"/>
          <w:color w:val="1D1D1D"/>
        </w:rPr>
        <w:t xml:space="preserve"> INC.</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John Dahldorf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John Dahldorf</w:t>
      </w:r>
    </w:p>
    <w:p>
      <w:pPr>
        <w:spacing w:after="0" w:line="23" w:lineRule="exact"/>
        <w:rPr>
          <w:sz w:val="20"/>
          <w:szCs w:val="20"/>
          <w:color w:val="auto"/>
        </w:rPr>
      </w:pPr>
    </w:p>
    <w:p>
      <w:pPr>
        <w:ind w:left="466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1D1D1D"/>
        </w:rPr>
        <w:t>FJORD VENTURES, LLC</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Andrew 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  Andrew Wade</w:t>
      </w:r>
    </w:p>
    <w:p>
      <w:pPr>
        <w:spacing w:after="0" w:line="23" w:lineRule="exact"/>
        <w:rPr>
          <w:sz w:val="20"/>
          <w:szCs w:val="20"/>
          <w:color w:val="auto"/>
        </w:rPr>
      </w:pPr>
    </w:p>
    <w:p>
      <w:pPr>
        <w:ind w:left="4660"/>
        <w:spacing w:after="0"/>
        <w:tabs>
          <w:tab w:leader="none" w:pos="5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6640" w:type="dxa"/>
            <w:vAlign w:val="bottom"/>
            <w:gridSpan w:val="4"/>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EXHIBIT A</w:t>
            </w:r>
          </w:p>
        </w:tc>
      </w:tr>
      <w:tr>
        <w:trPr>
          <w:trHeight w:val="432"/>
        </w:trPr>
        <w:tc>
          <w:tcPr>
            <w:tcW w:w="3280" w:type="dxa"/>
            <w:vAlign w:val="bottom"/>
          </w:tcPr>
          <w:p>
            <w:pPr>
              <w:spacing w:after="0"/>
              <w:rPr>
                <w:sz w:val="24"/>
                <w:szCs w:val="24"/>
                <w:color w:val="auto"/>
              </w:rPr>
            </w:pPr>
          </w:p>
        </w:tc>
        <w:tc>
          <w:tcPr>
            <w:tcW w:w="6640" w:type="dxa"/>
            <w:vAlign w:val="bottom"/>
            <w:gridSpan w:val="4"/>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DESCRIPTION OF THE SERVICES</w:t>
            </w:r>
          </w:p>
        </w:tc>
      </w:tr>
      <w:tr>
        <w:trPr>
          <w:trHeight w:val="216"/>
        </w:trPr>
        <w:tc>
          <w:tcPr>
            <w:tcW w:w="3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r>
      <w:tr>
        <w:trPr>
          <w:trHeight w:val="232"/>
        </w:trPr>
        <w:tc>
          <w:tcPr>
            <w:tcW w:w="3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TYPE OF SERVICE</w:t>
            </w:r>
          </w:p>
        </w:tc>
        <w:tc>
          <w:tcPr>
            <w:tcW w:w="1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26"/>
        </w:trPr>
        <w:tc>
          <w:tcPr>
            <w:tcW w:w="3280" w:type="dxa"/>
            <w:vAlign w:val="bottom"/>
            <w:tcBorders>
              <w:left w:val="single" w:sz="8" w:color="auto"/>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560" w:type="dxa"/>
            <w:vAlign w:val="bottom"/>
            <w:tcBorders>
              <w:bottom w:val="single" w:sz="8" w:color="auto"/>
              <w:right w:val="single" w:sz="8" w:color="auto"/>
            </w:tcBorders>
          </w:tcPr>
          <w:p>
            <w:pPr>
              <w:spacing w:after="0"/>
              <w:rPr>
                <w:sz w:val="10"/>
                <w:szCs w:val="10"/>
                <w:color w:val="auto"/>
              </w:rPr>
            </w:pPr>
          </w:p>
        </w:tc>
      </w:tr>
      <w:tr>
        <w:trPr>
          <w:trHeight w:val="191"/>
        </w:trPr>
        <w:tc>
          <w:tcPr>
            <w:tcW w:w="3280" w:type="dxa"/>
            <w:vAlign w:val="bottom"/>
            <w:tcBorders>
              <w:lef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Employee Benefits Plans Administration</w:t>
            </w:r>
          </w:p>
        </w:tc>
        <w:tc>
          <w:tcPr>
            <w:tcW w:w="14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1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Health Plans: Consult on and establish employee benefit health plan</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structure, selection and employer/ employee cost-sharing</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methodology. Manage open enrollment processes and ongoing</w:t>
            </w:r>
          </w:p>
        </w:tc>
      </w:tr>
      <w:tr>
        <w:trPr>
          <w:trHeight w:val="234"/>
        </w:trPr>
        <w:tc>
          <w:tcPr>
            <w:tcW w:w="328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administration.</w:t>
            </w:r>
          </w:p>
        </w:tc>
      </w:tr>
      <w:tr>
        <w:trPr>
          <w:trHeight w:val="324"/>
        </w:trPr>
        <w:tc>
          <w:tcPr>
            <w:tcW w:w="328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401(k): Consult on and establish 401(k) plans, including provision of</w:t>
            </w:r>
          </w:p>
        </w:tc>
      </w:tr>
      <w:tr>
        <w:trPr>
          <w:trHeight w:val="20"/>
        </w:trPr>
        <w:tc>
          <w:tcPr>
            <w:tcW w:w="3280" w:type="dxa"/>
            <w:vAlign w:val="bottom"/>
            <w:tcBorders>
              <w:left w:val="single" w:sz="8" w:color="auto"/>
            </w:tcBorders>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560" w:type="dxa"/>
            <w:vAlign w:val="bottom"/>
            <w:tcBorders>
              <w:right w:val="single" w:sz="8" w:color="auto"/>
            </w:tcBorders>
          </w:tcPr>
          <w:p>
            <w:pPr>
              <w:spacing w:after="0" w:line="20" w:lineRule="exact"/>
              <w:rPr>
                <w:sz w:val="1"/>
                <w:szCs w:val="1"/>
                <w:color w:val="auto"/>
              </w:rPr>
            </w:pPr>
          </w:p>
        </w:tc>
      </w:tr>
      <w:tr>
        <w:trPr>
          <w:trHeight w:val="218"/>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trustee services as well as fund selection options. Provide ongoing</w:t>
            </w:r>
          </w:p>
        </w:tc>
      </w:tr>
      <w:tr>
        <w:trPr>
          <w:trHeight w:val="234"/>
        </w:trPr>
        <w:tc>
          <w:tcPr>
            <w:tcW w:w="328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management and administration of the plans.</w:t>
            </w:r>
          </w:p>
        </w:tc>
      </w:tr>
      <w:tr>
        <w:trPr>
          <w:trHeight w:val="135"/>
        </w:trPr>
        <w:tc>
          <w:tcPr>
            <w:tcW w:w="3280" w:type="dxa"/>
            <w:vAlign w:val="bottom"/>
            <w:tcBorders>
              <w:left w:val="single" w:sz="8" w:color="auto"/>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560" w:type="dxa"/>
            <w:vAlign w:val="bottom"/>
            <w:tcBorders>
              <w:bottom w:val="single" w:sz="8" w:color="auto"/>
              <w:right w:val="single" w:sz="8" w:color="auto"/>
            </w:tcBorders>
          </w:tcPr>
          <w:p>
            <w:pPr>
              <w:spacing w:after="0"/>
              <w:rPr>
                <w:sz w:val="11"/>
                <w:szCs w:val="11"/>
                <w:color w:val="auto"/>
              </w:rPr>
            </w:pPr>
          </w:p>
        </w:tc>
      </w:tr>
      <w:tr>
        <w:trPr>
          <w:trHeight w:val="191"/>
        </w:trPr>
        <w:tc>
          <w:tcPr>
            <w:tcW w:w="3280" w:type="dxa"/>
            <w:vAlign w:val="bottom"/>
            <w:tcBorders>
              <w:lef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Administrative Support</w:t>
            </w:r>
          </w:p>
        </w:tc>
        <w:tc>
          <w:tcPr>
            <w:tcW w:w="14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1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Provide front desk reception and office administration support</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services (e.g. assistance with travel arrangements and reservations,</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expense report preparation, telephone messaging, meeting</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organization and set-up, document production, shipping/ receiving,</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etc.). Provide human resources support services, including</w:t>
            </w:r>
          </w:p>
        </w:tc>
      </w:tr>
      <w:tr>
        <w:trPr>
          <w:trHeight w:val="234"/>
        </w:trPr>
        <w:tc>
          <w:tcPr>
            <w:tcW w:w="328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implementation and management of hiring / termination processes.</w:t>
            </w:r>
          </w:p>
        </w:tc>
      </w:tr>
      <w:tr>
        <w:trPr>
          <w:trHeight w:val="148"/>
        </w:trPr>
        <w:tc>
          <w:tcPr>
            <w:tcW w:w="3280" w:type="dxa"/>
            <w:vAlign w:val="bottom"/>
            <w:tcBorders>
              <w:left w:val="single" w:sz="8" w:color="auto"/>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60" w:type="dxa"/>
            <w:vAlign w:val="bottom"/>
            <w:tcBorders>
              <w:bottom w:val="single" w:sz="8" w:color="auto"/>
              <w:right w:val="single" w:sz="8" w:color="auto"/>
            </w:tcBorders>
          </w:tcPr>
          <w:p>
            <w:pPr>
              <w:spacing w:after="0"/>
              <w:rPr>
                <w:sz w:val="12"/>
                <w:szCs w:val="12"/>
                <w:color w:val="auto"/>
              </w:rPr>
            </w:pPr>
          </w:p>
        </w:tc>
      </w:tr>
      <w:tr>
        <w:trPr>
          <w:trHeight w:val="191"/>
        </w:trPr>
        <w:tc>
          <w:tcPr>
            <w:tcW w:w="3280" w:type="dxa"/>
            <w:vAlign w:val="bottom"/>
            <w:tcBorders>
              <w:lef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IT Services</w:t>
            </w:r>
          </w:p>
        </w:tc>
        <w:tc>
          <w:tcPr>
            <w:tcW w:w="14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1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Provide information technology infrastructure (including file server</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data back-up), audio/visual equipment, internet access, and</w:t>
            </w:r>
          </w:p>
        </w:tc>
      </w:tr>
      <w:tr>
        <w:trPr>
          <w:trHeight w:val="234"/>
        </w:trPr>
        <w:tc>
          <w:tcPr>
            <w:tcW w:w="328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support services (including PC set-up and network configuration).</w:t>
            </w:r>
          </w:p>
        </w:tc>
      </w:tr>
      <w:tr>
        <w:trPr>
          <w:trHeight w:val="148"/>
        </w:trPr>
        <w:tc>
          <w:tcPr>
            <w:tcW w:w="3280" w:type="dxa"/>
            <w:vAlign w:val="bottom"/>
            <w:tcBorders>
              <w:left w:val="single" w:sz="8" w:color="auto"/>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60" w:type="dxa"/>
            <w:vAlign w:val="bottom"/>
            <w:tcBorders>
              <w:bottom w:val="single" w:sz="8" w:color="auto"/>
              <w:right w:val="single" w:sz="8" w:color="auto"/>
            </w:tcBorders>
          </w:tcPr>
          <w:p>
            <w:pPr>
              <w:spacing w:after="0"/>
              <w:rPr>
                <w:sz w:val="12"/>
                <w:szCs w:val="12"/>
                <w:color w:val="auto"/>
              </w:rPr>
            </w:pPr>
          </w:p>
        </w:tc>
      </w:tr>
      <w:tr>
        <w:trPr>
          <w:trHeight w:val="191"/>
        </w:trPr>
        <w:tc>
          <w:tcPr>
            <w:tcW w:w="3280" w:type="dxa"/>
            <w:vAlign w:val="bottom"/>
            <w:tcBorders>
              <w:lef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Office Space and Supplies</w:t>
            </w:r>
          </w:p>
        </w:tc>
        <w:tc>
          <w:tcPr>
            <w:tcW w:w="14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510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Provide fully furnished offices, laboratory and other service area</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facility space, inclusive of utilities, telephone services (including</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reasonable long-distance charges), and facility cleaning services.</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Provide general office supplies and materials (excluding such supplies</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materials specific to Adagio such as business cards, letterhead,</w:t>
            </w:r>
          </w:p>
        </w:tc>
      </w:tr>
      <w:tr>
        <w:trPr>
          <w:trHeight w:val="216"/>
        </w:trPr>
        <w:tc>
          <w:tcPr>
            <w:tcW w:w="328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etc.). Provide access to Fjord network copiers, printers, fax machines,</w:t>
            </w:r>
          </w:p>
        </w:tc>
      </w:tr>
      <w:tr>
        <w:trPr>
          <w:trHeight w:val="234"/>
        </w:trPr>
        <w:tc>
          <w:tcPr>
            <w:tcW w:w="328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and other general office equipment.</w:t>
            </w:r>
          </w:p>
        </w:tc>
      </w:tr>
      <w:tr>
        <w:trPr>
          <w:trHeight w:val="148"/>
        </w:trPr>
        <w:tc>
          <w:tcPr>
            <w:tcW w:w="3280" w:type="dxa"/>
            <w:vAlign w:val="bottom"/>
            <w:tcBorders>
              <w:left w:val="single" w:sz="8" w:color="auto"/>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60" w:type="dxa"/>
            <w:vAlign w:val="bottom"/>
            <w:tcBorders>
              <w:bottom w:val="single" w:sz="8" w:color="auto"/>
              <w:right w:val="single" w:sz="8" w:color="auto"/>
            </w:tcBorders>
          </w:tcPr>
          <w:p>
            <w:pPr>
              <w:spacing w:after="0"/>
              <w:rPr>
                <w:sz w:val="12"/>
                <w:szCs w:val="12"/>
                <w:color w:val="auto"/>
              </w:rPr>
            </w:pPr>
          </w:p>
        </w:tc>
      </w:tr>
      <w:tr>
        <w:trPr>
          <w:trHeight w:val="986"/>
        </w:trPr>
        <w:tc>
          <w:tcPr>
            <w:tcW w:w="3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38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2200" w:type="dxa"/>
            <w:vAlign w:val="bottom"/>
          </w:tcPr>
          <w:p>
            <w:pPr>
              <w:spacing w:after="0"/>
              <w:rPr>
                <w:sz w:val="20"/>
                <w:szCs w:val="20"/>
                <w:color w:val="auto"/>
              </w:rPr>
            </w:pPr>
          </w:p>
        </w:tc>
      </w:tr>
      <w:tr>
        <w:trPr>
          <w:trHeight w:val="864"/>
        </w:trPr>
        <w:tc>
          <w:tcPr>
            <w:tcW w:w="3100" w:type="dxa"/>
            <w:vAlign w:val="bottom"/>
          </w:tcPr>
          <w:p>
            <w:pPr>
              <w:spacing w:after="0"/>
              <w:rPr>
                <w:sz w:val="24"/>
                <w:szCs w:val="24"/>
                <w:color w:val="auto"/>
              </w:rPr>
            </w:pPr>
          </w:p>
        </w:tc>
        <w:tc>
          <w:tcPr>
            <w:tcW w:w="38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MONTHLY SERVICE FEE</w:t>
            </w:r>
          </w:p>
        </w:tc>
        <w:tc>
          <w:tcPr>
            <w:tcW w:w="22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EFFECTIVE DATE</w:t>
            </w: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AS PER EXIDBIT A</w:t>
            </w:r>
          </w:p>
        </w:tc>
        <w:tc>
          <w:tcPr>
            <w:tcW w:w="3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$84,000</w:t>
            </w:r>
          </w:p>
        </w:tc>
        <w:tc>
          <w:tcPr>
            <w:tcW w:w="22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AUGUST 1, 2024</w:t>
            </w:r>
          </w:p>
        </w:tc>
      </w:tr>
      <w:tr>
        <w:trPr>
          <w:trHeight w:val="55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CORPORATE SERVICES</w:t>
            </w:r>
            <w:r>
              <w:rPr>
                <w:rFonts w:ascii="Times New Roman" w:cs="Times New Roman" w:eastAsia="Times New Roman" w:hAnsi="Times New Roman"/>
                <w:sz w:val="26"/>
                <w:szCs w:val="26"/>
                <w:color w:val="auto"/>
                <w:vertAlign w:val="superscript"/>
              </w:rPr>
              <w:t>1</w:t>
            </w:r>
          </w:p>
        </w:tc>
        <w:tc>
          <w:tcPr>
            <w:tcW w:w="38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$(7,000)</w:t>
            </w:r>
          </w:p>
        </w:tc>
        <w:tc>
          <w:tcPr>
            <w:tcW w:w="22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AUGUST 1, 2024</w:t>
            </w:r>
          </w:p>
        </w:tc>
      </w:tr>
      <w:tr>
        <w:trPr>
          <w:trHeight w:val="30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38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$77,000</w:t>
            </w:r>
          </w:p>
        </w:tc>
        <w:tc>
          <w:tcPr>
            <w:tcW w:w="2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Services comprise of Controllership and Acumatica system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This Insider Trading Policy describes the standards of Adagio Medical Holdings, Inc. (formerly known as Aja Holdco, Inc.) and its subsidiaries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on trading, and causing the trading of, the Company’s securities or securities of certain other publicly traded companies while in possession of confidential information. This Policy is divided into two parts: the first part prohibits trading in certain circumstances and applies to all directors, officers and employees and their respective immediate family members of the Company, and the second part imposes special additional trading restrictions and applies to all (i) directors of the Company, (ii) executive officers of the Company (together with the directors, “</w:t>
      </w:r>
      <w:r>
        <w:rPr>
          <w:rFonts w:ascii="Times New Roman" w:cs="Times New Roman" w:eastAsia="Times New Roman" w:hAnsi="Times New Roman"/>
          <w:sz w:val="19"/>
          <w:szCs w:val="19"/>
          <w:b w:val="1"/>
          <w:bCs w:val="1"/>
          <w:i w:val="1"/>
          <w:iCs w:val="1"/>
          <w:color w:val="auto"/>
        </w:rPr>
        <w:t>Company Insiders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8"/>
        <w:spacing w:after="0" w:line="242" w:lineRule="auto"/>
        <w:tabs>
          <w:tab w:leader="none" w:pos="38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employees listed on Appendix A (collectively, “</w:t>
      </w:r>
      <w:r>
        <w:rPr>
          <w:rFonts w:ascii="Times New Roman" w:cs="Times New Roman" w:eastAsia="Times New Roman" w:hAnsi="Times New Roman"/>
          <w:sz w:val="20"/>
          <w:szCs w:val="20"/>
          <w:b w:val="1"/>
          <w:bCs w:val="1"/>
          <w:i w:val="1"/>
          <w:iCs w:val="1"/>
          <w:color w:val="auto"/>
        </w:rPr>
        <w:t>Covered Persons</w:t>
      </w:r>
      <w:r>
        <w:rPr>
          <w:rFonts w:ascii="Times New Roman" w:cs="Times New Roman" w:eastAsia="Times New Roman" w:hAnsi="Times New Roman"/>
          <w:sz w:val="20"/>
          <w:szCs w:val="20"/>
          <w:color w:val="auto"/>
        </w:rPr>
        <w:t>”), and (iv) certain other employees that the Company may designate from time to time as “Covered Persons” because of their position, responsibilities or their actual or potential access to material information.</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One of the principal purposes of the federal securities laws is to prohibit so-called “insider trading.” Simply stated, insider 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director, officer or employee who buys or sells securities on the basis of material nonpublic information that he or she obtained about the Company, its customers, suppliers, partners, competitors or other companies with which the Company has contractual relationships or may be negotiating transactions.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6"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Applicability</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Policy applies to all employees and officers of the Company and to all members of the Company’s board of directors and their respective family members.</w:t>
      </w:r>
    </w:p>
    <w:p>
      <w:pPr>
        <w:spacing w:after="0" w:line="15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General Policy</w:t>
      </w:r>
    </w:p>
    <w:p>
      <w:pPr>
        <w:spacing w:after="0" w:line="219" w:lineRule="exact"/>
        <w:rPr>
          <w:rFonts w:ascii="Times New Roman" w:cs="Times New Roman" w:eastAsia="Times New Roman" w:hAnsi="Times New Roman"/>
          <w:sz w:val="20"/>
          <w:szCs w:val="20"/>
          <w:b w:val="1"/>
          <w:bCs w:val="1"/>
          <w:color w:val="auto"/>
        </w:rPr>
      </w:pPr>
    </w:p>
    <w:p>
      <w:pPr>
        <w:jc w:val="both"/>
        <w:ind w:left="660" w:hanging="328"/>
        <w:spacing w:after="0" w:line="249" w:lineRule="auto"/>
        <w:tabs>
          <w:tab w:leader="none" w:pos="6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in Part I, Section 3(a) and (b) below.)</w:t>
      </w:r>
    </w:p>
    <w:p>
      <w:pPr>
        <w:spacing w:after="0" w:line="17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or any of their immediate family members who knows of any material nonpublic information about the Company may communicate that information to (“</w:t>
      </w:r>
      <w:r>
        <w:rPr>
          <w:rFonts w:ascii="Times New Roman" w:cs="Times New Roman" w:eastAsia="Times New Roman" w:hAnsi="Times New Roman"/>
          <w:sz w:val="20"/>
          <w:szCs w:val="20"/>
          <w:b w:val="1"/>
          <w:bCs w:val="1"/>
          <w:i w:val="1"/>
          <w:iCs w:val="1"/>
          <w:color w:val="auto"/>
        </w:rPr>
        <w:t>tip</w:t>
      </w:r>
      <w:r>
        <w:rPr>
          <w:rFonts w:ascii="Times New Roman" w:cs="Times New Roman" w:eastAsia="Times New Roman" w:hAnsi="Times New Roman"/>
          <w:sz w:val="20"/>
          <w:szCs w:val="20"/>
          <w:color w:val="auto"/>
        </w:rPr>
        <w:t>”) any other person, including family members and friends, or otherwise disclose such information without the Company’s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879475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73" w:name="page174"/>
    <w:bookmarkEnd w:id="173"/>
    <w:p>
      <w:pPr>
        <w:jc w:val="both"/>
        <w:ind w:left="652" w:hanging="328"/>
        <w:spacing w:after="0" w:line="245" w:lineRule="auto"/>
        <w:tabs>
          <w:tab w:leader="none" w:pos="65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officer or employee or any of their immediate family members may purchase or sell any security of any other publicly traded company while in possession of material nonpublic information that was obtained in the course of his or her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184" w:lineRule="exact"/>
        <w:rPr>
          <w:rFonts w:ascii="Times New Roman" w:cs="Times New Roman" w:eastAsia="Times New Roman" w:hAnsi="Times New Roman"/>
          <w:sz w:val="20"/>
          <w:szCs w:val="20"/>
          <w:color w:val="auto"/>
        </w:rPr>
      </w:pPr>
    </w:p>
    <w:p>
      <w:pPr>
        <w:jc w:val="both"/>
        <w:ind w:left="652" w:hanging="328"/>
        <w:spacing w:after="0" w:line="249" w:lineRule="auto"/>
        <w:tabs>
          <w:tab w:leader="none" w:pos="65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 (which is defined in Part I, Section 3(c) below).</w:t>
      </w:r>
    </w:p>
    <w:p>
      <w:pPr>
        <w:spacing w:after="0" w:line="179" w:lineRule="exact"/>
        <w:rPr>
          <w:rFonts w:ascii="Times New Roman" w:cs="Times New Roman" w:eastAsia="Times New Roman" w:hAnsi="Times New Roman"/>
          <w:sz w:val="20"/>
          <w:szCs w:val="20"/>
          <w:color w:val="auto"/>
        </w:rPr>
      </w:pPr>
    </w:p>
    <w:p>
      <w:pPr>
        <w:ind w:left="652" w:right="20" w:hanging="328"/>
        <w:spacing w:after="0" w:line="269" w:lineRule="auto"/>
        <w:tabs>
          <w:tab w:leader="none" w:pos="65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must “pre-clear” all trading in securities of the Company in accordance with the procedures set forth in Part II, Section 3 below.</w:t>
      </w:r>
    </w:p>
    <w:p>
      <w:pPr>
        <w:spacing w:after="0" w:line="155"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215" w:lineRule="exact"/>
        <w:rPr>
          <w:rFonts w:ascii="Times New Roman" w:cs="Times New Roman" w:eastAsia="Times New Roman" w:hAnsi="Times New Roman"/>
          <w:sz w:val="20"/>
          <w:szCs w:val="20"/>
          <w:b w:val="1"/>
          <w:bCs w:val="1"/>
          <w:color w:val="auto"/>
        </w:rPr>
      </w:pPr>
    </w:p>
    <w:p>
      <w:pPr>
        <w:jc w:val="both"/>
        <w:ind w:left="652" w:hanging="328"/>
        <w:spacing w:after="0" w:line="250" w:lineRule="auto"/>
        <w:tabs>
          <w:tab w:leader="none" w:pos="65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Material</w:t>
      </w:r>
      <w:r>
        <w:rPr>
          <w:rFonts w:ascii="Times New Roman" w:cs="Times New Roman" w:eastAsia="Times New Roman" w:hAnsi="Times New Roman"/>
          <w:sz w:val="20"/>
          <w:szCs w:val="20"/>
          <w:color w:val="auto"/>
        </w:rPr>
        <w:t>. Insider trading restrictions come into play only if the information you possess is “material.” Materiality,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79" w:lineRule="exact"/>
        <w:rPr>
          <w:rFonts w:ascii="Times New Roman" w:cs="Times New Roman" w:eastAsia="Times New Roman" w:hAnsi="Times New Roman"/>
          <w:sz w:val="20"/>
          <w:szCs w:val="20"/>
          <w:color w:val="auto"/>
        </w:rPr>
      </w:pPr>
    </w:p>
    <w:p>
      <w:pPr>
        <w:ind w:left="65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dealing with the following subjects is reasonably likely to be found material in particular situations: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the Company’s prospects;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write-downs in assets or increases in reserves;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regarding significant litigation or government agency investigations;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problems;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or unusual gains or losses in major operations;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changes in the Company’s management or the board of directors;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borrowings;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changes in accounting methods or policies;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or loss of a significant contract;</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risks and incidents, including vulnerabilities and breaches;</w:t>
      </w:r>
    </w:p>
    <w:p>
      <w:pPr>
        <w:spacing w:after="0" w:line="215"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debt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174" w:name="page175"/>
    <w:bookmarkEnd w:id="174"/>
    <w:p>
      <w:pPr>
        <w:jc w:val="both"/>
        <w:ind w:left="1288" w:hanging="640"/>
        <w:spacing w:after="0" w:line="254" w:lineRule="auto"/>
        <w:tabs>
          <w:tab w:leader="none" w:pos="128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plans or agreements, even if preliminary in nature, involving mergers, acquisitions, divestitures, recapitalizations, strategic alliances, licensing arrangements, or purchases or sales of substantial assets; and</w:t>
      </w:r>
    </w:p>
    <w:p>
      <w:pPr>
        <w:spacing w:after="0" w:line="174" w:lineRule="exact"/>
        <w:rPr>
          <w:rFonts w:ascii="Times New Roman" w:cs="Times New Roman" w:eastAsia="Times New Roman" w:hAnsi="Times New Roman"/>
          <w:sz w:val="20"/>
          <w:szCs w:val="20"/>
          <w:color w:val="auto"/>
        </w:rPr>
      </w:pPr>
    </w:p>
    <w:p>
      <w:pPr>
        <w:ind w:left="1288" w:hanging="640"/>
        <w:spacing w:after="0"/>
        <w:tabs>
          <w:tab w:leader="none" w:pos="128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offerings of Company securities.</w:t>
      </w:r>
    </w:p>
    <w:p>
      <w:pPr>
        <w:spacing w:after="0" w:line="216" w:lineRule="exact"/>
        <w:rPr>
          <w:sz w:val="20"/>
          <w:szCs w:val="20"/>
          <w:color w:val="auto"/>
        </w:rPr>
      </w:pPr>
    </w:p>
    <w:p>
      <w:pPr>
        <w:jc w:val="both"/>
        <w:ind w:left="328"/>
        <w:spacing w:after="0" w:line="242" w:lineRule="auto"/>
        <w:rPr>
          <w:sz w:val="20"/>
          <w:szCs w:val="20"/>
          <w:color w:val="auto"/>
        </w:rPr>
      </w:pPr>
      <w:r>
        <w:rPr>
          <w:rFonts w:ascii="Times New Roman" w:cs="Times New Roman" w:eastAsia="Times New Roman" w:hAnsi="Times New Roman"/>
          <w:sz w:val="20"/>
          <w:szCs w:val="20"/>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20"/>
          <w:szCs w:val="20"/>
          <w:b w:val="1"/>
          <w:bCs w:val="1"/>
          <w:color w:val="auto"/>
        </w:rPr>
        <w:t>If you are unsure whether information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spacing w:after="0" w:line="188" w:lineRule="exact"/>
        <w:rPr>
          <w:sz w:val="20"/>
          <w:szCs w:val="20"/>
          <w:color w:val="auto"/>
        </w:rPr>
      </w:pPr>
    </w:p>
    <w:p>
      <w:pPr>
        <w:jc w:val="both"/>
        <w:ind w:left="328" w:hanging="328"/>
        <w:spacing w:after="0" w:line="246" w:lineRule="auto"/>
        <w:tabs>
          <w:tab w:leader="none" w:pos="32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 Insider trading prohibitions come into play only when you possess information that is material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w:t>
      </w:r>
    </w:p>
    <w:p>
      <w:pPr>
        <w:spacing w:after="0" w:line="182" w:lineRule="exact"/>
        <w:rPr>
          <w:rFonts w:ascii="Times New Roman" w:cs="Times New Roman" w:eastAsia="Times New Roman" w:hAnsi="Times New Roman"/>
          <w:sz w:val="20"/>
          <w:szCs w:val="20"/>
          <w:color w:val="auto"/>
        </w:rPr>
      </w:pPr>
    </w:p>
    <w:p>
      <w:pPr>
        <w:ind w:left="32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Nonpublic information may include:</w:t>
      </w:r>
    </w:p>
    <w:p>
      <w:pPr>
        <w:spacing w:after="0" w:line="215" w:lineRule="exact"/>
        <w:rPr>
          <w:rFonts w:ascii="Times New Roman" w:cs="Times New Roman" w:eastAsia="Times New Roman" w:hAnsi="Times New Roman"/>
          <w:sz w:val="20"/>
          <w:szCs w:val="20"/>
          <w:color w:val="auto"/>
        </w:rPr>
      </w:pPr>
    </w:p>
    <w:p>
      <w:pPr>
        <w:ind w:left="1288" w:hanging="640"/>
        <w:spacing w:after="0"/>
        <w:tabs>
          <w:tab w:leader="none" w:pos="128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available to a select group of analysts or brokers or institutional investors;</w:t>
      </w:r>
    </w:p>
    <w:p>
      <w:pPr>
        <w:spacing w:after="0" w:line="215" w:lineRule="exact"/>
        <w:rPr>
          <w:rFonts w:ascii="Times New Roman" w:cs="Times New Roman" w:eastAsia="Times New Roman" w:hAnsi="Times New Roman"/>
          <w:sz w:val="20"/>
          <w:szCs w:val="20"/>
          <w:color w:val="auto"/>
        </w:rPr>
      </w:pPr>
    </w:p>
    <w:p>
      <w:pPr>
        <w:ind w:left="1288" w:hanging="640"/>
        <w:spacing w:after="0"/>
        <w:tabs>
          <w:tab w:leader="none" w:pos="128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undisclosed facts that are the subject of rumors, even if the rumors are widely circulated; and</w:t>
      </w:r>
    </w:p>
    <w:p>
      <w:pPr>
        <w:spacing w:after="0" w:line="215" w:lineRule="exact"/>
        <w:rPr>
          <w:rFonts w:ascii="Times New Roman" w:cs="Times New Roman" w:eastAsia="Times New Roman" w:hAnsi="Times New Roman"/>
          <w:sz w:val="20"/>
          <w:szCs w:val="20"/>
          <w:color w:val="auto"/>
        </w:rPr>
      </w:pPr>
    </w:p>
    <w:p>
      <w:pPr>
        <w:jc w:val="both"/>
        <w:ind w:left="1288" w:right="20" w:hanging="640"/>
        <w:spacing w:after="0" w:line="254" w:lineRule="auto"/>
        <w:tabs>
          <w:tab w:leader="none" w:pos="128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spacing w:after="0" w:line="174" w:lineRule="exact"/>
        <w:rPr>
          <w:sz w:val="20"/>
          <w:szCs w:val="20"/>
          <w:color w:val="auto"/>
        </w:rPr>
      </w:pPr>
    </w:p>
    <w:p>
      <w:pPr>
        <w:ind w:left="328"/>
        <w:spacing w:after="0" w:line="269" w:lineRule="auto"/>
        <w:rPr>
          <w:sz w:val="20"/>
          <w:szCs w:val="20"/>
          <w:color w:val="auto"/>
        </w:rPr>
      </w:pPr>
      <w:r>
        <w:rPr>
          <w:rFonts w:ascii="Times New Roman" w:cs="Times New Roman" w:eastAsia="Times New Roman" w:hAnsi="Times New Roman"/>
          <w:sz w:val="20"/>
          <w:szCs w:val="20"/>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55" w:lineRule="exact"/>
        <w:rPr>
          <w:sz w:val="20"/>
          <w:szCs w:val="20"/>
          <w:color w:val="auto"/>
        </w:rPr>
      </w:pPr>
    </w:p>
    <w:p>
      <w:pPr>
        <w:ind w:left="328" w:hanging="328"/>
        <w:spacing w:after="0" w:line="273" w:lineRule="auto"/>
        <w:tabs>
          <w:tab w:leader="none" w:pos="32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The Company has appointed the Chief Financial Officer as the Compliance Officer for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Policy. The duties of the Compliance Officer include, but are not limited to, the following:</w:t>
      </w:r>
    </w:p>
    <w:p>
      <w:pPr>
        <w:spacing w:after="0" w:line="155" w:lineRule="exact"/>
        <w:rPr>
          <w:rFonts w:ascii="Times New Roman" w:cs="Times New Roman" w:eastAsia="Times New Roman" w:hAnsi="Times New Roman"/>
          <w:sz w:val="20"/>
          <w:szCs w:val="20"/>
          <w:color w:val="auto"/>
        </w:rPr>
      </w:pPr>
    </w:p>
    <w:p>
      <w:pPr>
        <w:ind w:left="1288" w:hanging="640"/>
        <w:spacing w:after="0"/>
        <w:tabs>
          <w:tab w:leader="none" w:pos="128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with implementation and enforcement of this Policy;</w:t>
      </w:r>
    </w:p>
    <w:p>
      <w:pPr>
        <w:spacing w:after="0" w:line="215" w:lineRule="exact"/>
        <w:rPr>
          <w:rFonts w:ascii="Times New Roman" w:cs="Times New Roman" w:eastAsia="Times New Roman" w:hAnsi="Times New Roman"/>
          <w:sz w:val="20"/>
          <w:szCs w:val="20"/>
          <w:color w:val="auto"/>
        </w:rPr>
      </w:pPr>
    </w:p>
    <w:p>
      <w:pPr>
        <w:ind w:left="1288" w:hanging="640"/>
        <w:spacing w:after="0" w:line="269" w:lineRule="auto"/>
        <w:tabs>
          <w:tab w:leader="none" w:pos="128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circulating this Policy to all employees and ensuring that this Policy is amended as necessary to remain up-to-date with insider trading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356870</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873" w:right="999" w:bottom="1440" w:gutter="0" w:footer="0" w:header="0"/>
        </w:sectPr>
      </w:pPr>
    </w:p>
    <w:bookmarkStart w:id="175" w:name="page176"/>
    <w:bookmarkEnd w:id="175"/>
    <w:p>
      <w:pPr>
        <w:ind w:left="1620" w:right="20" w:hanging="640"/>
        <w:spacing w:after="0" w:line="269" w:lineRule="auto"/>
        <w:tabs>
          <w:tab w:leader="none" w:pos="16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pre-clearing all trading in securities of the Company by Covered Persons in accordance with the procedures set forth in Part II, Section 3 below;</w:t>
      </w:r>
    </w:p>
    <w:p>
      <w:pPr>
        <w:spacing w:after="0" w:line="159" w:lineRule="exact"/>
        <w:rPr>
          <w:rFonts w:ascii="Times New Roman" w:cs="Times New Roman" w:eastAsia="Times New Roman" w:hAnsi="Times New Roman"/>
          <w:sz w:val="20"/>
          <w:szCs w:val="20"/>
          <w:color w:val="auto"/>
        </w:rPr>
      </w:pPr>
    </w:p>
    <w:p>
      <w:pPr>
        <w:ind w:left="1620" w:right="20" w:hanging="640"/>
        <w:spacing w:after="0" w:line="269" w:lineRule="auto"/>
        <w:tabs>
          <w:tab w:leader="none" w:pos="16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approval of any Rule 10b5-1 plans under Part II, Section 1(c) below and any prohibited transactions under Part II, Section 4 below; and</w:t>
      </w:r>
    </w:p>
    <w:p>
      <w:pPr>
        <w:spacing w:after="0" w:line="159" w:lineRule="exact"/>
        <w:rPr>
          <w:rFonts w:ascii="Times New Roman" w:cs="Times New Roman" w:eastAsia="Times New Roman" w:hAnsi="Times New Roman"/>
          <w:sz w:val="20"/>
          <w:szCs w:val="20"/>
          <w:color w:val="auto"/>
        </w:rPr>
      </w:pPr>
    </w:p>
    <w:p>
      <w:pPr>
        <w:ind w:left="1620" w:hanging="640"/>
        <w:spacing w:after="0"/>
        <w:tabs>
          <w:tab w:leader="none" w:pos="16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reporting system with an effective whistleblower protection mechanism.</w:t>
      </w:r>
    </w:p>
    <w:p>
      <w:pPr>
        <w:spacing w:after="0" w:line="212"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Exceptions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trading restrictions of this Policy do not apply to the following:</w:t>
      </w:r>
    </w:p>
    <w:p>
      <w:pPr>
        <w:spacing w:after="0" w:line="212" w:lineRule="exact"/>
        <w:rPr>
          <w:sz w:val="20"/>
          <w:szCs w:val="20"/>
          <w:color w:val="auto"/>
        </w:rPr>
      </w:pPr>
    </w:p>
    <w:p>
      <w:pPr>
        <w:jc w:val="both"/>
        <w:ind w:left="660" w:hanging="328"/>
        <w:spacing w:after="0" w:line="256" w:lineRule="auto"/>
        <w:tabs>
          <w:tab w:leader="none" w:pos="6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401(k) Plan</w:t>
      </w:r>
      <w:r>
        <w:rPr>
          <w:rFonts w:ascii="Times New Roman" w:cs="Times New Roman" w:eastAsia="Times New Roman" w:hAnsi="Times New Roman"/>
          <w:sz w:val="20"/>
          <w:szCs w:val="20"/>
          <w:color w:val="auto"/>
        </w:rPr>
        <w:t>. Investing 401(k) plan contributions in a Company stock fund in accordance with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401(k) plan. However, any changes in your investment election regarding the Company’s stock are subject to trading restrictions under this Policy.</w:t>
      </w:r>
    </w:p>
    <w:p>
      <w:pPr>
        <w:spacing w:after="0" w:line="168"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ESPP</w:t>
      </w:r>
      <w:r>
        <w:rPr>
          <w:rFonts w:ascii="Times New Roman" w:cs="Times New Roman" w:eastAsia="Times New Roman" w:hAnsi="Times New Roman"/>
          <w:sz w:val="20"/>
          <w:szCs w:val="20"/>
          <w:color w:val="auto"/>
        </w:rPr>
        <w:t>. Purchasing Company stock through periodic, automatic payroll contributions to the Company’s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Purchase Plan (“</w:t>
      </w:r>
      <w:r>
        <w:rPr>
          <w:rFonts w:ascii="Times New Roman" w:cs="Times New Roman" w:eastAsia="Times New Roman" w:hAnsi="Times New Roman"/>
          <w:sz w:val="20"/>
          <w:szCs w:val="20"/>
          <w:b w:val="1"/>
          <w:bCs w:val="1"/>
          <w:color w:val="auto"/>
        </w:rPr>
        <w:t>ESPP</w:t>
      </w:r>
      <w:r>
        <w:rPr>
          <w:rFonts w:ascii="Times New Roman" w:cs="Times New Roman" w:eastAsia="Times New Roman" w:hAnsi="Times New Roman"/>
          <w:sz w:val="20"/>
          <w:szCs w:val="20"/>
          <w:color w:val="auto"/>
        </w:rPr>
        <w:t>”). However, electing to enroll in the ESPP, making any changes in your elections under the ESPP and selling any Company stock acquired under the ESPP are subject to trading restrictions under this Policy.</w:t>
      </w:r>
    </w:p>
    <w:p>
      <w:pPr>
        <w:spacing w:after="0" w:line="175"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Options</w:t>
      </w:r>
      <w:r>
        <w:rPr>
          <w:rFonts w:ascii="Times New Roman" w:cs="Times New Roman" w:eastAsia="Times New Roman" w:hAnsi="Times New Roman"/>
          <w:sz w:val="20"/>
          <w:szCs w:val="20"/>
          <w:color w:val="auto"/>
        </w:rPr>
        <w:t>. Exercising stock options granted under the Company’s 2024 Equity Incentive Plan and 2024 Key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Equity Incentive Plan for cash or the delivery of previously owned Company stock. However, the sale of any shares issued on the exercise of Company-granted stock options and any cashless exercise of Company-granted stock options are subject to trading restrictions under this Policy.</w:t>
      </w:r>
    </w:p>
    <w:p>
      <w:pPr>
        <w:spacing w:after="0" w:line="17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Violations of Insider Trading Laws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76" w:lineRule="exact"/>
        <w:rPr>
          <w:sz w:val="20"/>
          <w:szCs w:val="20"/>
          <w:color w:val="auto"/>
        </w:rPr>
      </w:pPr>
    </w:p>
    <w:p>
      <w:pPr>
        <w:jc w:val="both"/>
        <w:ind w:left="660" w:hanging="328"/>
        <w:spacing w:after="0" w:line="256" w:lineRule="auto"/>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Penalties</w:t>
      </w:r>
      <w:r>
        <w:rPr>
          <w:rFonts w:ascii="Times New Roman" w:cs="Times New Roman" w:eastAsia="Times New Roman" w:hAnsi="Times New Roman"/>
          <w:sz w:val="20"/>
          <w:szCs w:val="20"/>
          <w:color w:val="auto"/>
        </w:rPr>
        <w:t>. A person who violates insider trading laws by engaging in transactions in a company’s securities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he or she has material nonpublic information can be sentenced to a substantial jail term and required to pay a criminal penalty of several times the amount of profits gained or losses avoided.</w:t>
      </w:r>
    </w:p>
    <w:p>
      <w:pPr>
        <w:spacing w:after="0" w:line="172" w:lineRule="exact"/>
        <w:rPr>
          <w:rFonts w:ascii="Times New Roman" w:cs="Times New Roman" w:eastAsia="Times New Roman" w:hAnsi="Times New Roman"/>
          <w:sz w:val="20"/>
          <w:szCs w:val="20"/>
          <w:color w:val="auto"/>
        </w:rPr>
      </w:pPr>
    </w:p>
    <w:p>
      <w:pPr>
        <w:jc w:val="both"/>
        <w:ind w:left="6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74" w:lineRule="exact"/>
        <w:rPr>
          <w:rFonts w:ascii="Times New Roman" w:cs="Times New Roman" w:eastAsia="Times New Roman" w:hAnsi="Times New Roman"/>
          <w:sz w:val="20"/>
          <w:szCs w:val="20"/>
          <w:color w:val="auto"/>
        </w:rPr>
      </w:pPr>
    </w:p>
    <w:p>
      <w:pPr>
        <w:jc w:val="both"/>
        <w:ind w:left="6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$2,301,065 or three times the amount of the profits gained or losses avoided. Even for violations that result in a small or no profit, the SEC can seek penalties from a company and/or its management and supervisory personnel as control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6" w:name="page177"/>
    <w:bookmarkEnd w:id="176"/>
    <w:p>
      <w:pPr>
        <w:jc w:val="both"/>
        <w:ind w:left="660" w:right="20" w:hanging="328"/>
        <w:spacing w:after="0" w:line="256" w:lineRule="auto"/>
        <w:tabs>
          <w:tab w:leader="none" w:pos="66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Company-Imposed Penalties</w:t>
      </w:r>
      <w:r>
        <w:rPr>
          <w:rFonts w:ascii="Times New Roman" w:cs="Times New Roman" w:eastAsia="Times New Roman" w:hAnsi="Times New Roman"/>
          <w:sz w:val="20"/>
          <w:szCs w:val="20"/>
          <w:color w:val="auto"/>
        </w:rPr>
        <w:t>. Employees who violate this Policy may be subject to disciplinary action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including dismissal for cause. Any exceptions to the Policy, if permitted, may only be granted by the Compliance Officer and must be provided before any activity contrary to the above requirements takes place.</w:t>
      </w:r>
    </w:p>
    <w:p>
      <w:pPr>
        <w:spacing w:after="0" w:line="16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Inquiries</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If you have any questions regarding any of the provisions of this Policy, please contact the Compliance Officer at jdahldorf@adagiomedical.com.</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6"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Blackout Periods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Covered Persons are prohibited from trading in the Company’s securities during blackout periods as defined below.</w:t>
      </w:r>
    </w:p>
    <w:p>
      <w:pPr>
        <w:spacing w:after="0" w:line="212" w:lineRule="exact"/>
        <w:rPr>
          <w:sz w:val="20"/>
          <w:szCs w:val="20"/>
          <w:color w:val="auto"/>
        </w:rPr>
      </w:pPr>
    </w:p>
    <w:p>
      <w:pPr>
        <w:jc w:val="both"/>
        <w:ind w:left="660" w:hanging="328"/>
        <w:spacing w:after="0" w:line="247" w:lineRule="auto"/>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Quarterly Blackout Periods</w:t>
      </w:r>
      <w:r>
        <w:rPr>
          <w:rFonts w:ascii="Times New Roman" w:cs="Times New Roman" w:eastAsia="Times New Roman" w:hAnsi="Times New Roman"/>
          <w:sz w:val="20"/>
          <w:szCs w:val="20"/>
          <w:color w:val="auto"/>
        </w:rPr>
        <w:t>. Trading in the Company’s securities is prohibited during the period beginning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close of the market 14 calendar days prior to the end of each fiscal quarter and ending at the close of business on the second trading day following the date the Company’s financial results are publicly disclosed. During these periods, Covered Persons generally possess or are presumed to possess material nonpublic information about the Company’s financial results.</w:t>
      </w:r>
    </w:p>
    <w:p>
      <w:pPr>
        <w:spacing w:after="0" w:line="180" w:lineRule="exact"/>
        <w:rPr>
          <w:rFonts w:ascii="Times New Roman" w:cs="Times New Roman" w:eastAsia="Times New Roman" w:hAnsi="Times New Roman"/>
          <w:sz w:val="20"/>
          <w:szCs w:val="20"/>
          <w:color w:val="auto"/>
        </w:rPr>
      </w:pPr>
    </w:p>
    <w:p>
      <w:pPr>
        <w:jc w:val="both"/>
        <w:ind w:left="660" w:hanging="328"/>
        <w:spacing w:after="0" w:line="246" w:lineRule="auto"/>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Other Blackout Periods</w:t>
      </w:r>
      <w:r>
        <w:rPr>
          <w:rFonts w:ascii="Times New Roman" w:cs="Times New Roman" w:eastAsia="Times New Roman" w:hAnsi="Times New Roman"/>
          <w:sz w:val="20"/>
          <w:szCs w:val="20"/>
          <w:color w:val="auto"/>
        </w:rPr>
        <w:t>. From time to time, other types of material nonpublic information regarding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178" w:lineRule="exact"/>
        <w:rPr>
          <w:rFonts w:ascii="Times New Roman" w:cs="Times New Roman" w:eastAsia="Times New Roman" w:hAnsi="Times New Roman"/>
          <w:sz w:val="20"/>
          <w:szCs w:val="20"/>
          <w:color w:val="auto"/>
        </w:rPr>
      </w:pPr>
    </w:p>
    <w:p>
      <w:pPr>
        <w:jc w:val="both"/>
        <w:ind w:left="660" w:hanging="328"/>
        <w:spacing w:after="0" w:line="256" w:lineRule="auto"/>
        <w:tabs>
          <w:tab w:leader="none" w:pos="6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Exception</w:t>
      </w:r>
      <w:r>
        <w:rPr>
          <w:rFonts w:ascii="Times New Roman" w:cs="Times New Roman" w:eastAsia="Times New Roman" w:hAnsi="Times New Roman"/>
          <w:sz w:val="20"/>
          <w:szCs w:val="20"/>
          <w:color w:val="auto"/>
        </w:rPr>
        <w:t>. These trading restrictions do not apply to transactions under a pre-existing written plan, contract,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instruction, or arrangement under Rule 10b5-1 under the Securities Exchange Act of 1934 (an “</w:t>
      </w:r>
      <w:r>
        <w:rPr>
          <w:rFonts w:ascii="Times New Roman" w:cs="Times New Roman" w:eastAsia="Times New Roman" w:hAnsi="Times New Roman"/>
          <w:sz w:val="20"/>
          <w:szCs w:val="20"/>
          <w:b w:val="1"/>
          <w:bCs w:val="1"/>
          <w:i w:val="1"/>
          <w:iCs w:val="1"/>
          <w:color w:val="auto"/>
        </w:rPr>
        <w:t>Approved 10b5-1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that meet the following requirements:</w:t>
      </w:r>
    </w:p>
    <w:p>
      <w:pPr>
        <w:spacing w:after="0" w:line="172" w:lineRule="exact"/>
        <w:rPr>
          <w:rFonts w:ascii="Times New Roman" w:cs="Times New Roman" w:eastAsia="Times New Roman" w:hAnsi="Times New Roman"/>
          <w:sz w:val="20"/>
          <w:szCs w:val="20"/>
          <w:color w:val="auto"/>
        </w:rPr>
      </w:pPr>
    </w:p>
    <w:p>
      <w:pPr>
        <w:jc w:val="both"/>
        <w:ind w:left="1620" w:hanging="640"/>
        <w:spacing w:after="0" w:line="254" w:lineRule="auto"/>
        <w:tabs>
          <w:tab w:leader="none" w:pos="162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reviewed and approved by the Compliance Officer at least five days in advance of being entered into (or, if revised or amended, such proposed revisions or amendments have been reviewed and approved by the Compliance Officer at least five days in advance of being entered into);</w:t>
      </w:r>
    </w:p>
    <w:p>
      <w:pPr>
        <w:spacing w:after="0" w:line="174" w:lineRule="exact"/>
        <w:rPr>
          <w:rFonts w:ascii="Times New Roman" w:cs="Times New Roman" w:eastAsia="Times New Roman" w:hAnsi="Times New Roman"/>
          <w:sz w:val="20"/>
          <w:szCs w:val="20"/>
          <w:color w:val="auto"/>
        </w:rPr>
      </w:pPr>
    </w:p>
    <w:p>
      <w:pPr>
        <w:jc w:val="both"/>
        <w:ind w:left="1620" w:hanging="640"/>
        <w:spacing w:after="0" w:line="245" w:lineRule="auto"/>
        <w:tabs>
          <w:tab w:leader="none" w:pos="162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For directors and officers, the cooling-off period ends on the later of (x) ninety days after adoption or certain modifications of the 10b5-1 plan; or</w:t>
      </w:r>
    </w:p>
    <w:p>
      <w:pPr>
        <w:jc w:val="both"/>
        <w:ind w:left="162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(y) two business days following disclosure of the Company’s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9" w:right="999" w:bottom="1440" w:gutter="0" w:footer="0" w:header="0"/>
        </w:sectPr>
      </w:pPr>
    </w:p>
    <w:bookmarkStart w:id="177" w:name="page178"/>
    <w:bookmarkEnd w:id="177"/>
    <w:p>
      <w:pPr>
        <w:jc w:val="both"/>
        <w:ind w:left="1620" w:hanging="640"/>
        <w:spacing w:after="0" w:line="249" w:lineRule="auto"/>
        <w:tabs>
          <w:tab w:leader="none" w:pos="16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entered into in good faith by the Covered Person,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the Covered Person certifying to that effect;</w:t>
      </w:r>
    </w:p>
    <w:p>
      <w:pPr>
        <w:spacing w:after="0" w:line="179" w:lineRule="exact"/>
        <w:rPr>
          <w:rFonts w:ascii="Times New Roman" w:cs="Times New Roman" w:eastAsia="Times New Roman" w:hAnsi="Times New Roman"/>
          <w:sz w:val="20"/>
          <w:szCs w:val="20"/>
          <w:color w:val="auto"/>
        </w:rPr>
      </w:pPr>
    </w:p>
    <w:p>
      <w:pPr>
        <w:jc w:val="both"/>
        <w:ind w:left="1620" w:hanging="640"/>
        <w:spacing w:after="0" w:line="266" w:lineRule="auto"/>
        <w:tabs>
          <w:tab w:leader="none" w:pos="1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65" w:lineRule="exact"/>
        <w:rPr>
          <w:rFonts w:ascii="Times New Roman" w:cs="Times New Roman" w:eastAsia="Times New Roman" w:hAnsi="Times New Roman"/>
          <w:sz w:val="19"/>
          <w:szCs w:val="19"/>
          <w:color w:val="auto"/>
        </w:rPr>
      </w:pPr>
    </w:p>
    <w:p>
      <w:pPr>
        <w:ind w:left="1620" w:hanging="640"/>
        <w:spacing w:after="0" w:line="269" w:lineRule="auto"/>
        <w:tabs>
          <w:tab w:leader="none" w:pos="16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only outstanding Approved 10b5-1 Plan entered into by the Covered Person (subject to the exceptions set out in Rule 10b5-1(c)(ii)(D)).</w:t>
      </w:r>
    </w:p>
    <w:p>
      <w:pPr>
        <w:spacing w:after="0" w:line="159"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color w:val="auto"/>
        </w:rPr>
        <w:t>If you are considering entering into, modifying or terminating an Approved 10b5-1 Plan or have any questions regarding Approved Rule 10b5-1 Plans, please contact the Compliance Officer at jdahldorf@adagiomedical.com. You should consult your own legal and tax advisors before entering into, or modifying or terminating, an Approved 10b5-1 Plan. A trading plan, contract, instruction or arrangement will not qualify as an Approved 10b5-1 Plan without the prior review and approval of the Compliance Officer as described above.</w:t>
      </w:r>
    </w:p>
    <w:p>
      <w:pPr>
        <w:spacing w:after="0" w:line="181"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Trading Window</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Covered Persons are permitted to trade in the Company’s securities when no blackout period is in effect.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181" w:lineRule="exact"/>
        <w:rPr>
          <w:sz w:val="20"/>
          <w:szCs w:val="20"/>
          <w:color w:val="auto"/>
        </w:rPr>
      </w:pPr>
    </w:p>
    <w:p>
      <w:pPr>
        <w:ind w:left="340" w:hanging="332"/>
        <w:spacing w:after="0"/>
        <w:tabs>
          <w:tab w:leader="none" w:pos="3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Pre-Clearance of Securities Transactions</w:t>
      </w:r>
    </w:p>
    <w:p>
      <w:pPr>
        <w:spacing w:after="0" w:line="219" w:lineRule="exact"/>
        <w:rPr>
          <w:rFonts w:ascii="Times New Roman" w:cs="Times New Roman" w:eastAsia="Times New Roman" w:hAnsi="Times New Roman"/>
          <w:sz w:val="20"/>
          <w:szCs w:val="20"/>
          <w:b w:val="1"/>
          <w:bCs w:val="1"/>
          <w:color w:val="auto"/>
        </w:rPr>
      </w:pPr>
    </w:p>
    <w:p>
      <w:pPr>
        <w:jc w:val="both"/>
        <w:ind w:left="660" w:hanging="328"/>
        <w:spacing w:after="0" w:line="254" w:lineRule="auto"/>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Company Insiders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46" w:lineRule="auto"/>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exemption in subsection (d) below, no Company Insider may, directly or indirectly, purchase or sell (or otherwise make any transfer, gift, pledge or loan of) any Company security at any time without first obtaining prior approval from the Compliance Officer. These procedures also apply to transactions by such person’s spouse, other persons living in such person’s household and minor children and to transactions by entities over which such person exercises control.</w:t>
      </w:r>
    </w:p>
    <w:p>
      <w:pPr>
        <w:spacing w:after="0" w:line="184" w:lineRule="exact"/>
        <w:rPr>
          <w:rFonts w:ascii="Times New Roman" w:cs="Times New Roman" w:eastAsia="Times New Roman" w:hAnsi="Times New Roman"/>
          <w:sz w:val="20"/>
          <w:szCs w:val="20"/>
          <w:color w:val="auto"/>
        </w:rPr>
      </w:pPr>
    </w:p>
    <w:p>
      <w:pPr>
        <w:jc w:val="both"/>
        <w:ind w:left="660" w:hanging="328"/>
        <w:spacing w:after="0" w:line="249" w:lineRule="auto"/>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Compliance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7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Pre-clearance is not required for purchases and sales of securities under an Approved 10b5-1 Plan once the applicable cooling-off period has expired. No trades may be made under an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8" w:name="page179"/>
    <w:bookmarkEnd w:id="178"/>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10b5-1 Plan until expiration of the applicable cooling-off period. With respect to any purchase or sale under an Approved 10b5-1 Plan, the third party effecting transactions on behalf of the Company Insider should be instructed to send duplicate confirmations of all such transactions to the Compliance Officer.</w:t>
      </w:r>
    </w:p>
    <w:p>
      <w:pPr>
        <w:spacing w:after="0" w:line="170" w:lineRule="exact"/>
        <w:rPr>
          <w:sz w:val="20"/>
          <w:szCs w:val="20"/>
          <w:color w:val="auto"/>
        </w:rPr>
      </w:pPr>
    </w:p>
    <w:p>
      <w:pPr>
        <w:ind w:left="332" w:hanging="332"/>
        <w:spacing w:after="0"/>
        <w:tabs>
          <w:tab w:leader="none" w:pos="332"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Prohibited Transactions</w:t>
      </w:r>
    </w:p>
    <w:p>
      <w:pPr>
        <w:spacing w:after="0" w:line="219" w:lineRule="exact"/>
        <w:rPr>
          <w:rFonts w:ascii="Times New Roman" w:cs="Times New Roman" w:eastAsia="Times New Roman" w:hAnsi="Times New Roman"/>
          <w:sz w:val="20"/>
          <w:szCs w:val="20"/>
          <w:b w:val="1"/>
          <w:bCs w:val="1"/>
          <w:color w:val="auto"/>
        </w:rPr>
      </w:pPr>
    </w:p>
    <w:p>
      <w:pPr>
        <w:jc w:val="both"/>
        <w:ind w:left="652" w:hanging="328"/>
        <w:spacing w:after="0" w:line="249" w:lineRule="auto"/>
        <w:tabs>
          <w:tab w:leader="none" w:pos="65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179" w:lineRule="exact"/>
        <w:rPr>
          <w:rFonts w:ascii="Times New Roman" w:cs="Times New Roman" w:eastAsia="Times New Roman" w:hAnsi="Times New Roman"/>
          <w:sz w:val="20"/>
          <w:szCs w:val="20"/>
          <w:color w:val="auto"/>
        </w:rPr>
      </w:pPr>
    </w:p>
    <w:p>
      <w:pPr>
        <w:jc w:val="both"/>
        <w:ind w:left="652" w:hanging="328"/>
        <w:spacing w:after="0" w:line="254" w:lineRule="auto"/>
        <w:tabs>
          <w:tab w:leader="none" w:pos="652"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including any person’s spouse, other persons living in such person’s household and minor children and entities over which such person exercises control, are prohibited from engaging in the following transactions in the Company’s securities unless advance approval is obtained from the Compliance Officer:</w:t>
      </w:r>
    </w:p>
    <w:p>
      <w:pPr>
        <w:spacing w:after="0" w:line="174" w:lineRule="exact"/>
        <w:rPr>
          <w:rFonts w:ascii="Times New Roman" w:cs="Times New Roman" w:eastAsia="Times New Roman" w:hAnsi="Times New Roman"/>
          <w:sz w:val="20"/>
          <w:szCs w:val="20"/>
          <w:color w:val="auto"/>
        </w:rPr>
      </w:pPr>
    </w:p>
    <w:p>
      <w:pPr>
        <w:ind w:left="1612" w:right="20" w:hanging="640"/>
        <w:spacing w:after="0" w:line="269" w:lineRule="auto"/>
        <w:tabs>
          <w:tab w:leader="none" w:pos="161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Short-term trading.</w:t>
      </w:r>
      <w:r>
        <w:rPr>
          <w:rFonts w:ascii="Times New Roman" w:cs="Times New Roman" w:eastAsia="Times New Roman" w:hAnsi="Times New Roman"/>
          <w:sz w:val="20"/>
          <w:szCs w:val="20"/>
          <w:color w:val="auto"/>
        </w:rPr>
        <w:t xml:space="preserve"> Company Insiders who purchase Company securities may not sell any Company securities of the same class for at least six months after the purchase;</w:t>
      </w:r>
    </w:p>
    <w:p>
      <w:pPr>
        <w:spacing w:after="0" w:line="159" w:lineRule="exact"/>
        <w:rPr>
          <w:rFonts w:ascii="Times New Roman" w:cs="Times New Roman" w:eastAsia="Times New Roman" w:hAnsi="Times New Roman"/>
          <w:sz w:val="20"/>
          <w:szCs w:val="20"/>
          <w:color w:val="auto"/>
        </w:rPr>
      </w:pPr>
    </w:p>
    <w:p>
      <w:pPr>
        <w:ind w:left="1612" w:hanging="640"/>
        <w:spacing w:after="0"/>
        <w:tabs>
          <w:tab w:leader="none" w:pos="161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xml:space="preserve"> Covered Persons may not sell the Company’s securities short;</w:t>
      </w:r>
    </w:p>
    <w:p>
      <w:pPr>
        <w:spacing w:after="0" w:line="215" w:lineRule="exact"/>
        <w:rPr>
          <w:rFonts w:ascii="Times New Roman" w:cs="Times New Roman" w:eastAsia="Times New Roman" w:hAnsi="Times New Roman"/>
          <w:sz w:val="20"/>
          <w:szCs w:val="20"/>
          <w:color w:val="auto"/>
        </w:rPr>
      </w:pPr>
    </w:p>
    <w:p>
      <w:pPr>
        <w:ind w:left="1612" w:hanging="640"/>
        <w:spacing w:after="0" w:line="269" w:lineRule="auto"/>
        <w:tabs>
          <w:tab w:leader="none" w:pos="161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 trading.</w:t>
      </w:r>
      <w:r>
        <w:rPr>
          <w:rFonts w:ascii="Times New Roman" w:cs="Times New Roman" w:eastAsia="Times New Roman" w:hAnsi="Times New Roman"/>
          <w:sz w:val="20"/>
          <w:szCs w:val="20"/>
          <w:color w:val="auto"/>
        </w:rPr>
        <w:t xml:space="preserve"> Covered Persons may not buy or sell puts or calls or other derivative securities on the Company’s securities;</w:t>
      </w:r>
    </w:p>
    <w:p>
      <w:pPr>
        <w:spacing w:after="0" w:line="159" w:lineRule="exact"/>
        <w:rPr>
          <w:rFonts w:ascii="Times New Roman" w:cs="Times New Roman" w:eastAsia="Times New Roman" w:hAnsi="Times New Roman"/>
          <w:sz w:val="20"/>
          <w:szCs w:val="20"/>
          <w:color w:val="auto"/>
        </w:rPr>
      </w:pPr>
    </w:p>
    <w:p>
      <w:pPr>
        <w:ind w:left="1612" w:right="20" w:hanging="640"/>
        <w:spacing w:after="0" w:line="269" w:lineRule="auto"/>
        <w:tabs>
          <w:tab w:leader="none" w:pos="161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on margin or pledging.</w:t>
      </w:r>
      <w:r>
        <w:rPr>
          <w:rFonts w:ascii="Times New Roman" w:cs="Times New Roman" w:eastAsia="Times New Roman" w:hAnsi="Times New Roman"/>
          <w:sz w:val="20"/>
          <w:szCs w:val="20"/>
          <w:color w:val="auto"/>
        </w:rPr>
        <w:t xml:space="preserve"> Covered Persons may not hold Company securities in a margin account or pledge Company securities as collateral for a loan; and</w:t>
      </w:r>
    </w:p>
    <w:p>
      <w:pPr>
        <w:spacing w:after="0" w:line="159" w:lineRule="exact"/>
        <w:rPr>
          <w:rFonts w:ascii="Times New Roman" w:cs="Times New Roman" w:eastAsia="Times New Roman" w:hAnsi="Times New Roman"/>
          <w:sz w:val="20"/>
          <w:szCs w:val="20"/>
          <w:color w:val="auto"/>
        </w:rPr>
      </w:pPr>
    </w:p>
    <w:p>
      <w:pPr>
        <w:ind w:left="1612" w:right="20" w:hanging="640"/>
        <w:spacing w:after="0" w:line="269" w:lineRule="auto"/>
        <w:tabs>
          <w:tab w:leader="none" w:pos="1612"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w:t>
      </w:r>
      <w:r>
        <w:rPr>
          <w:rFonts w:ascii="Times New Roman" w:cs="Times New Roman" w:eastAsia="Times New Roman" w:hAnsi="Times New Roman"/>
          <w:sz w:val="20"/>
          <w:szCs w:val="20"/>
          <w:color w:val="auto"/>
        </w:rPr>
        <w:t xml:space="preserve"> Covered Persons may not enter into hedging or monetization transactions or similar arrangements with respect to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179" w:name="page180"/>
    <w:bookmarkEnd w:id="179"/>
    <w:p>
      <w:pPr>
        <w:jc w:val="right"/>
        <w:ind w:right="389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Directors and Officers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Employees</w:t>
      </w:r>
    </w:p>
    <w:p>
      <w:pPr>
        <w:spacing w:after="0"/>
        <w:rPr>
          <w:sz w:val="20"/>
          <w:szCs w:val="20"/>
          <w:color w:val="auto"/>
        </w:rPr>
      </w:pPr>
      <w:r>
        <w:rPr>
          <w:rFonts w:ascii="Times New Roman" w:cs="Times New Roman" w:eastAsia="Times New Roman" w:hAnsi="Times New Roman"/>
          <w:sz w:val="20"/>
          <w:szCs w:val="20"/>
          <w:color w:val="auto"/>
        </w:rPr>
        <w:t>Material Independent Contractors or Consultants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Insiders List on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777240</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69"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hereby consent to the incorporation by reference in the Registration Statements on Form S-1 (No. 333-284266 and 333-284263) and Form S-8 (No. 333-282544) of Adagio Medical Holdings, Inc. of our report dated March 27, 2025, which includes an explanatory paragraph regarding Adagio Medical Holdings, Inc.’s ability to continue as a going concern, relating to the consolidated financial statements of Adagio Medical Holdings, Inc. as of and for the years ended December 31, 2024 and 2023, which appears in this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Usen, certify that:</w:t>
      </w:r>
    </w:p>
    <w:p>
      <w:pPr>
        <w:spacing w:after="0" w:line="216" w:lineRule="exact"/>
        <w:rPr>
          <w:sz w:val="20"/>
          <w:szCs w:val="20"/>
          <w:color w:val="auto"/>
        </w:rPr>
      </w:pPr>
    </w:p>
    <w:p>
      <w:pPr>
        <w:ind w:left="660" w:right="160" w:hanging="652"/>
        <w:spacing w:after="0" w:line="269" w:lineRule="auto"/>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the fiscal year ended December 31, 2024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 pursuant to Exchange Act Rules 13a-14(a) and 15d-15(a)];</w:t>
      </w:r>
    </w:p>
    <w:p>
      <w:pPr>
        <w:spacing w:after="0" w:line="215"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Todd Usen</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993"/>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John Dahldorf, certify that:</w:t>
      </w:r>
    </w:p>
    <w:p>
      <w:pPr>
        <w:spacing w:after="0" w:line="216" w:lineRule="exact"/>
        <w:rPr>
          <w:sz w:val="20"/>
          <w:szCs w:val="20"/>
          <w:color w:val="auto"/>
        </w:rPr>
      </w:pPr>
    </w:p>
    <w:p>
      <w:pPr>
        <w:ind w:left="660" w:right="60" w:hanging="652"/>
        <w:spacing w:after="0" w:line="269"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the annual year ended December 31, 2024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 pursuant to Exchange Act Rules 13a-14(a) and 15d-15(a)];</w:t>
      </w:r>
    </w:p>
    <w:p>
      <w:pPr>
        <w:spacing w:after="0" w:line="215"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John Dahldorf</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Dahldorf</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Adagio Medical Holdings, Inc. (formerly known as “Aja Holdco, Inc.”) (the “Company”) for the fiscal year ended December 31, 2024 as filed with the Securities and Exchange Commission on the date hereof (the “Annual Report”), I, Todd Usen, Chief Executive Officer of the Company, hereby certify, pursuant to 18 U.S.C. § 1350, as adopted pursuant to § 906 of the Sarbanes-Oxley Act of 2002, that to my knowledge:</w:t>
      </w:r>
    </w:p>
    <w:p>
      <w:pPr>
        <w:spacing w:after="0" w:line="180" w:lineRule="exact"/>
        <w:rPr>
          <w:sz w:val="20"/>
          <w:szCs w:val="20"/>
          <w:color w:val="auto"/>
        </w:rPr>
      </w:pPr>
    </w:p>
    <w:p>
      <w:pPr>
        <w:ind w:left="660" w:right="40" w:hanging="652"/>
        <w:spacing w:after="0" w:line="269" w:lineRule="auto"/>
        <w:tabs>
          <w:tab w:leader="none" w:pos="6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160" w:hanging="652"/>
        <w:spacing w:after="0" w:line="269" w:lineRule="auto"/>
        <w:tabs>
          <w:tab w:leader="none" w:pos="6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Todd Usen</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992"/>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2400" w:right="2380"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Annual Report on Form 10-K of Adagio Medical Holdings, Inc. (formerly known as “Aja Holdco, Inc.”) (the “Company”) for the fiscal year ended December 31, 2024 as filed with the Securities and Exchange Commission on the date hereof (the “Annual Report”), I, John Dahldorf, Chief Financial Officer (Principal Financial Officer) of the Company, hereby certify, pursuant to 18 U.S.C. § 1350, as adopted pursuant to § 906 of the Sarbanes-Oxley Act of 2002, that to my knowledge:</w:t>
      </w:r>
    </w:p>
    <w:p>
      <w:pPr>
        <w:spacing w:after="0" w:line="185" w:lineRule="exact"/>
        <w:rPr>
          <w:sz w:val="20"/>
          <w:szCs w:val="20"/>
          <w:color w:val="auto"/>
        </w:rPr>
      </w:pPr>
    </w:p>
    <w:p>
      <w:pPr>
        <w:ind w:left="660" w:right="40" w:hanging="652"/>
        <w:spacing w:after="0" w:line="269" w:lineRule="auto"/>
        <w:tabs>
          <w:tab w:leader="none" w:pos="6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160" w:hanging="652"/>
        <w:spacing w:after="0" w:line="269" w:lineRule="auto"/>
        <w:tabs>
          <w:tab w:leader="none" w:pos="6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John Dahldorf</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Dahldorf</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7"/>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ADAGIO MEDICAL HOLDINGS,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16"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Adagio Medical Holdings, Inc. (formerly known as Aja Holdco,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believes that it is in the best interests of the Company and its shareholders to create and maintain a culture that emphasizes integrity and accountability and that reinforces the Company’s pay-for-performance compensation philosophy. To implement this goal, the Board has therefore adopted this clawback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which provides for the recoupment of certain executive compensation in the event of an accounting restatement resulting from material noncompliance with financial reporting requirements under the federal securities laws. This Policy is designed to comply with Section 10D of the Securities Exchange Act of 1934, as amended, Rule 10D-1 promulgated thereunder (collectively, “</w:t>
      </w:r>
      <w:r>
        <w:rPr>
          <w:rFonts w:ascii="Times New Roman" w:cs="Times New Roman" w:eastAsia="Times New Roman" w:hAnsi="Times New Roman"/>
          <w:sz w:val="20"/>
          <w:szCs w:val="20"/>
          <w:b w:val="1"/>
          <w:bCs w:val="1"/>
          <w:i w:val="1"/>
          <w:iCs w:val="1"/>
          <w:color w:val="auto"/>
        </w:rPr>
        <w:t>Section 10D</w:t>
      </w:r>
      <w:r>
        <w:rPr>
          <w:rFonts w:ascii="Times New Roman" w:cs="Times New Roman" w:eastAsia="Times New Roman" w:hAnsi="Times New Roman"/>
          <w:sz w:val="20"/>
          <w:szCs w:val="20"/>
          <w:color w:val="auto"/>
        </w:rPr>
        <w:t>”) and the listing standards of the national securities exchange on which the Company’s securities are listed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 and will be construed consistently with that intent.</w:t>
      </w:r>
    </w:p>
    <w:p>
      <w:pPr>
        <w:spacing w:after="0" w:line="186"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This Policy shall be administered by the Compensation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and references herein to the Board shall be deemed references to the Committee. Any determinations made by the Board shall be final and binding on all affected individuals.</w:t>
      </w:r>
    </w:p>
    <w:p>
      <w:pPr>
        <w:spacing w:after="0" w:line="169"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Covered Executives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Policy applies to the Company’s current and former executive officers, as determined by the Committee in accordance with Section 10D and the Listing Standards, as well as such other senior executives and employees who may from time to time be deemed subject to the Policy by the Board (“</w:t>
      </w:r>
      <w:r>
        <w:rPr>
          <w:rFonts w:ascii="Times New Roman" w:cs="Times New Roman" w:eastAsia="Times New Roman" w:hAnsi="Times New Roman"/>
          <w:sz w:val="20"/>
          <w:szCs w:val="20"/>
          <w:b w:val="1"/>
          <w:bCs w:val="1"/>
          <w:i w:val="1"/>
          <w:iCs w:val="1"/>
          <w:color w:val="auto"/>
        </w:rPr>
        <w:t>Covered Executives</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Recoupment; Accounting Restatement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Committee will require reimbursement or forfeiture of any excess Incentive Compensation (as defined below) received by any Covered Executive during the three completed fiscal years immediately preceding the date on which the Company is required to prepare an accounting restatement (or any transition period that results from a change in the Company’s fiscal year (as set forth in the Listing Standards)), as determined in accordance with Section 10D and Listing Standards. The date on which the Company is required to prepare an accounting restatement is the earlier to occur of (A) the date the Committee or other Board committee (or authorized officers of the Company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193"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Incentive Compensation</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642620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86" w:name="page187"/>
    <w:bookmarkEnd w:id="186"/>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on the attainment of a “</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(as defined under Section 10D, and including, for the avoidance of doubt,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measures), including, but not limited to, performance-based cash, stock, options or other equity-based awards paid or granted to the Covered Executive. Compensation that is granted, vests or is earned based solely upon the occurrence of non-financial events, such as base salary, restricted stock or options with time-based vesting only, or a bonus awarded solely at the discretion of the Board and not based on the attainment of any financial reporting measure, is not subject to this Policy.</w:t>
      </w:r>
    </w:p>
    <w:p>
      <w:pPr>
        <w:spacing w:after="0" w:line="180"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Amounts Subject to Recovery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amounts to be recovered pursuant to this Policy will be the excess of the Incentive Compensation received by the Covered Executive based on the erroneous data, over the Incentive Compensation that would have been received by the Covered Executive had it been based on the restated results, as determined by the Board and without regard to any taxes paid or withheld.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Incentive Compensation, for purposes of being subject to recoupment, will be deemed received in the fiscal period during which the financial reporting measure on which the Incentive Compensation is based is attained or purportedly attained, regardless of whether the Incentive Compensation is granted or paid after the end of that fiscal period.</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For Incentive Compensation based on stock price or TSR, where the amount of erroneously awarded compensation is not subject to mathematical recalculation directly from the information in the financial restatement, the Board shall determine the amount to be recovered based on a reasonable estimate of the effect of the financial restatement on the stock price or TSR upon which the Incentive Compensation was received and the Company shall document the determination of that estimate and provide it to the national securities exchange on which the Company’s securities are listed.</w:t>
      </w:r>
    </w:p>
    <w:p>
      <w:pPr>
        <w:spacing w:after="0" w:line="18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compensation recouped under this Policy shall not include Incentive Compensation received by a Covered Executive (i) prior to beginning service as a Covered Executive or (ii) if he or she did not serve as a Covered Executive at any time during the performance period applicable to the Incentive Compensation in question.</w:t>
      </w:r>
    </w:p>
    <w:p>
      <w:pPr>
        <w:spacing w:after="0" w:line="170"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Method of Recoupment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Board will determine, in its sole discretion, the method for recouping Incentive Compensation hereunder, and such method shall be such that the excess compensation is corrected reasonably promptly, the recoupment is not permitted to be paid in installments, and the method used shall consider the implications of other relevant laws including, but not limited to, Section 409A of the Internal Revenue Code. Covered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w:t>
      </w:r>
    </w:p>
    <w:p>
      <w:pPr>
        <w:spacing w:after="0" w:line="180"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shall not indemnify any Covered Executives against the loss of any Incentive Compensation resulting from recoupment pursuant to this Policy, including paying premiums on an insurance policy that would cover a Covered Executive’s Incentive Compensation reimbursement obligation or any claims relating to the Company’s enforcement of rights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87" w:name="page188"/>
    <w:bookmarkEnd w:id="187"/>
    <w:p>
      <w:pPr>
        <w:ind w:left="660" w:hanging="328"/>
        <w:spacing w:after="0"/>
        <w:tabs>
          <w:tab w:leader="none" w:pos="66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Board is authorized to interpret and construe this Policy and to make all determinations necessary, appropriate, or advisable for the administration of this Policy. This Policy shall be interpreted in a manner that is consistent with the requirements of Section 10D, Listing Standards and any applicable rules or standards adopted by the Securities and Exchange Commission and, to the extent this Policy is in any manner deemed inconsistent with such rules, this Policy shall be treated as retroactively amended to be compliant with such rules.</w:t>
      </w:r>
    </w:p>
    <w:p>
      <w:pPr>
        <w:spacing w:after="0" w:line="181"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Termination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Board may amend this Policy from time to time in its discretion. The Board may terminate this Policy at any time subject to applicable law or regulatory requirements.</w:t>
      </w:r>
    </w:p>
    <w:p>
      <w:pPr>
        <w:spacing w:after="0" w:line="155"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Recoupment Rights and Rules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The Board intends that this Policy will be applied to the fullest extent of the law. Each Covered Executive may be required to sign and return to the Company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pursuant to which such Covered Executive will agree to be bound by the terms of, and comply with, this Policy. For the avoidance of doubt, each Covered Executive shall be fully bound by, and must comply with, the Policy, whether or not such Covered Executive has executed and returned such acknowledgment form to the Company and regardless of any contrary or inconsistent language that may appear in any employment, severance, equity award or similar agreement with the Covered Executive. Any right of recoupment under this Policy is in addition to, and not in lieu of, any other legal or equitable remedies or rights of recoupment that may be available to the Company, whether arising under applicable law (including pursuant to Section 304 of the Sarbanes-Oxley Act of 2002), regulation or pursuant to the terms of any policy of the Company, employment agreement, equity award agreement, or similar agreement.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Board shall recover any excess Incentive Compensation in accordance with this Policy unless such recovery would be impracticable, as determined by the Board in accordance with Section 10D and the Listing Standards. In the event that the Board determines recovery to be impracticable, the Company shall comply with any related documentation requirements under Section 10D and the Listing Standards.</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Company shall comply with the disclosure requirements relating to Section 10D and any actions taken in compliance therewith as promulgated by the Securities and Exchange Commission and the Listing Standards.</w:t>
      </w:r>
    </w:p>
    <w:p>
      <w:pPr>
        <w:spacing w:after="0" w:line="155"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No-Fault Recovery</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Recoupment under this Policy shall be required regardless of whether the Covered Executive or any other person was at fault or responsible for accounting errors that contributed to the need for the financial restatement or engaged in any misconduct.</w:t>
      </w:r>
    </w:p>
    <w:p>
      <w:pPr>
        <w:spacing w:after="0" w:line="170"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This Policy has been adopted by the Board and shall be effective as of the adopted date set forth below (“</w:t>
      </w:r>
      <w:r>
        <w:rPr>
          <w:rFonts w:ascii="Times New Roman" w:cs="Times New Roman" w:eastAsia="Times New Roman" w:hAnsi="Times New Roman"/>
          <w:sz w:val="19"/>
          <w:szCs w:val="19"/>
          <w:b w:val="1"/>
          <w:bCs w:val="1"/>
          <w:i w:val="1"/>
          <w:iCs w:val="1"/>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and shall apply to any Incentive Compensation that is received by a Covered Executive on or after the Effective Date.</w:t>
      </w:r>
    </w:p>
    <w:p>
      <w:pPr>
        <w:spacing w:after="0" w:line="129"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88" w:name="page189"/>
    <w:bookmarkEnd w:id="188"/>
    <w:p>
      <w:pPr>
        <w:ind w:firstLine="648"/>
        <w:spacing w:after="0" w:line="268"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15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Adopted:</w:t>
      </w:r>
      <w:r>
        <w:rPr>
          <w:sz w:val="20"/>
          <w:szCs w:val="20"/>
          <w:color w:val="auto"/>
        </w:rPr>
        <w:tab/>
      </w:r>
      <w:r>
        <w:rPr>
          <w:rFonts w:ascii="Times New Roman" w:cs="Times New Roman" w:eastAsia="Times New Roman" w:hAnsi="Times New Roman"/>
          <w:sz w:val="20"/>
          <w:szCs w:val="20"/>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-8255</wp:posOffset>
            </wp:positionV>
            <wp:extent cx="3771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ACKNOWLEDGEMENT FORM</w:t>
      </w:r>
    </w:p>
    <w:p>
      <w:pPr>
        <w:spacing w:after="0" w:line="21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Capitalized terms used but not otherwise defined in this Acknowledgement Form (this “</w:t>
      </w:r>
      <w:r>
        <w:rPr>
          <w:rFonts w:ascii="Times New Roman" w:cs="Times New Roman" w:eastAsia="Times New Roman" w:hAnsi="Times New Roman"/>
          <w:sz w:val="20"/>
          <w:szCs w:val="20"/>
          <w:b w:val="1"/>
          <w:bCs w:val="1"/>
          <w:i w:val="1"/>
          <w:iCs w:val="1"/>
          <w:color w:val="auto"/>
        </w:rPr>
        <w:t>Acknowledgement Form</w:t>
      </w:r>
      <w:r>
        <w:rPr>
          <w:rFonts w:ascii="Times New Roman" w:cs="Times New Roman" w:eastAsia="Times New Roman" w:hAnsi="Times New Roman"/>
          <w:sz w:val="20"/>
          <w:szCs w:val="20"/>
          <w:color w:val="auto"/>
        </w:rPr>
        <w:t>”) shall have the meanings ascribed to such terms in the Policy.</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Company; and (iii) will abide by the terms of the Policy, including, without limitation, by reasonably promptly returning any recoverable Incentive Compensation to the Company as required by the Policy, as determined by the Committee in its sole discretion.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13970</wp:posOffset>
            </wp:positionV>
            <wp:extent cx="27260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[Employee]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4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4"/>
    </w:lvl>
  </w:abstractNum>
  <w:abstractNum w:abstractNumId="38">
    <w:nsid w:val="6590700B"/>
    <w:multiLevelType w:val="hybridMultilevel"/>
    <w:lvl w:ilvl="0">
      <w:lvlJc w:val="left"/>
      <w:lvlText w:val="(%1)"/>
      <w:numFmt w:val="lowerRoman"/>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1)"/>
      <w:numFmt w:val="lowerRoman"/>
      <w:start w:val="3"/>
    </w:lvl>
  </w:abstractNum>
  <w:abstractNum w:abstractNumId="44">
    <w:nsid w:val="42C296BD"/>
    <w:multiLevelType w:val="hybridMultilevel"/>
    <w:lvl w:ilvl="0">
      <w:lvlJc w:val="left"/>
      <w:lvlText w:val="(%1)"/>
      <w:numFmt w:val="lowerRoman"/>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1)"/>
      <w:numFmt w:val="lowerRoman"/>
      <w:start w:val="4"/>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1)"/>
      <w:numFmt w:val="lowerRoman"/>
      <w:start w:val="1"/>
    </w:lvl>
  </w:abstractNum>
  <w:abstractNum w:abstractNumId="51">
    <w:nsid w:val="51D9C564"/>
    <w:multiLevelType w:val="hybridMultilevel"/>
    <w:lvl w:ilvl="0">
      <w:lvlJc w:val="left"/>
      <w:lvlText w:val="%1."/>
      <w:numFmt w:val="lowerRoman"/>
      <w:start w:val="1"/>
    </w:lvl>
  </w:abstractNum>
  <w:abstractNum w:abstractNumId="52">
    <w:nsid w:val="613EFDC5"/>
    <w:multiLevelType w:val="hybridMultilevel"/>
    <w:lvl w:ilvl="0">
      <w:lvlJc w:val="left"/>
      <w:lvlText w:val="%1."/>
      <w:numFmt w:val="lowerRoman"/>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decimal"/>
      <w:start w:val="110"/>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1)"/>
      <w:numFmt w:val="lowerRoman"/>
      <w:start w:val="3"/>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decimal"/>
      <w:start w:val="2"/>
    </w:lvl>
    <w:lvl w:ilvl="1">
      <w:lvlJc w:val="left"/>
      <w:lvlText w:val="(%2)"/>
      <w:numFmt w:val="lowerLetter"/>
      <w:start w:val="1"/>
    </w:lvl>
  </w:abstractNum>
  <w:abstractNum w:abstractNumId="63">
    <w:nsid w:val="6A5EE6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4">
    <w:nsid w:val="1433062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5">
    <w:nsid w:val="7FFFCA11"/>
    <w:multiLevelType w:val="hybridMultilevel"/>
    <w:lvl w:ilvl="0">
      <w:lvlJc w:val="left"/>
      <w:lvlText w:val="(%1)"/>
      <w:numFmt w:val="lowerRoman"/>
      <w:start w:val="13"/>
    </w:lvl>
  </w:abstractNum>
  <w:abstractNum w:abstractNumId="66">
    <w:nsid w:val="1A27709E"/>
    <w:multiLevelType w:val="hybridMultilevel"/>
    <w:lvl w:ilvl="0">
      <w:lvlJc w:val="left"/>
      <w:lvlText w:val="(%1)"/>
      <w:numFmt w:val="lowerLetter"/>
      <w:start w:val="2"/>
    </w:lvl>
    <w:lvl w:ilvl="1">
      <w:lvlJc w:val="left"/>
      <w:lvlText w:val="(%2)"/>
      <w:numFmt w:val="lowerRoman"/>
      <w:start w:val="1"/>
    </w:lvl>
  </w:abstractNum>
  <w:abstractNum w:abstractNumId="67">
    <w:nsid w:val="71EA1109"/>
    <w:multiLevelType w:val="hybridMultilevel"/>
    <w:lvl w:ilvl="0">
      <w:lvlJc w:val="left"/>
      <w:lvlText w:val="(%1)"/>
      <w:numFmt w:val="lowerLetter"/>
      <w:start w:val="3"/>
    </w:lvl>
    <w:lvl w:ilvl="1">
      <w:lvlJc w:val="left"/>
      <w:lvlText w:val="(%2)"/>
      <w:numFmt w:val="lowerRoman"/>
      <w:start w:val="1"/>
    </w:lvl>
  </w:abstractNum>
  <w:abstractNum w:abstractNumId="68">
    <w:nsid w:val="100F59DC"/>
    <w:multiLevelType w:val="hybridMultilevel"/>
    <w:lvl w:ilvl="0">
      <w:lvlJc w:val="left"/>
      <w:lvlText w:val="(%1)"/>
      <w:numFmt w:val="lowerRoman"/>
      <w:start w:val="3"/>
    </w:lvl>
  </w:abstractNum>
  <w:abstractNum w:abstractNumId="69">
    <w:nsid w:val="7FB7E0AA"/>
    <w:multiLevelType w:val="hybridMultilevel"/>
    <w:lvl w:ilvl="0">
      <w:lvlJc w:val="left"/>
      <w:lvlText w:val="%1."/>
      <w:numFmt w:val="decimal"/>
      <w:start w:val="4"/>
    </w:lvl>
  </w:abstractNum>
  <w:abstractNum w:abstractNumId="70">
    <w:nsid w:val="6EB5BD4"/>
    <w:multiLevelType w:val="hybridMultilevel"/>
    <w:lvl w:ilvl="0">
      <w:lvlJc w:val="left"/>
      <w:lvlText w:val="%1"/>
      <w:numFmt w:val="decimal"/>
      <w:start w:val="1"/>
    </w:lvl>
    <w:lvl w:ilvl="1">
      <w:lvlJc w:val="left"/>
      <w:lvlText w:val="(%2)"/>
      <w:numFmt w:val="lowerLetter"/>
      <w:start w:val="1"/>
    </w:lvl>
  </w:abstractNum>
  <w:abstractNum w:abstractNumId="71">
    <w:nsid w:val="6F6DD9AC"/>
    <w:multiLevelType w:val="hybridMultilevel"/>
    <w:lvl w:ilvl="0">
      <w:lvlJc w:val="left"/>
      <w:lvlText w:val="%1."/>
      <w:numFmt w:val="decimal"/>
      <w:start w:val="5"/>
    </w:lvl>
    <w:lvl w:ilvl="1">
      <w:lvlJc w:val="left"/>
      <w:lvlText w:val="%2"/>
      <w:numFmt w:val="lowerLetter"/>
      <w:start w:val="1"/>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decimal"/>
      <w:start w:val="1"/>
    </w:lvl>
    <w:lvl w:ilvl="1">
      <w:lvlJc w:val="left"/>
      <w:lvlText w:val="(%2)"/>
      <w:numFmt w:val="lowerLetter"/>
      <w:start w:val="2"/>
    </w:lvl>
  </w:abstractNum>
  <w:abstractNum w:abstractNumId="74">
    <w:nsid w:val="76272110"/>
    <w:multiLevelType w:val="hybridMultilevel"/>
    <w:lvl w:ilvl="0">
      <w:lvlJc w:val="left"/>
      <w:lvlText w:val="%1."/>
      <w:numFmt w:val="decimal"/>
      <w:start w:val="6"/>
    </w:lvl>
    <w:lvl w:ilvl="1">
      <w:lvlJc w:val="left"/>
      <w:lvlText w:val="%2"/>
      <w:numFmt w:val="lowerLetter"/>
      <w:start w:val="1"/>
    </w:lvl>
  </w:abstractNum>
  <w:abstractNum w:abstractNumId="75">
    <w:nsid w:val="4C04A8AF"/>
    <w:multiLevelType w:val="hybridMultilevel"/>
    <w:lvl w:ilvl="0">
      <w:lvlJc w:val="left"/>
      <w:lvlText w:val="%1."/>
      <w:numFmt w:val="decimal"/>
      <w:start w:val="1"/>
    </w:lvl>
  </w:abstractNum>
  <w:abstractNum w:abstractNumId="76">
    <w:nsid w:val="1716703B"/>
    <w:multiLevelType w:val="hybridMultilevel"/>
    <w:lvl w:ilvl="0">
      <w:lvlJc w:val="left"/>
      <w:lvlText w:val="(%1)"/>
      <w:numFmt w:val="lowerLetter"/>
      <w:start w:val="1"/>
    </w:lvl>
    <w:lvl w:ilvl="1">
      <w:lvlJc w:val="left"/>
      <w:lvlText w:val="(%2)"/>
      <w:numFmt w:val="lowerRoman"/>
      <w:start w:val="1"/>
    </w:lvl>
  </w:abstractNum>
  <w:abstractNum w:abstractNumId="77">
    <w:nsid w:val="14E17E33"/>
    <w:multiLevelType w:val="hybridMultilevel"/>
    <w:lvl w:ilvl="0">
      <w:lvlJc w:val="left"/>
      <w:lvlText w:val="(%1)"/>
      <w:numFmt w:val="lowerRoman"/>
      <w:start w:val="3"/>
    </w:lvl>
  </w:abstractNum>
  <w:abstractNum w:abstractNumId="78">
    <w:nsid w:val="3222E7CD"/>
    <w:multiLevelType w:val="hybridMultilevel"/>
    <w:lvl w:ilvl="0">
      <w:lvlJc w:val="left"/>
      <w:lvlText w:val="%1."/>
      <w:numFmt w:val="decimal"/>
      <w:start w:val="2"/>
    </w:lvl>
  </w:abstractNum>
  <w:abstractNum w:abstractNumId="79">
    <w:nsid w:val="74DE0EE3"/>
    <w:multiLevelType w:val="hybridMultilevel"/>
    <w:lvl w:ilvl="0">
      <w:lvlJc w:val="left"/>
      <w:lvlText w:val="%1."/>
      <w:numFmt w:val="decimal"/>
      <w:start w:val="3"/>
    </w:lvl>
    <w:lvl w:ilvl="1">
      <w:lvlJc w:val="left"/>
      <w:lvlText w:val="(%2)"/>
      <w:numFmt w:val="lowerLetter"/>
      <w:start w:val="1"/>
    </w:lvl>
  </w:abstractNum>
  <w:abstractNum w:abstractNumId="80">
    <w:nsid w:val="68EBC5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1">
    <w:nsid w:val="2DF6D648"/>
    <w:multiLevelType w:val="hybridMultilevel"/>
    <w:lvl w:ilvl="0">
      <w:lvlJc w:val="left"/>
      <w:lvlText w:val="%1."/>
      <w:numFmt w:val="decimal"/>
      <w:start w:val="1"/>
    </w:lvl>
    <w:lvl w:ilvl="1">
      <w:lvlJc w:val="left"/>
      <w:lvlText w:val="%2."/>
      <w:numFmt w:val="lowerLetter"/>
      <w:start w:val="1"/>
    </w:lvl>
  </w:abstractNum>
  <w:abstractNum w:abstractNumId="82">
    <w:nsid w:val="46B7D447"/>
    <w:multiLevelType w:val="hybridMultilevel"/>
    <w:lvl w:ilvl="0">
      <w:lvlJc w:val="left"/>
      <w:lvlText w:val="%1."/>
      <w:numFmt w:val="decimal"/>
      <w:start w:val="1"/>
    </w:lvl>
    <w:lvl w:ilvl="1">
      <w:lvlJc w:val="left"/>
      <w:lvlText w:val="%2."/>
      <w:numFmt w:val="lowerLetter"/>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1"/>
    </w:lvl>
  </w:abstractNum>
  <w:abstractNum w:abstractNumId="86">
    <w:nsid w:val="CC1016F"/>
    <w:multiLevelType w:val="hybridMultilevel"/>
    <w:lvl w:ilvl="0">
      <w:lvlJc w:val="left"/>
      <w:lvlText w:val="%1."/>
      <w:numFmt w:val="decimal"/>
      <w:start w:val="2"/>
    </w:lvl>
  </w:abstractNum>
  <w:abstractNum w:abstractNumId="87">
    <w:nsid w:val="43F18422"/>
    <w:multiLevelType w:val="hybridMultilevel"/>
    <w:lvl w:ilvl="0">
      <w:lvlJc w:val="left"/>
      <w:lvlText w:val="%1."/>
      <w:numFmt w:val="decimal"/>
      <w:start w:val="3"/>
    </w:lvl>
  </w:abstractNum>
  <w:abstractNum w:abstractNumId="88">
    <w:nsid w:val="60EF0119"/>
    <w:multiLevelType w:val="hybridMultilevel"/>
    <w:lvl w:ilvl="0">
      <w:lvlJc w:val="left"/>
      <w:lvlText w:val="%1."/>
      <w:numFmt w:val="decimal"/>
      <w:start w:val="4"/>
    </w:lvl>
  </w:abstractNum>
  <w:abstractNum w:abstractNumId="89">
    <w:nsid w:val="26F324BA"/>
    <w:multiLevelType w:val="hybridMultilevel"/>
    <w:lvl w:ilvl="0">
      <w:lvlJc w:val="left"/>
      <w:lvlText w:val="%1."/>
      <w:numFmt w:val="decimal"/>
      <w:start w:val="5"/>
    </w:lvl>
  </w:abstractNum>
  <w:abstractNum w:abstractNumId="90">
    <w:nsid w:val="7F01579B"/>
    <w:multiLevelType w:val="hybridMultilevel"/>
    <w:lvl w:ilvl="0">
      <w:lvlJc w:val="left"/>
      <w:lvlText w:val="%1."/>
      <w:numFmt w:val="decimal"/>
      <w:start w:val="6"/>
    </w:lvl>
  </w:abstractNum>
  <w:abstractNum w:abstractNumId="91">
    <w:nsid w:val="49DA307D"/>
    <w:multiLevelType w:val="hybridMultilevel"/>
    <w:lvl w:ilvl="0">
      <w:lvlJc w:val="left"/>
      <w:lvlText w:val="%1."/>
      <w:numFmt w:val="decimal"/>
      <w:start w:val="7"/>
    </w:lvl>
  </w:abstractNum>
  <w:abstractNum w:abstractNumId="92">
    <w:nsid w:val="7055A5F5"/>
    <w:multiLevelType w:val="hybridMultilevel"/>
    <w:lvl w:ilvl="0">
      <w:lvlJc w:val="left"/>
      <w:lvlText w:val="%1."/>
      <w:numFmt w:val="decimal"/>
      <w:start w:val="8"/>
    </w:lvl>
  </w:abstractNum>
  <w:abstractNum w:abstractNumId="93">
    <w:nsid w:val="5FB8370B"/>
    <w:multiLevelType w:val="hybridMultilevel"/>
    <w:lvl w:ilvl="0">
      <w:lvlJc w:val="left"/>
      <w:lvlText w:val="%1."/>
      <w:numFmt w:val="decimal"/>
      <w:start w:val="9"/>
    </w:lvl>
  </w:abstractNum>
  <w:abstractNum w:abstractNumId="94">
    <w:nsid w:val="50801EE1"/>
    <w:multiLevelType w:val="hybridMultilevel"/>
    <w:lvl w:ilvl="0">
      <w:lvlJc w:val="left"/>
      <w:lvlText w:val="%1."/>
      <w:numFmt w:val="decimal"/>
      <w:start w:val="10"/>
    </w:lvl>
  </w:abstractNum>
  <w:abstractNum w:abstractNumId="95">
    <w:nsid w:val="488AC1A"/>
    <w:multiLevelType w:val="hybridMultilevel"/>
    <w:lvl w:ilvl="0">
      <w:lvlJc w:val="left"/>
      <w:lvlText w:val="%1."/>
      <w:numFmt w:val="decimal"/>
      <w:start w:val="11"/>
    </w:lvl>
  </w:abstractNum>
  <w:abstractNum w:abstractNumId="96">
    <w:nsid w:val="5FB8011C"/>
    <w:multiLevelType w:val="hybridMultilevel"/>
    <w:lvl w:ilvl="0">
      <w:lvlJc w:val="left"/>
      <w:lvlText w:val="%1."/>
      <w:numFmt w:val="decimal"/>
      <w:start w:val="12"/>
    </w:lvl>
  </w:abstractNum>
  <w:abstractNum w:abstractNumId="97">
    <w:nsid w:val="6AA78F7F"/>
    <w:multiLevelType w:val="hybridMultilevel"/>
    <w:lvl w:ilvl="0">
      <w:lvlJc w:val="left"/>
      <w:lvlText w:val="%1."/>
      <w:numFmt w:val="decimal"/>
      <w:start w:val="13"/>
    </w:lvl>
  </w:abstractNum>
  <w:abstractNum w:abstractNumId="98">
    <w:nsid w:val="7672BD2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91"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177" Type="http://schemas.openxmlformats.org/officeDocument/2006/relationships/hyperlink" Target="https://www.sec.gov/Archives/edgar/data/2006986/000114036124035942/ef20033584_ex2-1.htm" TargetMode="External"/><Relationship Id="rId178" Type="http://schemas.openxmlformats.org/officeDocument/2006/relationships/hyperlink" Target="https://www.sec.gov/Archives/edgar/data/2006986/000114036124035942/ef20033584_ex2-2.htm" TargetMode="External"/><Relationship Id="rId179" Type="http://schemas.openxmlformats.org/officeDocument/2006/relationships/hyperlink" Target="https://www.sec.gov/Archives/edgar/data/2006986/000114036124035942/ef20033584_ex3-1.htm" TargetMode="External"/><Relationship Id="rId180" Type="http://schemas.openxmlformats.org/officeDocument/2006/relationships/hyperlink" Target="https://www.sec.gov/Archives/edgar/data/2006986/000114036124035942/ef20033584_ex3-2.htm" TargetMode="External"/><Relationship Id="rId181" Type="http://schemas.openxmlformats.org/officeDocument/2006/relationships/hyperlink" Target="https://www.sec.gov/Archives/edgar/data/2006986/000114036124035942/ef20033584_ex4-1.htm" TargetMode="External"/><Relationship Id="rId182" Type="http://schemas.openxmlformats.org/officeDocument/2006/relationships/hyperlink" Target="https://www.sec.gov/Archives/edgar/data/2006986/000114036124035942/ef20033584_ex4-2.htm" TargetMode="External"/><Relationship Id="rId183" Type="http://schemas.openxmlformats.org/officeDocument/2006/relationships/hyperlink" Target="https://www.sec.gov/Archives/edgar/data/2006986/000114036124035942/ef20033584_ex4-3.htm" TargetMode="External"/><Relationship Id="rId184" Type="http://schemas.openxmlformats.org/officeDocument/2006/relationships/hyperlink" Target="https://www.sec.gov/Archives/edgar/data/2006986/000114036124035942/ef20033584_ex4-4.htm" TargetMode="External"/><Relationship Id="rId185" Type="http://schemas.openxmlformats.org/officeDocument/2006/relationships/hyperlink" Target="https://www.sec.gov/Archives/edgar/data/2006986/000114036124035942/ef20033584_ex10-1.htm" TargetMode="External"/><Relationship Id="rId186" Type="http://schemas.openxmlformats.org/officeDocument/2006/relationships/hyperlink" Target="https://www.sec.gov/Archives/edgar/data/2006986/000114036124035942/ef20033584_ex10-2.htm" TargetMode="External"/><Relationship Id="rId187" Type="http://schemas.openxmlformats.org/officeDocument/2006/relationships/hyperlink" Target="https://www.sec.gov/Archives/edgar/data/2006986/000114036124035942/ef20033584_ex10-3.htm" TargetMode="External"/><Relationship Id="rId188" Type="http://schemas.openxmlformats.org/officeDocument/2006/relationships/hyperlink" Target="https://www.sec.gov/Archives/edgar/data/2006986/000114036124035942/ef20033584_ex10-4.htm" TargetMode="External"/><Relationship Id="rId189" Type="http://schemas.openxmlformats.org/officeDocument/2006/relationships/hyperlink" Target="https://www.sec.gov/Archives/edgar/data/2006986/000114036124035942/ef20033584_ex10-5.htm" TargetMode="External"/><Relationship Id="rId190" Type="http://schemas.openxmlformats.org/officeDocument/2006/relationships/hyperlink" Target="https://www.sec.gov/Archives/edgar/data/2006986/000114036124035942/ef20033584_ex10-6.htm" TargetMode="External"/><Relationship Id="rId192" Type="http://schemas.openxmlformats.org/officeDocument/2006/relationships/hyperlink" Target="https://www.sec.gov/Archives/edgar/data/2006986/000114036124035942/ef20033584_ex10-7.htm" TargetMode="External"/><Relationship Id="rId193" Type="http://schemas.openxmlformats.org/officeDocument/2006/relationships/hyperlink" Target="https://www.sec.gov/Archives/edgar/data/2006986/000114036124035942/ef20033584_ex10-8.htm" TargetMode="External"/><Relationship Id="rId194" Type="http://schemas.openxmlformats.org/officeDocument/2006/relationships/hyperlink" Target="https://www.sec.gov/Archives/edgar/data/2006986/000114036124035942/ef20033584_ex10-9.htm" TargetMode="External"/><Relationship Id="rId195" Type="http://schemas.openxmlformats.org/officeDocument/2006/relationships/hyperlink" Target="https://www.sec.gov/Archives/edgar/data/2006986/000114036124035942/ef20033584_ex10-10.htm" TargetMode="External"/><Relationship Id="rId196" Type="http://schemas.openxmlformats.org/officeDocument/2006/relationships/hyperlink" Target="https://www.sec.gov/Archives/edgar/data/2006986/000114036124035942/ef20033584_ex10-11.htm" TargetMode="External"/><Relationship Id="rId197" Type="http://schemas.openxmlformats.org/officeDocument/2006/relationships/hyperlink" Target="https://www.sec.gov/Archives/edgar/data/2006986/000114036124035942/ef20033584_ex1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2025-03-27T17:07:28Z</dcterms:created>
  <dcterms:modified xsi:type="dcterms:W3CDTF">2025-03-27T17:07:28Z</dcterms:modified>
</cp:coreProperties>
</file>