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2276475</wp:posOffset>
            </wp:positionH>
            <wp:positionV relativeFrom="page">
              <wp:posOffset>1615440</wp:posOffset>
            </wp:positionV>
            <wp:extent cx="321246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21246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2025 Annual Report</w:t>
      </w:r>
    </w:p>
    <w:p>
      <w:pPr>
        <w:sectPr>
          <w:pgSz w:w="12240" w:h="15840" w:orient="portrait"/>
          <w:cols w:equalWidth="0" w:num="1">
            <w:col w:w="936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adagiomedical.com</w:t>
      </w:r>
    </w:p>
    <w:p>
      <w:pPr>
        <w:sectPr>
          <w:pgSz w:w="12240" w:h="15840" w:orient="portrait"/>
          <w:cols w:equalWidth="0" w:num="1">
            <w:col w:w="9360"/>
          </w:cols>
          <w:pgMar w:left="1440" w:top="1440" w:right="1440" w:bottom="1440" w:gutter="0" w:footer="0" w:header="0"/>
          <w:type w:val="continuous"/>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138"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890270</wp:posOffset>
                </wp:positionV>
                <wp:extent cx="689546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546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70.1pt" to="577.5pt,70.1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438785</wp:posOffset>
                </wp:positionH>
                <wp:positionV relativeFrom="page">
                  <wp:posOffset>955040</wp:posOffset>
                </wp:positionV>
                <wp:extent cx="689546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546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75.2pt" to="577.5pt,75.2pt" o:allowincell="f" strokecolor="#000000" strokeweight="0.96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82550</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pt" to="540pt,6.5pt" o:allowincell="f" strokecolor="#000000" strokeweight="0.95pt"/>
            </w:pict>
          </mc:Fallback>
        </mc:AlternateConten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5pt" to="540pt,8.35pt" o:allowincell="f" strokecolor="#000000" strokeweight="1pt"/>
            </w:pict>
          </mc:Fallback>
        </mc:AlternateConten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7" w:lineRule="exact"/>
        <w:rPr>
          <w:sz w:val="20"/>
          <w:szCs w:val="20"/>
          <w:color w:val="auto"/>
        </w:rPr>
      </w:pPr>
    </w:p>
    <w:p>
      <w:pPr>
        <w:ind w:left="360" w:hanging="360"/>
        <w:spacing w:after="0"/>
        <w:tabs>
          <w:tab w:leader="none" w:pos="360" w:val="left"/>
        </w:tabs>
        <w:numPr>
          <w:ilvl w:val="0"/>
          <w:numId w:val="1"/>
        </w:numPr>
        <w:rPr>
          <w:rFonts w:ascii="Segoe UI Symbol" w:cs="Segoe UI Symbol" w:eastAsia="Segoe UI Symbol" w:hAnsi="Segoe UI Symbol"/>
          <w:sz w:val="14"/>
          <w:szCs w:val="14"/>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94" w:lineRule="exact"/>
        <w:rPr>
          <w:sz w:val="20"/>
          <w:szCs w:val="20"/>
          <w:color w:val="auto"/>
        </w:rPr>
      </w:pPr>
    </w:p>
    <w:p>
      <w:pPr>
        <w:ind w:left="360" w:hanging="360"/>
        <w:spacing w:after="0"/>
        <w:tabs>
          <w:tab w:leader="none" w:pos="360" w:val="left"/>
        </w:tabs>
        <w:numPr>
          <w:ilvl w:val="0"/>
          <w:numId w:val="2"/>
        </w:numPr>
        <w:rPr>
          <w:rFonts w:ascii="Segoe UI Symbol" w:cs="Segoe UI Symbol" w:eastAsia="Segoe UI Symbol" w:hAnsi="Segoe UI Symbol"/>
          <w:sz w:val="14"/>
          <w:szCs w:val="14"/>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001-42199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99695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5pt" to="540pt,7.85pt" o:allowincell="f" strokecolor="#000000" strokeweight="0.95pt"/>
            </w:pict>
          </mc:Fallback>
        </mc:AlternateConten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ADAGIO MEDICAL HOLDINGS,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83820</wp:posOffset>
                </wp:positionV>
                <wp:extent cx="6858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pt" to="540pt,6.6pt" o:allowincell="f" strokecolor="#000000" strokeweight="0.95pt"/>
            </w:pict>
          </mc:Fallback>
        </mc:AlternateConten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tcPr>
          <w:p>
            <w:pPr>
              <w:jc w:val="center"/>
              <w:ind w:left="153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440" w:type="dxa"/>
            <w:vAlign w:val="bottom"/>
          </w:tcPr>
          <w:p>
            <w:pPr>
              <w:spacing w:after="0"/>
              <w:rPr>
                <w:sz w:val="13"/>
                <w:szCs w:val="13"/>
                <w:color w:val="auto"/>
              </w:rPr>
            </w:pPr>
          </w:p>
        </w:tc>
        <w:tc>
          <w:tcPr>
            <w:tcW w:w="3680" w:type="dxa"/>
            <w:vAlign w:val="bottom"/>
            <w:gridSpan w:val="2"/>
          </w:tcPr>
          <w:p>
            <w:pPr>
              <w:jc w:val="right"/>
              <w:ind w:right="2230"/>
              <w:spacing w:after="0"/>
              <w:rPr>
                <w:sz w:val="20"/>
                <w:szCs w:val="20"/>
                <w:color w:val="auto"/>
              </w:rPr>
            </w:pPr>
            <w:r>
              <w:rPr>
                <w:rFonts w:ascii="Times New Roman" w:cs="Times New Roman" w:eastAsia="Times New Roman" w:hAnsi="Times New Roman"/>
                <w:sz w:val="14"/>
                <w:szCs w:val="14"/>
                <w:b w:val="1"/>
                <w:bCs w:val="1"/>
                <w:color w:val="auto"/>
              </w:rPr>
              <w:t>99-1151466</w:t>
            </w:r>
          </w:p>
        </w:tc>
      </w:tr>
      <w:tr>
        <w:trPr>
          <w:trHeight w:val="161"/>
        </w:trPr>
        <w:tc>
          <w:tcPr>
            <w:tcW w:w="3680" w:type="dxa"/>
            <w:vAlign w:val="bottom"/>
            <w:gridSpan w:val="2"/>
          </w:tcPr>
          <w:p>
            <w:pPr>
              <w:jc w:val="center"/>
              <w:ind w:left="1550"/>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60" w:type="dxa"/>
            <w:vAlign w:val="bottom"/>
          </w:tcPr>
          <w:p>
            <w:pPr>
              <w:jc w:val="center"/>
              <w:ind w:right="1750"/>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90"/>
        </w:trPr>
        <w:tc>
          <w:tcPr>
            <w:tcW w:w="3680" w:type="dxa"/>
            <w:vAlign w:val="bottom"/>
            <w:gridSpan w:val="2"/>
          </w:tcPr>
          <w:p>
            <w:pPr>
              <w:jc w:val="center"/>
              <w:ind w:left="155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tcPr>
          <w:p>
            <w:pPr>
              <w:jc w:val="center"/>
              <w:ind w:right="177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01"/>
        </w:trPr>
        <w:tc>
          <w:tcPr>
            <w:tcW w:w="3680" w:type="dxa"/>
            <w:vAlign w:val="bottom"/>
            <w:gridSpan w:val="2"/>
          </w:tcPr>
          <w:p>
            <w:pPr>
              <w:jc w:val="center"/>
              <w:ind w:left="1550"/>
              <w:spacing w:after="0"/>
              <w:rPr>
                <w:sz w:val="20"/>
                <w:szCs w:val="20"/>
                <w:color w:val="auto"/>
              </w:rPr>
            </w:pPr>
            <w:r>
              <w:rPr>
                <w:rFonts w:ascii="Times New Roman" w:cs="Times New Roman" w:eastAsia="Times New Roman" w:hAnsi="Times New Roman"/>
                <w:sz w:val="14"/>
                <w:szCs w:val="14"/>
                <w:b w:val="1"/>
                <w:bCs w:val="1"/>
                <w:color w:val="auto"/>
                <w:w w:val="99"/>
              </w:rPr>
              <w:t>26051 Merit Circle, Suite 102</w:t>
            </w:r>
          </w:p>
        </w:tc>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190"/>
        </w:trPr>
        <w:tc>
          <w:tcPr>
            <w:tcW w:w="3680" w:type="dxa"/>
            <w:vAlign w:val="bottom"/>
            <w:gridSpan w:val="2"/>
          </w:tcPr>
          <w:p>
            <w:pPr>
              <w:jc w:val="center"/>
              <w:ind w:left="1530"/>
              <w:spacing w:after="0"/>
              <w:rPr>
                <w:sz w:val="20"/>
                <w:szCs w:val="20"/>
                <w:color w:val="auto"/>
              </w:rPr>
            </w:pPr>
            <w:r>
              <w:rPr>
                <w:rFonts w:ascii="Times New Roman" w:cs="Times New Roman" w:eastAsia="Times New Roman" w:hAnsi="Times New Roman"/>
                <w:sz w:val="14"/>
                <w:szCs w:val="14"/>
                <w:b w:val="1"/>
                <w:bCs w:val="1"/>
                <w:color w:val="auto"/>
                <w:w w:val="99"/>
              </w:rPr>
              <w:t>Laguna Hills, CA</w:t>
            </w:r>
          </w:p>
        </w:tc>
        <w:tc>
          <w:tcPr>
            <w:tcW w:w="3440" w:type="dxa"/>
            <w:vAlign w:val="bottom"/>
          </w:tcPr>
          <w:p>
            <w:pPr>
              <w:spacing w:after="0"/>
              <w:rPr>
                <w:sz w:val="16"/>
                <w:szCs w:val="16"/>
                <w:color w:val="auto"/>
              </w:rPr>
            </w:pPr>
          </w:p>
        </w:tc>
        <w:tc>
          <w:tcPr>
            <w:tcW w:w="3680" w:type="dxa"/>
            <w:vAlign w:val="bottom"/>
            <w:gridSpan w:val="2"/>
          </w:tcPr>
          <w:p>
            <w:pPr>
              <w:jc w:val="right"/>
              <w:ind w:right="2410"/>
              <w:spacing w:after="0"/>
              <w:rPr>
                <w:sz w:val="20"/>
                <w:szCs w:val="20"/>
                <w:color w:val="auto"/>
              </w:rPr>
            </w:pPr>
            <w:r>
              <w:rPr>
                <w:rFonts w:ascii="Times New Roman" w:cs="Times New Roman" w:eastAsia="Times New Roman" w:hAnsi="Times New Roman"/>
                <w:sz w:val="14"/>
                <w:szCs w:val="14"/>
                <w:b w:val="1"/>
                <w:bCs w:val="1"/>
                <w:color w:val="auto"/>
              </w:rPr>
              <w:t>92653</w:t>
            </w:r>
          </w:p>
        </w:tc>
      </w:tr>
      <w:tr>
        <w:trPr>
          <w:trHeight w:val="230"/>
        </w:trPr>
        <w:tc>
          <w:tcPr>
            <w:tcW w:w="7120" w:type="dxa"/>
            <w:vAlign w:val="bottom"/>
            <w:gridSpan w:val="3"/>
          </w:tcPr>
          <w:p>
            <w:pPr>
              <w:jc w:val="center"/>
              <w:ind w:right="177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 w:type="dxa"/>
            <w:vAlign w:val="bottom"/>
          </w:tcPr>
          <w:p>
            <w:pPr>
              <w:spacing w:after="0"/>
              <w:rPr>
                <w:sz w:val="20"/>
                <w:szCs w:val="20"/>
                <w:color w:val="auto"/>
              </w:rPr>
            </w:pPr>
          </w:p>
        </w:tc>
        <w:tc>
          <w:tcPr>
            <w:tcW w:w="3460" w:type="dxa"/>
            <w:vAlign w:val="bottom"/>
          </w:tcPr>
          <w:p>
            <w:pPr>
              <w:jc w:val="center"/>
              <w:ind w:right="175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29"/>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(949) 348-1188</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138"/>
        </w:trPr>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(Issuer’s telephone number, including area code)</w:t>
            </w:r>
          </w:p>
        </w:tc>
        <w:tc>
          <w:tcPr>
            <w:tcW w:w="22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118"/>
        </w:trPr>
        <w:tc>
          <w:tcPr>
            <w:tcW w:w="3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r>
      <w:tr>
        <w:trPr>
          <w:trHeight w:val="304"/>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3"/>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w:t>
            </w:r>
          </w:p>
        </w:tc>
      </w:tr>
      <w:tr>
        <w:trPr>
          <w:trHeight w:val="177"/>
        </w:trPr>
        <w:tc>
          <w:tcPr>
            <w:tcW w:w="3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134"/>
        </w:trPr>
        <w:tc>
          <w:tcPr>
            <w:tcW w:w="34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Common Stock, par value $0.0001</w:t>
            </w:r>
          </w:p>
        </w:tc>
        <w:tc>
          <w:tcPr>
            <w:tcW w:w="220" w:type="dxa"/>
            <w:vAlign w:val="bottom"/>
          </w:tcPr>
          <w:p>
            <w:pPr>
              <w:spacing w:after="0"/>
              <w:rPr>
                <w:sz w:val="11"/>
                <w:szCs w:val="11"/>
                <w:color w:val="auto"/>
              </w:rPr>
            </w:pPr>
          </w:p>
        </w:tc>
        <w:tc>
          <w:tcPr>
            <w:tcW w:w="34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ADGM</w:t>
            </w:r>
          </w:p>
        </w:tc>
        <w:tc>
          <w:tcPr>
            <w:tcW w:w="220" w:type="dxa"/>
            <w:vAlign w:val="bottom"/>
          </w:tcPr>
          <w:p>
            <w:pPr>
              <w:spacing w:after="0"/>
              <w:rPr>
                <w:sz w:val="11"/>
                <w:szCs w:val="11"/>
                <w:color w:val="auto"/>
              </w:rPr>
            </w:pPr>
          </w:p>
        </w:tc>
        <w:tc>
          <w:tcPr>
            <w:tcW w:w="34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3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tcPr>
          <w:p>
            <w:pPr>
              <w:spacing w:after="0"/>
              <w:rPr>
                <w:sz w:val="16"/>
                <w:szCs w:val="16"/>
                <w:color w:val="auto"/>
              </w:rPr>
            </w:pPr>
          </w:p>
        </w:tc>
      </w:tr>
    </w:tbl>
    <w:p>
      <w:pPr>
        <w:spacing w:after="0" w:line="21" w:lineRule="exact"/>
        <w:rPr>
          <w:sz w:val="20"/>
          <w:szCs w:val="20"/>
          <w:color w:val="auto"/>
        </w:rPr>
      </w:pPr>
    </w:p>
    <w:p>
      <w:pPr>
        <w:ind w:right="3420"/>
        <w:spacing w:after="0" w:line="375"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Segoe UI" w:cs="Segoe UI" w:eastAsia="Segoe UI" w:hAnsi="Segoe UI"/>
          <w:sz w:val="14"/>
          <w:szCs w:val="14"/>
          <w:color w:val="auto"/>
        </w:rPr>
        <w:t>Į</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ĭ</w:t>
      </w:r>
    </w:p>
    <w:p>
      <w:pPr>
        <w:spacing w:after="0" w:line="4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4"/>
          <w:szCs w:val="14"/>
          <w:color w:val="auto"/>
        </w:rPr>
        <w:t>Į</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ĭ</w:t>
      </w:r>
    </w:p>
    <w:p>
      <w:pPr>
        <w:spacing w:after="0" w:line="4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5"/>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40" w:type="dxa"/>
            <w:vAlign w:val="bottom"/>
          </w:tcPr>
          <w:p>
            <w:pPr>
              <w:ind w:left="400"/>
              <w:spacing w:after="0"/>
              <w:rPr>
                <w:sz w:val="20"/>
                <w:szCs w:val="20"/>
                <w:color w:val="auto"/>
              </w:rPr>
            </w:pPr>
            <w:r>
              <w:rPr>
                <w:rFonts w:ascii="Segoe UI Symbol" w:cs="Segoe UI Symbol" w:eastAsia="Segoe UI Symbol" w:hAnsi="Segoe UI Symbol"/>
                <w:sz w:val="14"/>
                <w:szCs w:val="14"/>
                <w:color w:val="auto"/>
              </w:rPr>
              <w:t>☐</w:t>
            </w:r>
          </w:p>
        </w:tc>
        <w:tc>
          <w:tcPr>
            <w:tcW w:w="486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900"/>
              <w:spacing w:after="0"/>
              <w:rPr>
                <w:sz w:val="20"/>
                <w:szCs w:val="20"/>
                <w:color w:val="auto"/>
              </w:rPr>
            </w:pPr>
            <w:r>
              <w:rPr>
                <w:rFonts w:ascii="Segoe UI Symbol" w:cs="Segoe UI Symbol" w:eastAsia="Segoe UI Symbol" w:hAnsi="Segoe UI Symbol"/>
                <w:sz w:val="14"/>
                <w:szCs w:val="14"/>
                <w:color w:val="auto"/>
                <w:w w:val="82"/>
              </w:rPr>
              <w:t>☐</w:t>
            </w:r>
          </w:p>
        </w:tc>
      </w:tr>
      <w:tr>
        <w:trPr>
          <w:trHeight w:val="254"/>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40" w:type="dxa"/>
            <w:vAlign w:val="bottom"/>
          </w:tcPr>
          <w:p>
            <w:pPr>
              <w:ind w:left="400"/>
              <w:spacing w:after="0"/>
              <w:rPr>
                <w:sz w:val="20"/>
                <w:szCs w:val="20"/>
                <w:color w:val="auto"/>
              </w:rPr>
            </w:pPr>
            <w:r>
              <w:rPr>
                <w:rFonts w:ascii="Segoe UI Symbol" w:cs="Segoe UI Symbol" w:eastAsia="Segoe UI Symbol" w:hAnsi="Segoe UI Symbol"/>
                <w:sz w:val="14"/>
                <w:szCs w:val="14"/>
                <w:color w:val="auto"/>
              </w:rPr>
              <w:t>☒</w:t>
            </w:r>
          </w:p>
        </w:tc>
        <w:tc>
          <w:tcPr>
            <w:tcW w:w="486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20" w:type="dxa"/>
            <w:vAlign w:val="bottom"/>
          </w:tcPr>
          <w:p>
            <w:pPr>
              <w:ind w:left="900"/>
              <w:spacing w:after="0"/>
              <w:rPr>
                <w:sz w:val="20"/>
                <w:szCs w:val="20"/>
                <w:color w:val="auto"/>
              </w:rPr>
            </w:pPr>
            <w:r>
              <w:rPr>
                <w:rFonts w:ascii="Segoe UI Symbol" w:cs="Segoe UI Symbol" w:eastAsia="Segoe UI Symbol" w:hAnsi="Segoe UI Symbol"/>
                <w:sz w:val="14"/>
                <w:szCs w:val="14"/>
                <w:color w:val="auto"/>
                <w:w w:val="82"/>
              </w:rPr>
              <w:t>☒</w:t>
            </w:r>
          </w:p>
        </w:tc>
      </w:tr>
      <w:tr>
        <w:trPr>
          <w:trHeight w:val="316"/>
        </w:trPr>
        <w:tc>
          <w:tcPr>
            <w:tcW w:w="1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6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900"/>
              <w:spacing w:after="0"/>
              <w:rPr>
                <w:sz w:val="20"/>
                <w:szCs w:val="20"/>
                <w:color w:val="auto"/>
              </w:rPr>
            </w:pPr>
            <w:r>
              <w:rPr>
                <w:rFonts w:ascii="Segoe UI Symbol" w:cs="Segoe UI Symbol" w:eastAsia="Segoe UI Symbol" w:hAnsi="Segoe UI Symbol"/>
                <w:sz w:val="14"/>
                <w:szCs w:val="14"/>
                <w:color w:val="auto"/>
                <w:w w:val="82"/>
              </w:rPr>
              <w:t>☒</w:t>
            </w:r>
          </w:p>
        </w:tc>
      </w:tr>
    </w:tbl>
    <w:p>
      <w:pPr>
        <w:spacing w:after="0" w:line="5"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4"/>
          <w:szCs w:val="14"/>
          <w:color w:val="auto"/>
        </w:rPr>
        <w:t>ĭ</w:t>
      </w:r>
    </w:p>
    <w:p>
      <w:pPr>
        <w:spacing w:after="0" w:line="41"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ind w:right="140"/>
        <w:spacing w:after="0" w:line="305"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Segoe UI" w:cs="Segoe UI" w:eastAsia="Segoe UI" w:hAnsi="Segoe UI"/>
          <w:sz w:val="14"/>
          <w:szCs w:val="14"/>
          <w:color w:val="auto"/>
        </w:rPr>
        <w:t>ĭ</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Į</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June 30, 2025, the aggregate market value of the common stock of the registrant held by non-affiliates was: $7.0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23, 2026, there were 22,210,459 shares of common stock, $0.0001 par value, issued and outstanding.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in connection with the registrant’s 2026 annual general meeting of shareholders (“2026 Proxy Statement”) are incorporated by reference into Part III of this Form 10 K where indicated. The 2026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50800</wp:posOffset>
                </wp:positionV>
                <wp:extent cx="68948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4pt" to="541.5pt,4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115570</wp:posOffset>
                </wp:positionV>
                <wp:extent cx="68948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9.1pt" to="541.5pt,9.1pt" o:allowincell="f" strokecolor="#000000" strokeweight="3pt"/>
            </w:pict>
          </mc:Fallback>
        </mc:AlternateContent>
      </w:r>
    </w:p>
    <w:p>
      <w:pPr>
        <w:sectPr>
          <w:pgSz w:w="12240" w:h="15840" w:orient="portrait"/>
          <w:cols w:equalWidth="0" w:num="1">
            <w:col w:w="10800"/>
          </w:cols>
          <w:pgMar w:left="720" w:top="1440" w:right="720" w:bottom="597"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Statement Regarding Forward Looking Statements</w:t>
            </w: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55"/>
        </w:trPr>
        <w:tc>
          <w:tcPr>
            <w:tcW w:w="9000" w:type="dxa"/>
            <w:vAlign w:val="bottom"/>
            <w:vMerge w:val="continue"/>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47"/>
        </w:trPr>
        <w:tc>
          <w:tcPr>
            <w:tcW w:w="900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 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1A. 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1C. Cybersecurity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31"/>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2. 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3. 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6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462"/>
        </w:trPr>
        <w:tc>
          <w:tcPr>
            <w:tcW w:w="900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0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Securities</w:t>
            </w: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6. 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28"/>
        </w:trPr>
        <w:tc>
          <w:tcPr>
            <w:tcW w:w="90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Item 9A. Controls and Procedures</w:t>
            </w:r>
          </w:p>
        </w:tc>
        <w:tc>
          <w:tcPr>
            <w:tcW w:w="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9B. 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6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465"/>
        </w:trPr>
        <w:tc>
          <w:tcPr>
            <w:tcW w:w="900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6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14. Principal Accounting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465"/>
        </w:trPr>
        <w:tc>
          <w:tcPr>
            <w:tcW w:w="900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15. Exhibits and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0" w:type="dxa"/>
            <w:vAlign w:val="bottom"/>
          </w:tcPr>
          <w:p>
            <w:pPr>
              <w:spacing w:after="0"/>
              <w:rPr>
                <w:sz w:val="1"/>
                <w:szCs w:val="1"/>
                <w:color w:val="auto"/>
              </w:rPr>
            </w:pPr>
          </w:p>
        </w:tc>
      </w:tr>
      <w:tr>
        <w:trPr>
          <w:trHeight w:val="26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Item 16. 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0" w:type="dxa"/>
            <w:vAlign w:val="bottom"/>
          </w:tcPr>
          <w:p>
            <w:pPr>
              <w:spacing w:after="0"/>
              <w:rPr>
                <w:sz w:val="1"/>
                <w:szCs w:val="1"/>
                <w:color w:val="auto"/>
              </w:rPr>
            </w:pPr>
          </w:p>
        </w:tc>
      </w:tr>
      <w:tr>
        <w:trPr>
          <w:trHeight w:val="461"/>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bl>
    <w:p>
      <w:pPr>
        <w:sectPr>
          <w:pgSz w:w="12240" w:h="15840" w:orient="portrait"/>
          <w:cols w:equalWidth="0" w:num="1">
            <w:col w:w="9720"/>
          </w:cols>
          <w:pgMar w:left="1260" w:top="1244" w:right="1260"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Statement Regarding Forward Looking Statements</w:t>
      </w:r>
    </w:p>
    <w:p>
      <w:pPr>
        <w:spacing w:after="0" w:line="185"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 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371" w:lineRule="exact"/>
        <w:rPr>
          <w:sz w:val="20"/>
          <w:szCs w:val="20"/>
          <w:color w:val="auto"/>
        </w:rPr>
      </w:pPr>
    </w:p>
    <w:p>
      <w:pPr>
        <w:ind w:left="720" w:right="40" w:hanging="352"/>
        <w:spacing w:after="0" w:line="249" w:lineRule="auto"/>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the timing, progress and results of our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ind w:left="720" w:right="34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continue to develop innovative, proprietary products that address significant clinical needs in a manner that is safe and effective for patients and easy-to-use for physicians;</w:t>
      </w:r>
    </w:p>
    <w:p>
      <w:pPr>
        <w:spacing w:after="0" w:line="1" w:lineRule="exact"/>
        <w:rPr>
          <w:rFonts w:ascii="Arial" w:cs="Arial" w:eastAsia="Arial" w:hAnsi="Arial"/>
          <w:sz w:val="16"/>
          <w:szCs w:val="16"/>
          <w:color w:val="auto"/>
        </w:rPr>
      </w:pP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obtain and maintain regulatory clearances or approvals;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demonstrate safety and effectiveness in our sponsored and third-party clinical trials;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increase physician awareness;</w:t>
      </w:r>
    </w:p>
    <w:p>
      <w:pPr>
        <w:ind w:left="720" w:hanging="352"/>
        <w:spacing w:after="0" w:line="237" w:lineRule="auto"/>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obtain and maintain coverage and adequate reimbursement for procedures using our products;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attract and retain skilled research, development, sales and clinical personnel;</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cost-effectively manufacture, market and sell our products;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estimates of our market opportunity;</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expectations regarding the scope of protection from intellectual property rights covering our products;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ind w:left="720" w:hanging="352"/>
        <w:spacing w:after="0" w:line="237" w:lineRule="auto"/>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timing of and results from our clinical trials and other studies;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marketing clearances and authorization from the FDA and regulators in other jurisdictions;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timing of regulatory filings and feedback;</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competition in the markets we serve;</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expectations of the reliability and performance of our products;</w:t>
      </w:r>
    </w:p>
    <w:p>
      <w:pPr>
        <w:ind w:left="720" w:hanging="352"/>
        <w:spacing w:after="0" w:line="238" w:lineRule="auto"/>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expectations of the benefits of our products to patients, providers, and payors;</w:t>
      </w:r>
    </w:p>
    <w:p>
      <w:pPr>
        <w:ind w:left="720" w:right="58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the impact of proposed tariffs on our business, including the impact on gross margins related to our international product sales and the impact of resulting economic uncertainty on demand for our products;</w:t>
      </w:r>
    </w:p>
    <w:p>
      <w:pPr>
        <w:ind w:left="720" w:right="96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reliance on a limited number of suppliers, including sole source suppliers, which may impact the availability of instruments and materials;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sustain or increase demand for our products;</w:t>
      </w:r>
    </w:p>
    <w:p>
      <w:pPr>
        <w:ind w:left="720" w:hanging="352"/>
        <w:spacing w:after="0" w:line="237" w:lineRule="auto"/>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estimates regarding our costs and risks associated with our international operations and expansion;</w:t>
      </w:r>
    </w:p>
    <w:p>
      <w:pPr>
        <w:ind w:left="720" w:right="5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the effects of our corporate prioritization initiative and our expectations regarding our ability to retain and recruit key personnel;</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attract and retain employees, including those with specialized skills and experience;</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expectations regarding strategic operations;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access capital markets;</w:t>
      </w:r>
    </w:p>
    <w:p>
      <w:pPr>
        <w:ind w:left="720" w:hanging="352"/>
        <w:spacing w:after="0" w:line="237" w:lineRule="auto"/>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fund our working capital requirements;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compliance with, and the cost of, federal, state, and foreign regulatory requirements;</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anticipated trends and challenges in our business and the markets in which we operate; and</w:t>
      </w:r>
    </w:p>
    <w:p>
      <w:pPr>
        <w:ind w:left="720" w:hanging="352"/>
        <w:spacing w:after="0"/>
        <w:tabs>
          <w:tab w:leader="none" w:pos="720" w:val="left"/>
        </w:tabs>
        <w:numPr>
          <w:ilvl w:val="0"/>
          <w:numId w:val="3"/>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continue as a going concern.</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20"/>
          </w:cols>
          <w:pgMar w:left="1260" w:top="1244" w:right="1260" w:bottom="719" w:gutter="0" w:footer="0" w:header="0"/>
          <w:type w:val="continuous"/>
        </w:sectPr>
      </w:pPr>
    </w:p>
    <w:bookmarkStart w:id="5" w:name="page6"/>
    <w:bookmarkEnd w:id="5"/>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You should not rely on forward-looking statements as predictions of future events. The outcome of the events described in these forward-looking statements is subject to risks, uncertainties and other factors described under the header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forward-looking statements made in this Annual Report on Form 10 -K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720"/>
          </w:cols>
          <w:pgMar w:left="1260" w:top="1248" w:right="1260" w:bottom="719"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Risk Factor Summary</w:t>
      </w:r>
    </w:p>
    <w:p>
      <w:pPr>
        <w:spacing w:after="0" w:line="229" w:lineRule="exact"/>
        <w:rPr>
          <w:sz w:val="20"/>
          <w:szCs w:val="20"/>
          <w:color w:val="auto"/>
        </w:rPr>
      </w:pPr>
    </w:p>
    <w:p>
      <w:pPr>
        <w:jc w:val="both"/>
        <w:ind w:firstLine="506"/>
        <w:spacing w:after="0" w:line="247" w:lineRule="auto"/>
        <w:rPr>
          <w:sz w:val="20"/>
          <w:szCs w:val="20"/>
          <w:color w:val="auto"/>
        </w:rPr>
      </w:pPr>
      <w:r>
        <w:rPr>
          <w:rFonts w:ascii="Times New Roman" w:cs="Times New Roman" w:eastAsia="Times New Roman" w:hAnsi="Times New Roman"/>
          <w:sz w:val="20"/>
          <w:szCs w:val="20"/>
          <w:color w:val="auto"/>
        </w:rPr>
        <w:t>Below is a summary of material factors that make an investment in our common stock speculative or risky. This summary does not address all of the risks that we face. Additional discussion of the risks summarized in this risk factor summary, and other risks that we face, can be found under the heading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Item 1A of Part I of this Annual Report and should be carefully considered, together with other information in this Annual Report and our other filings with the U.S. Securities and Exchange Commission (“SEC”) before making investment decisions regarding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w:t>
      </w:r>
    </w:p>
    <w:p>
      <w:pPr>
        <w:spacing w:after="0" w:line="120" w:lineRule="exact"/>
        <w:rPr>
          <w:sz w:val="20"/>
          <w:szCs w:val="20"/>
          <w:color w:val="auto"/>
        </w:rPr>
      </w:pPr>
    </w:p>
    <w:p>
      <w:pPr>
        <w:ind w:left="720" w:right="20" w:hanging="352"/>
        <w:spacing w:after="0" w:line="255" w:lineRule="auto"/>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We have incurred net losses and our financial conditions raise substantial doubt about our ability to continue as a going concern.</w:t>
      </w:r>
    </w:p>
    <w:p>
      <w:pPr>
        <w:ind w:left="720" w:right="20" w:hanging="352"/>
        <w:spacing w:after="0" w:line="239" w:lineRule="auto"/>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We have a limited operating history and no history of commercializing products, which may make it difficult for an investor to evaluate the success of our business to date and to assess our future viability.</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We may need to raise additional capital to fund our development and commercialization plans.</w:t>
      </w:r>
    </w:p>
    <w:p>
      <w:pPr>
        <w:ind w:left="720" w:right="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Raising additional capital may cause dilution to our stockholders, restrict our operations or require us to relinquish rights to our technologies or product candidates.</w:t>
      </w:r>
    </w:p>
    <w:p>
      <w:pPr>
        <w:spacing w:after="0" w:line="1" w:lineRule="exact"/>
        <w:rPr>
          <w:rFonts w:ascii="Arial" w:cs="Arial" w:eastAsia="Arial" w:hAnsi="Arial"/>
          <w:sz w:val="16"/>
          <w:szCs w:val="16"/>
          <w:color w:val="auto"/>
        </w:rPr>
      </w:pPr>
    </w:p>
    <w:p>
      <w:pPr>
        <w:ind w:left="720" w:hanging="352"/>
        <w:spacing w:after="0" w:line="239" w:lineRule="auto"/>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Changes in our business strategy or restructuring of our businesses may increase our costs or otherwise affect the profitability of our businesses or the value of our assets.</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Our growth and revenue prospects depend on our ability to accelerate the commercialization of our products.</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Our operating results may fluctuate significantly, which makes our future operating results difficult to predict.</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There is no assurance that we will be able to execute on our business model.</w:t>
      </w:r>
    </w:p>
    <w:p>
      <w:pPr>
        <w:ind w:left="720" w:right="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The size of the markets for our products may be smaller than estimated, limiting our ability to successfully sell products.</w:t>
      </w:r>
    </w:p>
    <w:p>
      <w:pPr>
        <w:ind w:left="720" w:hanging="352"/>
        <w:spacing w:after="0" w:line="237" w:lineRule="auto"/>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Significant disruption in our information technology systems or security incidents could adversely affect us.</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We may be unable to manage our anticipated growth effectively.</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Acquisitions or strategic partnerships could increase our capital requirements and otherwise disrupt our operations.</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If we are unable to recruit and retain key executives and scientists, we may be unable to achieve our goals.</w:t>
      </w:r>
    </w:p>
    <w:p>
      <w:pPr>
        <w:ind w:left="720" w:hanging="352"/>
        <w:spacing w:after="0" w:line="239" w:lineRule="auto"/>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Consolidation in the medical device industry could have an adverse effect on our revenue and results of operations.</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Unfavorable U.S. or global economic conditions could adversely affect us.</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Incorrect estimates or judgments relating to our critical accounting policies could cause a decline in our stock.</w:t>
      </w:r>
    </w:p>
    <w:p>
      <w:pPr>
        <w:ind w:left="720" w:hanging="352"/>
        <w:spacing w:after="0"/>
        <w:tabs>
          <w:tab w:leader="none" w:pos="720" w:val="left"/>
        </w:tabs>
        <w:numPr>
          <w:ilvl w:val="0"/>
          <w:numId w:val="4"/>
        </w:numPr>
        <w:rPr>
          <w:rFonts w:ascii="Arial" w:cs="Arial" w:eastAsia="Arial" w:hAnsi="Arial"/>
          <w:sz w:val="16"/>
          <w:szCs w:val="16"/>
          <w:color w:val="auto"/>
        </w:rPr>
      </w:pPr>
      <w:r>
        <w:rPr>
          <w:rFonts w:ascii="Times New Roman" w:cs="Times New Roman" w:eastAsia="Times New Roman" w:hAnsi="Times New Roman"/>
          <w:sz w:val="20"/>
          <w:szCs w:val="20"/>
          <w:color w:val="auto"/>
        </w:rPr>
        <w:t>Unavailable or inoperable facilities could adversely affect our business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Products</w:t>
      </w:r>
    </w:p>
    <w:p>
      <w:pPr>
        <w:spacing w:after="0" w:line="132" w:lineRule="exact"/>
        <w:rPr>
          <w:sz w:val="20"/>
          <w:szCs w:val="20"/>
          <w:color w:val="auto"/>
        </w:rPr>
      </w:pPr>
    </w:p>
    <w:p>
      <w:pPr>
        <w:ind w:left="7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If our clinical trials are unsuccessful, significantly delayed or incomplete, our business may be harmed.</w:t>
      </w:r>
    </w:p>
    <w:p>
      <w:pPr>
        <w:spacing w:after="0" w:line="28" w:lineRule="exact"/>
        <w:rPr>
          <w:rFonts w:ascii="Arial" w:cs="Arial" w:eastAsia="Arial" w:hAnsi="Arial"/>
          <w:sz w:val="16"/>
          <w:szCs w:val="16"/>
          <w:color w:val="auto"/>
        </w:rPr>
      </w:pPr>
    </w:p>
    <w:p>
      <w:pPr>
        <w:ind w:left="720" w:right="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Planned trials may not establish an adequate safety or efficacy profile for our products, which would affect market acceptance of our products.</w:t>
      </w:r>
    </w:p>
    <w:p>
      <w:pPr>
        <w:ind w:left="7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establish relationships with partners may affect the commercialization of our products.</w:t>
      </w:r>
    </w:p>
    <w:p>
      <w:pPr>
        <w:ind w:left="720" w:hanging="352"/>
        <w:spacing w:after="0" w:line="237" w:lineRule="auto"/>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establish an effective network for commercialization may adversely affect our business.</w:t>
      </w:r>
    </w:p>
    <w:p>
      <w:pPr>
        <w:ind w:left="7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appropriately train physicians and select patients may negatively affect our products.</w:t>
      </w:r>
    </w:p>
    <w:p>
      <w:pPr>
        <w:ind w:left="7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If we fail to improve our products or introduce new products, our prospects could be harmed.</w:t>
      </w:r>
    </w:p>
    <w:p>
      <w:pPr>
        <w:ind w:left="7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establish manufacturing capacity could delay commercialization of our products.</w:t>
      </w:r>
    </w:p>
    <w:p>
      <w:pPr>
        <w:ind w:left="7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Difficulties with third-party suppliers and manufacturers could harm our business.</w:t>
      </w:r>
    </w:p>
    <w:p>
      <w:pPr>
        <w:ind w:left="720" w:hanging="352"/>
        <w:spacing w:after="0"/>
        <w:tabs>
          <w:tab w:leader="none" w:pos="720" w:val="left"/>
        </w:tabs>
        <w:numPr>
          <w:ilvl w:val="0"/>
          <w:numId w:val="5"/>
        </w:numPr>
        <w:rPr>
          <w:rFonts w:ascii="Arial" w:cs="Arial" w:eastAsia="Arial" w:hAnsi="Arial"/>
          <w:sz w:val="16"/>
          <w:szCs w:val="16"/>
          <w:color w:val="auto"/>
        </w:rPr>
      </w:pPr>
      <w:r>
        <w:rPr>
          <w:rFonts w:ascii="Times New Roman" w:cs="Times New Roman" w:eastAsia="Times New Roman" w:hAnsi="Times New Roman"/>
          <w:sz w:val="20"/>
          <w:szCs w:val="20"/>
          <w:color w:val="auto"/>
        </w:rPr>
        <w:t>Our products could have unknown defects or errors, which may give rise to claims against us.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248" w:right="1260" w:bottom="719"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Intellectual Property</w:t>
      </w:r>
    </w:p>
    <w:p>
      <w:pPr>
        <w:spacing w:after="0" w:line="121" w:lineRule="exact"/>
        <w:rPr>
          <w:sz w:val="20"/>
          <w:szCs w:val="20"/>
          <w:color w:val="auto"/>
        </w:rPr>
      </w:pPr>
    </w:p>
    <w:p>
      <w:pPr>
        <w:ind w:left="720" w:hanging="352"/>
        <w:spacing w:after="0"/>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obtain and maintain sufficient intellectual property (“IP”) protection could adversely affect us.</w:t>
      </w:r>
    </w:p>
    <w:p>
      <w:pPr>
        <w:spacing w:after="0" w:line="26" w:lineRule="exact"/>
        <w:rPr>
          <w:rFonts w:ascii="Arial" w:cs="Arial" w:eastAsia="Arial" w:hAnsi="Arial"/>
          <w:sz w:val="16"/>
          <w:szCs w:val="16"/>
          <w:color w:val="auto"/>
        </w:rPr>
      </w:pPr>
    </w:p>
    <w:p>
      <w:pPr>
        <w:ind w:left="720" w:hanging="352"/>
        <w:spacing w:after="0"/>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Changes in U.S. law relating to intellectual property may adversely impact our business.</w:t>
      </w:r>
    </w:p>
    <w:p>
      <w:pPr>
        <w:ind w:left="720" w:hanging="352"/>
        <w:spacing w:after="0"/>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We may not be able to protect our IP rights throughout the world, which could harm our business prospects.</w:t>
      </w:r>
    </w:p>
    <w:p>
      <w:pPr>
        <w:ind w:left="720" w:hanging="352"/>
        <w:spacing w:after="0"/>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Expensive, time-consuming IP lawsuits may prevent or delay our efforts.</w:t>
      </w:r>
    </w:p>
    <w:p>
      <w:pPr>
        <w:ind w:left="720" w:right="20" w:hanging="352"/>
        <w:spacing w:after="0"/>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Issued patents covering our products could be found invalid or unenforceable if challenged and could materially impact our business.</w:t>
      </w:r>
    </w:p>
    <w:p>
      <w:pPr>
        <w:ind w:left="720" w:hanging="352"/>
        <w:spacing w:after="0" w:line="237" w:lineRule="auto"/>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protect our trade secrets could materially, adversely affect the value of our technology.</w:t>
      </w:r>
    </w:p>
    <w:p>
      <w:pPr>
        <w:ind w:left="720" w:hanging="352"/>
        <w:spacing w:after="0"/>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We may be subject to claims challenging the inventorship or ownership of our patents and other IP.</w:t>
      </w:r>
    </w:p>
    <w:p>
      <w:pPr>
        <w:ind w:left="720" w:hanging="352"/>
        <w:spacing w:after="0"/>
        <w:tabs>
          <w:tab w:leader="none" w:pos="720" w:val="left"/>
        </w:tabs>
        <w:numPr>
          <w:ilvl w:val="0"/>
          <w:numId w:val="6"/>
        </w:numPr>
        <w:rPr>
          <w:rFonts w:ascii="Arial" w:cs="Arial" w:eastAsia="Arial" w:hAnsi="Arial"/>
          <w:sz w:val="16"/>
          <w:szCs w:val="16"/>
          <w:color w:val="auto"/>
        </w:rPr>
      </w:pPr>
      <w:r>
        <w:rPr>
          <w:rFonts w:ascii="Times New Roman" w:cs="Times New Roman" w:eastAsia="Times New Roman" w:hAnsi="Times New Roman"/>
          <w:sz w:val="20"/>
          <w:szCs w:val="20"/>
          <w:color w:val="auto"/>
        </w:rPr>
        <w:t>We may not be able to protect and enforce our trademarks and trade names or build name recognition.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Regulatory and Legal Compliance Matters</w:t>
      </w:r>
    </w:p>
    <w:p>
      <w:pPr>
        <w:spacing w:after="0" w:line="120" w:lineRule="exact"/>
        <w:rPr>
          <w:sz w:val="20"/>
          <w:szCs w:val="20"/>
          <w:color w:val="auto"/>
        </w:rPr>
      </w:pPr>
    </w:p>
    <w:p>
      <w:pPr>
        <w:ind w:left="720" w:hanging="352"/>
        <w:spacing w:after="0" w:line="253" w:lineRule="auto"/>
        <w:tabs>
          <w:tab w:leader="none" w:pos="720" w:val="left"/>
        </w:tabs>
        <w:numPr>
          <w:ilvl w:val="0"/>
          <w:numId w:val="7"/>
        </w:numPr>
        <w:rPr>
          <w:rFonts w:ascii="Arial" w:cs="Arial" w:eastAsia="Arial" w:hAnsi="Arial"/>
          <w:sz w:val="16"/>
          <w:szCs w:val="16"/>
          <w:color w:val="auto"/>
        </w:rPr>
      </w:pPr>
      <w:r>
        <w:rPr>
          <w:rFonts w:ascii="Times New Roman" w:cs="Times New Roman" w:eastAsia="Times New Roman" w:hAnsi="Times New Roman"/>
          <w:sz w:val="20"/>
          <w:szCs w:val="20"/>
          <w:color w:val="auto"/>
        </w:rPr>
        <w:t>There are no assurances that we will obtain the necessary approvals from the U.S. Food and Drug Administration (“FDA”).</w:t>
      </w:r>
    </w:p>
    <w:p>
      <w:pPr>
        <w:spacing w:after="0" w:line="1" w:lineRule="exact"/>
        <w:rPr>
          <w:rFonts w:ascii="Arial" w:cs="Arial" w:eastAsia="Arial" w:hAnsi="Arial"/>
          <w:sz w:val="16"/>
          <w:szCs w:val="16"/>
          <w:color w:val="auto"/>
        </w:rPr>
      </w:pPr>
    </w:p>
    <w:p>
      <w:pPr>
        <w:ind w:left="720" w:hanging="352"/>
        <w:spacing w:after="0"/>
        <w:tabs>
          <w:tab w:leader="none" w:pos="720" w:val="left"/>
        </w:tabs>
        <w:numPr>
          <w:ilvl w:val="0"/>
          <w:numId w:val="7"/>
        </w:numPr>
        <w:rPr>
          <w:rFonts w:ascii="Arial" w:cs="Arial" w:eastAsia="Arial" w:hAnsi="Arial"/>
          <w:sz w:val="16"/>
          <w:szCs w:val="16"/>
          <w:color w:val="auto"/>
        </w:rPr>
      </w:pPr>
      <w:r>
        <w:rPr>
          <w:rFonts w:ascii="Times New Roman" w:cs="Times New Roman" w:eastAsia="Times New Roman" w:hAnsi="Times New Roman"/>
          <w:sz w:val="20"/>
          <w:szCs w:val="20"/>
          <w:color w:val="auto"/>
        </w:rPr>
        <w:t>We may be subject to enforcement action if we engage in improper or off-label marketing or promotion.</w:t>
      </w:r>
    </w:p>
    <w:p>
      <w:pPr>
        <w:ind w:left="720" w:hanging="352"/>
        <w:spacing w:after="0"/>
        <w:tabs>
          <w:tab w:leader="none" w:pos="720" w:val="left"/>
        </w:tabs>
        <w:numPr>
          <w:ilvl w:val="0"/>
          <w:numId w:val="7"/>
        </w:numPr>
        <w:rPr>
          <w:rFonts w:ascii="Arial" w:cs="Arial" w:eastAsia="Arial" w:hAnsi="Arial"/>
          <w:sz w:val="16"/>
          <w:szCs w:val="16"/>
          <w:color w:val="auto"/>
        </w:rPr>
      </w:pPr>
      <w:r>
        <w:rPr>
          <w:rFonts w:ascii="Times New Roman" w:cs="Times New Roman" w:eastAsia="Times New Roman" w:hAnsi="Times New Roman"/>
          <w:sz w:val="20"/>
          <w:szCs w:val="20"/>
          <w:color w:val="auto"/>
        </w:rPr>
        <w:t>Our business could be negatively impacted by changes in the United States political environment.</w:t>
      </w:r>
    </w:p>
    <w:p>
      <w:pPr>
        <w:spacing w:after="0" w:line="1" w:lineRule="exact"/>
        <w:rPr>
          <w:rFonts w:ascii="Arial" w:cs="Arial" w:eastAsia="Arial" w:hAnsi="Arial"/>
          <w:sz w:val="16"/>
          <w:szCs w:val="16"/>
          <w:color w:val="auto"/>
        </w:rPr>
      </w:pPr>
    </w:p>
    <w:p>
      <w:pPr>
        <w:ind w:left="720" w:hanging="352"/>
        <w:spacing w:after="0"/>
        <w:tabs>
          <w:tab w:leader="none" w:pos="720" w:val="left"/>
        </w:tabs>
        <w:numPr>
          <w:ilvl w:val="0"/>
          <w:numId w:val="7"/>
        </w:numPr>
        <w:rPr>
          <w:rFonts w:ascii="Arial" w:cs="Arial" w:eastAsia="Arial" w:hAnsi="Arial"/>
          <w:sz w:val="16"/>
          <w:szCs w:val="16"/>
          <w:color w:val="auto"/>
        </w:rPr>
      </w:pPr>
      <w:r>
        <w:rPr>
          <w:rFonts w:ascii="Times New Roman" w:cs="Times New Roman" w:eastAsia="Times New Roman" w:hAnsi="Times New Roman"/>
          <w:sz w:val="20"/>
          <w:szCs w:val="20"/>
          <w:color w:val="auto"/>
        </w:rPr>
        <w:t>Adverse findings in post-marketing vigilance or regulatory audits could materially and adversely us.</w:t>
      </w:r>
    </w:p>
    <w:p>
      <w:pPr>
        <w:ind w:left="720" w:hanging="352"/>
        <w:spacing w:after="0"/>
        <w:tabs>
          <w:tab w:leader="none" w:pos="720" w:val="left"/>
        </w:tabs>
        <w:numPr>
          <w:ilvl w:val="0"/>
          <w:numId w:val="7"/>
        </w:numPr>
        <w:rPr>
          <w:rFonts w:ascii="Arial" w:cs="Arial" w:eastAsia="Arial" w:hAnsi="Arial"/>
          <w:sz w:val="16"/>
          <w:szCs w:val="16"/>
          <w:color w:val="auto"/>
        </w:rPr>
      </w:pPr>
      <w:r>
        <w:rPr>
          <w:rFonts w:ascii="Times New Roman" w:cs="Times New Roman" w:eastAsia="Times New Roman" w:hAnsi="Times New Roman"/>
          <w:sz w:val="20"/>
          <w:szCs w:val="20"/>
          <w:color w:val="auto"/>
        </w:rPr>
        <w:t>We may be subject to enforcement action if we engage in improper marketing of our products.</w:t>
      </w:r>
    </w:p>
    <w:p>
      <w:pPr>
        <w:ind w:left="720" w:hanging="352"/>
        <w:spacing w:after="0"/>
        <w:tabs>
          <w:tab w:leader="none" w:pos="720" w:val="left"/>
        </w:tabs>
        <w:numPr>
          <w:ilvl w:val="0"/>
          <w:numId w:val="7"/>
        </w:numPr>
        <w:rPr>
          <w:rFonts w:ascii="Arial" w:cs="Arial" w:eastAsia="Arial" w:hAnsi="Arial"/>
          <w:sz w:val="16"/>
          <w:szCs w:val="16"/>
          <w:color w:val="auto"/>
        </w:rPr>
      </w:pPr>
      <w:r>
        <w:rPr>
          <w:rFonts w:ascii="Times New Roman" w:cs="Times New Roman" w:eastAsia="Times New Roman" w:hAnsi="Times New Roman"/>
          <w:sz w:val="20"/>
          <w:szCs w:val="20"/>
          <w:color w:val="auto"/>
        </w:rPr>
        <w:t>Our actual or perceived failure to comply with regulations could harm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Litigation and Regulation</w:t>
      </w:r>
    </w:p>
    <w:p>
      <w:pPr>
        <w:spacing w:after="0" w:line="118" w:lineRule="exact"/>
        <w:rPr>
          <w:sz w:val="20"/>
          <w:szCs w:val="20"/>
          <w:color w:val="auto"/>
        </w:rPr>
      </w:pPr>
    </w:p>
    <w:p>
      <w:pPr>
        <w:ind w:left="720" w:hanging="352"/>
        <w:spacing w:after="0"/>
        <w:tabs>
          <w:tab w:leader="none" w:pos="720" w:val="left"/>
        </w:tabs>
        <w:numPr>
          <w:ilvl w:val="0"/>
          <w:numId w:val="8"/>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comply with laws and regulations could result in litigation and substantially harm our business.</w:t>
      </w:r>
    </w:p>
    <w:p>
      <w:pPr>
        <w:spacing w:after="0" w:line="28" w:lineRule="exact"/>
        <w:rPr>
          <w:rFonts w:ascii="Arial" w:cs="Arial" w:eastAsia="Arial" w:hAnsi="Arial"/>
          <w:sz w:val="16"/>
          <w:szCs w:val="16"/>
          <w:color w:val="auto"/>
        </w:rPr>
      </w:pPr>
    </w:p>
    <w:p>
      <w:pPr>
        <w:ind w:left="720" w:hanging="352"/>
        <w:spacing w:after="0"/>
        <w:tabs>
          <w:tab w:leader="none" w:pos="720" w:val="left"/>
        </w:tabs>
        <w:numPr>
          <w:ilvl w:val="0"/>
          <w:numId w:val="8"/>
        </w:numPr>
        <w:rPr>
          <w:rFonts w:ascii="Arial" w:cs="Arial" w:eastAsia="Arial" w:hAnsi="Arial"/>
          <w:sz w:val="16"/>
          <w:szCs w:val="16"/>
          <w:color w:val="auto"/>
        </w:rPr>
      </w:pPr>
      <w:r>
        <w:rPr>
          <w:rFonts w:ascii="Times New Roman" w:cs="Times New Roman" w:eastAsia="Times New Roman" w:hAnsi="Times New Roman"/>
          <w:sz w:val="20"/>
          <w:szCs w:val="20"/>
          <w:color w:val="auto"/>
        </w:rPr>
        <w:t>We are subject to risks relating to disputes and other legal proceedings, product liability lawsuits, that may be time consuming and costly.</w:t>
      </w:r>
    </w:p>
    <w:p>
      <w:pPr>
        <w:ind w:left="720" w:hanging="352"/>
        <w:spacing w:after="0"/>
        <w:tabs>
          <w:tab w:leader="none" w:pos="720" w:val="left"/>
        </w:tabs>
        <w:numPr>
          <w:ilvl w:val="0"/>
          <w:numId w:val="8"/>
        </w:numPr>
        <w:rPr>
          <w:rFonts w:ascii="Arial" w:cs="Arial" w:eastAsia="Arial" w:hAnsi="Arial"/>
          <w:sz w:val="16"/>
          <w:szCs w:val="16"/>
          <w:color w:val="auto"/>
        </w:rPr>
      </w:pPr>
      <w:r>
        <w:rPr>
          <w:rFonts w:ascii="Times New Roman" w:cs="Times New Roman" w:eastAsia="Times New Roman" w:hAnsi="Times New Roman"/>
          <w:sz w:val="20"/>
          <w:szCs w:val="20"/>
          <w:color w:val="auto"/>
        </w:rPr>
        <w:t>Failure to comply with applicable international trade and sanctions regulations may harm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Financing Transactions</w:t>
      </w:r>
    </w:p>
    <w:p>
      <w:pPr>
        <w:spacing w:after="0" w:line="120" w:lineRule="exact"/>
        <w:rPr>
          <w:sz w:val="20"/>
          <w:szCs w:val="20"/>
          <w:color w:val="auto"/>
        </w:rPr>
      </w:pPr>
    </w:p>
    <w:p>
      <w:pPr>
        <w:ind w:left="720" w:hanging="352"/>
        <w:spacing w:after="0"/>
        <w:tabs>
          <w:tab w:leader="none" w:pos="720" w:val="left"/>
        </w:tabs>
        <w:numPr>
          <w:ilvl w:val="0"/>
          <w:numId w:val="9"/>
        </w:numPr>
        <w:rPr>
          <w:rFonts w:ascii="Arial" w:cs="Arial" w:eastAsia="Arial" w:hAnsi="Arial"/>
          <w:sz w:val="16"/>
          <w:szCs w:val="16"/>
          <w:color w:val="auto"/>
        </w:rPr>
      </w:pPr>
      <w:r>
        <w:rPr>
          <w:rFonts w:ascii="Times New Roman" w:cs="Times New Roman" w:eastAsia="Times New Roman" w:hAnsi="Times New Roman"/>
          <w:sz w:val="20"/>
          <w:szCs w:val="20"/>
          <w:color w:val="auto"/>
        </w:rPr>
        <w:t>There are risks associated with our convertible notes that could adversely affect our financial condition.</w:t>
      </w:r>
    </w:p>
    <w:p>
      <w:pPr>
        <w:spacing w:after="0" w:line="26" w:lineRule="exact"/>
        <w:rPr>
          <w:rFonts w:ascii="Arial" w:cs="Arial" w:eastAsia="Arial" w:hAnsi="Arial"/>
          <w:sz w:val="16"/>
          <w:szCs w:val="16"/>
          <w:color w:val="auto"/>
        </w:rPr>
      </w:pPr>
    </w:p>
    <w:p>
      <w:pPr>
        <w:ind w:left="720" w:hanging="352"/>
        <w:spacing w:after="0"/>
        <w:tabs>
          <w:tab w:leader="none" w:pos="720" w:val="left"/>
        </w:tabs>
        <w:numPr>
          <w:ilvl w:val="0"/>
          <w:numId w:val="9"/>
        </w:numPr>
        <w:rPr>
          <w:rFonts w:ascii="Arial" w:cs="Arial" w:eastAsia="Arial" w:hAnsi="Arial"/>
          <w:sz w:val="16"/>
          <w:szCs w:val="16"/>
          <w:color w:val="auto"/>
        </w:rPr>
      </w:pPr>
      <w:r>
        <w:rPr>
          <w:rFonts w:ascii="Times New Roman" w:cs="Times New Roman" w:eastAsia="Times New Roman" w:hAnsi="Times New Roman"/>
          <w:sz w:val="20"/>
          <w:szCs w:val="20"/>
          <w:color w:val="auto"/>
        </w:rPr>
        <w:t>We are subject to risks relating to increased interest rates and adverse developments in the credit markets.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Tax</w:t>
      </w:r>
    </w:p>
    <w:p>
      <w:pPr>
        <w:spacing w:after="0" w:line="121" w:lineRule="exact"/>
        <w:rPr>
          <w:sz w:val="20"/>
          <w:szCs w:val="20"/>
          <w:color w:val="auto"/>
        </w:rPr>
      </w:pPr>
    </w:p>
    <w:p>
      <w:pPr>
        <w:ind w:left="720" w:hanging="352"/>
        <w:spacing w:after="0"/>
        <w:tabs>
          <w:tab w:leader="none" w:pos="720" w:val="left"/>
        </w:tabs>
        <w:numPr>
          <w:ilvl w:val="0"/>
          <w:numId w:val="10"/>
        </w:numPr>
        <w:rPr>
          <w:rFonts w:ascii="Arial" w:cs="Arial" w:eastAsia="Arial" w:hAnsi="Arial"/>
          <w:sz w:val="16"/>
          <w:szCs w:val="16"/>
          <w:color w:val="auto"/>
        </w:rPr>
      </w:pPr>
      <w:r>
        <w:rPr>
          <w:rFonts w:ascii="Times New Roman" w:cs="Times New Roman" w:eastAsia="Times New Roman" w:hAnsi="Times New Roman"/>
          <w:sz w:val="20"/>
          <w:szCs w:val="20"/>
          <w:color w:val="auto"/>
        </w:rPr>
        <w:t>Our ability to use NOL carryforwards and other tax attributes may be limited.</w:t>
      </w:r>
    </w:p>
    <w:p>
      <w:pPr>
        <w:spacing w:after="0" w:line="28" w:lineRule="exact"/>
        <w:rPr>
          <w:rFonts w:ascii="Arial" w:cs="Arial" w:eastAsia="Arial" w:hAnsi="Arial"/>
          <w:sz w:val="16"/>
          <w:szCs w:val="16"/>
          <w:color w:val="auto"/>
        </w:rPr>
      </w:pPr>
    </w:p>
    <w:p>
      <w:pPr>
        <w:ind w:left="720" w:hanging="352"/>
        <w:spacing w:after="0"/>
        <w:tabs>
          <w:tab w:leader="none" w:pos="720" w:val="left"/>
        </w:tabs>
        <w:numPr>
          <w:ilvl w:val="0"/>
          <w:numId w:val="10"/>
        </w:numPr>
        <w:rPr>
          <w:rFonts w:ascii="Arial" w:cs="Arial" w:eastAsia="Arial" w:hAnsi="Arial"/>
          <w:sz w:val="16"/>
          <w:szCs w:val="16"/>
          <w:color w:val="auto"/>
        </w:rPr>
      </w:pPr>
      <w:r>
        <w:rPr>
          <w:rFonts w:ascii="Times New Roman" w:cs="Times New Roman" w:eastAsia="Times New Roman" w:hAnsi="Times New Roman"/>
          <w:sz w:val="20"/>
          <w:szCs w:val="20"/>
          <w:color w:val="auto"/>
        </w:rPr>
        <w:t>The 1% U.S. federal excise tax could be imposed on us in connection with redemptions by us of our stock.</w:t>
      </w:r>
    </w:p>
    <w:p>
      <w:pPr>
        <w:ind w:left="720" w:hanging="352"/>
        <w:spacing w:after="0"/>
        <w:tabs>
          <w:tab w:leader="none" w:pos="720" w:val="left"/>
        </w:tabs>
        <w:numPr>
          <w:ilvl w:val="0"/>
          <w:numId w:val="10"/>
        </w:numPr>
        <w:rPr>
          <w:rFonts w:ascii="Arial" w:cs="Arial" w:eastAsia="Arial" w:hAnsi="Arial"/>
          <w:sz w:val="16"/>
          <w:szCs w:val="16"/>
          <w:color w:val="auto"/>
        </w:rPr>
      </w:pPr>
      <w:r>
        <w:rPr>
          <w:rFonts w:ascii="Times New Roman" w:cs="Times New Roman" w:eastAsia="Times New Roman" w:hAnsi="Times New Roman"/>
          <w:sz w:val="20"/>
          <w:szCs w:val="20"/>
          <w:color w:val="auto"/>
        </w:rPr>
        <w:t>Any changes in tax law, or in the application thereof, may adversely impact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Ownership of Our Securities</w:t>
      </w:r>
    </w:p>
    <w:p>
      <w:pPr>
        <w:spacing w:after="0" w:line="120" w:lineRule="exact"/>
        <w:rPr>
          <w:sz w:val="20"/>
          <w:szCs w:val="20"/>
          <w:color w:val="auto"/>
        </w:rPr>
      </w:pPr>
    </w:p>
    <w:p>
      <w:pPr>
        <w:ind w:left="720" w:hanging="352"/>
        <w:spacing w:after="0" w:line="255" w:lineRule="auto"/>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The Perceptive PIPE Investor (defined herein) may have control over key decision making as a result of its voting power.</w:t>
      </w:r>
    </w:p>
    <w:p>
      <w:pPr>
        <w:ind w:left="720" w:hanging="352"/>
        <w:spacing w:after="0"/>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We may use our financial resources in ways with which you do not agree or yield a favorable return.</w:t>
      </w:r>
    </w:p>
    <w:p>
      <w:pPr>
        <w:ind w:left="720" w:hanging="352"/>
        <w:spacing w:after="0" w:line="239" w:lineRule="auto"/>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Our status as an “emerging growth company” and “smaller reporting company” could make our stock less attractive.</w:t>
      </w:r>
    </w:p>
    <w:p>
      <w:pPr>
        <w:ind w:left="720" w:hanging="352"/>
        <w:spacing w:after="0"/>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Our stock price may be volatile and may decline regardless of our operating performance.</w:t>
      </w:r>
    </w:p>
    <w:p>
      <w:pPr>
        <w:ind w:left="720" w:hanging="352"/>
        <w:spacing w:after="0"/>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We may be unable to maintain the listing of our securities on Nasdaq in the future.</w:t>
      </w:r>
    </w:p>
    <w:p>
      <w:pPr>
        <w:ind w:left="720" w:hanging="352"/>
        <w:spacing w:after="0"/>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An active trading market for our common stock may not be sustained.</w:t>
      </w:r>
    </w:p>
    <w:p>
      <w:pPr>
        <w:ind w:left="720" w:hanging="352"/>
        <w:spacing w:after="0"/>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Future sales of shares by existing stockholders could cause our stock price to decline.</w:t>
      </w:r>
    </w:p>
    <w:p>
      <w:pPr>
        <w:ind w:left="720" w:hanging="352"/>
        <w:spacing w:after="0"/>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Issuance of additional shares of common stock or other equity securities would dilute your ownership.</w:t>
      </w:r>
    </w:p>
    <w:p>
      <w:pPr>
        <w:spacing w:after="0" w:line="1" w:lineRule="exact"/>
        <w:rPr>
          <w:rFonts w:ascii="Arial" w:cs="Arial" w:eastAsia="Arial" w:hAnsi="Arial"/>
          <w:sz w:val="16"/>
          <w:szCs w:val="16"/>
          <w:color w:val="auto"/>
        </w:rPr>
      </w:pPr>
    </w:p>
    <w:p>
      <w:pPr>
        <w:ind w:left="720" w:hanging="352"/>
        <w:spacing w:after="0" w:line="237" w:lineRule="auto"/>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Inaccurate or unfavorable research publication about us could decline our common stock.</w:t>
      </w:r>
    </w:p>
    <w:p>
      <w:pPr>
        <w:ind w:left="720" w:right="20" w:hanging="352"/>
        <w:spacing w:after="0"/>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Delaware law and provisions in our Charter and Bylaws could make a merger, tender offer, or proxy contest difficult, thereby depressing the trading price of our common stock.</w:t>
      </w:r>
    </w:p>
    <w:p>
      <w:pPr>
        <w:jc w:val="both"/>
        <w:ind w:left="720" w:hanging="352"/>
        <w:spacing w:after="0" w:line="244" w:lineRule="auto"/>
        <w:tabs>
          <w:tab w:leader="none" w:pos="7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20"/>
          <w:szCs w:val="20"/>
          <w:color w:val="auto"/>
        </w:rPr>
        <w:t>The Court of Chancery of the State of Delaware serving as the exclusive forum for disputes could limit our stockholders’ ability to obtain a favorable judicial forum for disputes with us or our directors, officers or employees.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20"/>
          </w:cols>
          <w:pgMar w:left="1260" w:top="1248" w:right="1260" w:bottom="719"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are a medical device company focused on developing and commercializing products for the treatment of cardiac arrhythmias with our novel, proprietary, catheter -based Ultra-Low Temperature Ablation (“ULTA”) technology, formerly known as Ultra-Low Temperature Cryoablation (“ULTC”) technology. Our initial focus is on the treatment of ventricular tachycardia (“VT”). VT is a rapid, abnormal heart rhythm, or arrhythmia, that originates in the heart’s lower chambers, or ventricles, potentially leading to impaired blood flow and, if sustained, VT can be fatal. In the United States, VT-associated sudden cardiac death (“SCD”) accounts for approximately 300,000 deaths each year.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with sub-optimal outcomes, a factor that has potentially led to limited growth in the market for VT ablations.</w:t>
      </w:r>
    </w:p>
    <w:p>
      <w:pPr>
        <w:spacing w:after="0" w:line="19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Our clinically tested, proprietary ULTA products are purpose-built to treat patients with VT and are designed to address the unique anatomy of the ventricle and the specific needs of the VT patient. Our ULTA approach is built on the hypothesis that large and durable lesions extending through the depth of both diseased and healthy muscular tissue of the ventricle of the heart (ventricular myocardium) is a foundation for improving the effectiveness of VT ablations and patient outcomes. Our differentiated catheters and consoles are designed to create titratable, large, durable, deep lesions within the ventricle through a stable, endocardial – or inside the heart - approach with no required irrigation. In October 2025, we announced completion of enrollment in our FULCRUM-VT Pivotal FDA Investigational Device Exemption (“IDE”) study evaluating the vCLAS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Cryoablation System for ablation of monomorphic ventricular tachycardia (MMVT) in patients with both ischemic and non-ischemic cardiomyopathy. The vCLAS System, which was granted Breakthrough Device Designation by the FDA in April 2025, is built on our proprietary ULTA technology platform and is typically utilized with a double freeze cycle (freeze-thaw-freeze) protocol.</w:t>
      </w:r>
    </w:p>
    <w:p>
      <w:pPr>
        <w:spacing w:after="0" w:line="205"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20"/>
          <w:szCs w:val="20"/>
          <w:color w:val="auto"/>
        </w:rPr>
        <w:t>We believe that our purpose-built solution has the potential to drive market growth in ablative treatment of the large, underserved VT patient population.</w:t>
      </w:r>
    </w:p>
    <w:p>
      <w:pPr>
        <w:spacing w:after="0" w:line="162"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auto"/>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and pulsed field ablation (“PFA”) energy. Our first-in-human CRYOCURE-VT trial included 64 patients in nine centers in the European Union and Canada. The outcomes of this trial, which were used to support Conformité Européenne (“CE Mark”) approval, include a 0% rate of major adverse events, 94% acute procedural success, 60% freedom from sustained VT and 81% freedom from implantable cardioverter defibrillator (“ICD”) shock at six months. Our vCLAS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Cryoablation System for VT has obtained European CE Mark approval. In the United States, our 209-patient FULCRUM-VT IDE pivotal clinical trial completed enrollment in October 2025 across 19 centers in the United States and Canada. The study includes patients with both ischemic and non-ischemic (NICM) cardiomyopathies (LVEF=35+/-10%, 33% NICM, 75% with congestive heart failure). In our preliminary acute safety and efficacy results, acute clinical success, defined as non-inducibility of target ventricular arrhythmias, was 97.4%, with all clinically -relevant VTs eliminated in 96.7% of patients tested by post-ablation programmed electrical stimulation. Key safety findings included a 2.4% rate of major adverse events including four (1.9%) peri-procedural deaths, of which one (0.5%) was adjudicated by an independent Clinical Events Committee as definitely related to the investigational device. We plan to share the six- month results of the FULCRUM -VT trial in April 2026 at the Heart Rhythm Society 2026 Conference and to submit the results of this trial to support our application for FDA approval of our vCLAS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Cryoablation System in the first half of 2026.</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20"/>
          </w:cols>
          <w:pgMar w:left="1260" w:top="1244" w:right="1260" w:bottom="719" w:gutter="0" w:footer="0" w:header="0"/>
          <w:type w:val="continuous"/>
        </w:sectPr>
      </w:pPr>
    </w:p>
    <w:bookmarkStart w:id="9" w:name="page10"/>
    <w:bookmarkEnd w:id="9"/>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are also currently developing a next-generation ULTA technology for VT. This catheter, which requires only a single freeze, is being designed to improve customer usability and integration with the existing ablation laboratory workflow. The next-generation catheter features a more flexible, smaller diameter shaft that is compatible with the industry-standard size 8.5 French sheaths, and is designed to operate at lower ablation temperatures resulting in the shorter, single-freeze ablation protocol. We have completed the design phase with this device.</w:t>
      </w:r>
    </w:p>
    <w:p>
      <w:pPr>
        <w:spacing w:after="0" w:line="187"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We have also developed a technology that utilizes ULTA in combination with PFA, which we call Pulsed Field Cryoablation (“PFCA”). Early demonstrations of PFCA technology has been performed in the European PARALELL trial in patients with persistent atrial fibrillation and in preclinical studies targeting VT ablations.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Opportunity</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total value of the global market for electrophysiology (“EP”) devices in 2025 was approximately $14 billion, which includes significant recent acceleration in growth of approximately 25% in each 2024 and 2025, driven primarily by increased procedure volumes and the associated higher average selling prices from the introduction and widespread adoption of pulsed field ablation (“PFA”) for AF ablation. This acceleration illustrates the EP market responsiveness to meaningful technological improvements. According to industry sources, longer-term, the market is projected to grow at a compound annual growth rate of approximately 13%, reaching over $33 billion by 2033. We believe that these market trends bode well for future growth in the ablation market for VT, which currently represents a smaller, highly underpenetrated part of the total EP market, partially due to the historic lack of the investment and development of ablation technologies designed for the specific requirements and circumstances of the ventricular anatomy.</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720"/>
          </w:cols>
          <w:pgMar w:left="1260" w:top="1248" w:right="1260" w:bottom="71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Ventricular Tachycardia</w:t>
      </w:r>
    </w:p>
    <w:p>
      <w:pPr>
        <w:spacing w:after="0" w:line="24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VT is a potentially fatal disruption of normal electrical activation of the heart originating in the lower chambers of the heart (ventricles), that is characterized by a heart rate exceeding 100 beats per minute. The symptoms of VT range from lightheadedness to a temporary loss of consciousness caused by a sudden decrease in blood flow to the brain, known as syncope, to progression into ventricular fibrillation and possibly SCD. VT-associated SCD accounts for approximately 300,000 deaths each year in the U.S. alone. VT is prevalent in patients with structural heart disease of both ischemic (related to coronary artery disease) and non-ischemic causes due to electrically disruptive scarring within the muscle of the heart, which blocks or delays normal propagation of the electric signal in the heart. The other relevant group of VT patients are those with “idiopathic” VT, or VT from unknown origin, which is not associated with underlying structural heart disease. This group includes patients with premature ventricular contractions (“PVC”), which are extra heartbeats that begin in one of the heart’s two ventricles. While occasional PVCs in people without underlying heart disease usually are not cause for concern, frequent PVCs can become highly symptomatic and lead to the development of cardiomyopathy, or disease affecting the heart muscle that makes it difficult for the heart to pump blood effectively.</w:t>
      </w:r>
    </w:p>
    <w:p>
      <w:pPr>
        <w:spacing w:after="0" w:line="18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first-line treatments for structural-related VT are anti-arrhythmic drugs, which are often toxic and poorly tolerated, either alone or in combination with an ICD, which is implanted in the patient to sense and restore normal heart rhythm through the administration of electrical shocks. While ICD implants do address the risk of SCD, the patients remain vulnerable to recurrent symptomatic episodes of VT. These symptomatic VT episodes could prompt harmful ICD shocks, resulting in reduced quality of life, hospitalizations and/or cardiac decompensation, where the heart function becomes unstable.</w:t>
      </w:r>
    </w:p>
    <w:p>
      <w:pPr>
        <w:spacing w:after="0" w:line="19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Catheter ablation treats VT by addressing the underlying cause of the disease. In these procedures, electrodes at the tip of the catheter use energy to create what are known as myocardial lesions to destroy – or ablate – the electrical pathway in the muscular tissue of the heart that is causing the VT. It is estimated that the total addressable global market for VT ablation is $5.8 billion, which is comprised of approximately 1.6 million patients with VT who are eligible for ablation each year. Within the U.S., the total addressable market for VT is estimated to be $1.6 billion, comprised of 200,000 patients. It is further estimated that there are approximately 100,000 ablations for VT worldwide each year, or approximately 6% of the total addressable VT ablation market. VT ablation procedures have been growing by approximately 7% annually, driven in part by the advances in electroanatomic mapping technologies and operator training as well as by the aging population and the increased incidence of underlying cardiac disease.</w:t>
      </w:r>
    </w:p>
    <w:p>
      <w:pPr>
        <w:spacing w:after="0" w:line="19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Cardiac ablation to address VT in patients with structural heart disease has been clinically shown to reduce the frequency of symptomatic ventricular arrhythmias, including repeat, uncontrollable arrhythmias known as VT storms, and to reduce ICD shocks. Additionally, the recent VANISH-2 trial demonstrated that VT ablation may be a viable alternative to the escalation of anti-arrhythmic medications; however, current clinical guidelines recommend VT ablation therapy for patients with structural heart disease as second-line therapy. We estimate that approximately 730,000 patients with VT due to structural heart disease are eligible for ablation each year.</w:t>
      </w:r>
    </w:p>
    <w:p>
      <w:pPr>
        <w:spacing w:after="0" w:line="19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Symptomatic idiopathic VT comprises approximately 60% of current VT ablations. While the indications for ablative treatment of these patient groups vary significantly based on arrhythmia sub-type and site of origin, the estimated annual incidence of the condition is approximately 780,000 per year.</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20"/>
          </w:cols>
          <w:pgMar w:left="1260" w:top="1248" w:right="1260" w:bottom="719"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Challenges</w:t>
      </w:r>
    </w:p>
    <w:p>
      <w:pPr>
        <w:spacing w:after="0" w:line="24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Several factors have limited the growth of ablation procedures for VT. Today, VT ablations are performed using RF catheters, which are almost exclusively designed and initially approved to treat atrial arrhythmias. The majority of atrial ablations are performed using a standardized set of lesions in tissue with thickness of 2 to 5 millimeters. In comparison, VT ablations are performed using a patient -specific and often very extensive set of lesions, which vary - depending on the location of the abnormal electrical circuit and preferred ablation strategy - in the forcefully contracting, highly mobile ventricular myocardium where tissue thickness routinely exceeds 10 millimeters.</w:t>
      </w:r>
    </w:p>
    <w:p>
      <w:pPr>
        <w:spacing w:after="0" w:line="20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principal issue of RF technology for VT is its limited lesion depth of 5 to 6 millimeters in healthy tissue which is further attenuated, or reduced, by approximately 50% in the presence of the myocardial scar. Furthermore, performing RF ablation requires an operator to maintain consistent mechanical contact between the catheter and the tissue, which can be technically challenging when ablating VT due to ventricular contractions. In addition, in order to cool the ablating electrode and minimize the chance of a life-threatening complication known as “steam- pop”, advanced RF catheters utilize irrigating fluid, which can lead to the development of acute cardiac decompensation, particularly in patients with structural heart disease. Additionally, the insufficient lesion depth with RF can impact the effectiveness of the preferred endocardial (internal surface of the heart) ablation in some patients. RF catheter instability and management of irrigating fluid overload add to the technical challenges of VT ablations.</w:t>
      </w:r>
    </w:p>
    <w:p>
      <w:pPr>
        <w:spacing w:after="0" w:line="20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VT ablations using current technology remain lengthy and technically complex and are associated with a nearly 11.5% rate of serious complications, including death, particularly, but not exclusively, in patients with structural heart disease. This complexity and procedural risk combined with current guidelines for VT ablations as a second-line therapy have limited the growth of the procedural volumes despite significant improvement in the adjunctive technologies such as electroanatomic mapping and emerging evidence on benefits of earlier and prophylactic VT ablations.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w:t>
      </w:r>
    </w:p>
    <w:p>
      <w:pPr>
        <w:spacing w:after="0" w:line="240"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Our proprietary ULTA technology was developed to consistently create large, titratable, durable lesions extending through the depth of both diseased and healthy ventricular myocardium, which we believe is a foundation for improving the effectiveness and outcomes of VT ablations. Our unique technology portfolio consists of ULTA alone and in combination with PFA (also known as PFCA).</w:t>
      </w:r>
    </w:p>
    <w:p>
      <w:pPr>
        <w:spacing w:after="0" w:line="19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ULTA technology uses nitrogen (N2) gas, which is pressurized to its critical point and cooled to its ambient boiling temperature of -196°C. This is in contrast to currently available cryoballoon and focal point cryocatheter technologies, which are based on the rapid evaporation (Joule-Thompson effect) of the compressed nitrous oxide (N2O) with a boiling temperature of -88.5°C. In ULTA, the “near- critical” nitrogen combines the flow properties of gas with density and thermal capacity of liquid, making it an ideal refrigerant for use in the endovascular environment. The high pressure suppresses evaporation and ensures continuous, vapor lock-free flow through small lumen catheters. Under such conditions, the refrigerant can be brought into close proximity and applied to the tissue targeted for ablation through a proprietary cryoablation catheter at temperatures close to -196°C. In our pre-clinical experiments, the cryogenic power supplied by the technology was sufficient to achieve the temperatures at or below -30°C deep into the tissue, resulting in formation of intracellular ice and instantaneous and permanent death of cardiac tissue. The size and contiguity of such durable lesions could be assured by length, shape, and mechanical properties of the ablation element, while depth can be titrated by the duration of the freeze.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20"/>
          </w:cols>
          <w:pgMar w:left="1260" w:top="1248" w:right="1260" w:bottom="719" w:gutter="0" w:footer="0" w:header="0"/>
          <w:type w:val="continuous"/>
        </w:sectPr>
      </w:pPr>
    </w:p>
    <w:bookmarkStart w:id="12" w:name="page13"/>
    <w:bookmarkEnd w:id="12"/>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Key benefits of ULTA for VT ablations include:</w:t>
      </w:r>
    </w:p>
    <w:p>
      <w:pPr>
        <w:spacing w:after="0" w:line="170" w:lineRule="exact"/>
        <w:rPr>
          <w:sz w:val="20"/>
          <w:szCs w:val="20"/>
          <w:color w:val="auto"/>
        </w:rPr>
      </w:pPr>
    </w:p>
    <w:p>
      <w:pPr>
        <w:jc w:val="both"/>
        <w:ind w:left="720" w:hanging="352"/>
        <w:spacing w:after="0" w:line="260"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Titratable lesion depth up to and exceeding 10 millimeters </w:t>
      </w:r>
      <w:r>
        <w:rPr>
          <w:rFonts w:ascii="Times New Roman" w:cs="Times New Roman" w:eastAsia="Times New Roman" w:hAnsi="Times New Roman"/>
          <w:sz w:val="20"/>
          <w:szCs w:val="20"/>
          <w:color w:val="auto"/>
        </w:rPr>
        <w:t>provides physicians a new ability to use simple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endocardial-only approach to ablate VT circuits in patients with both ischemic and non-ischemic cardiomyopathy, as well as PVCs.</w:t>
      </w:r>
    </w:p>
    <w:p>
      <w:pPr>
        <w:spacing w:after="0" w:line="77" w:lineRule="exact"/>
        <w:rPr>
          <w:rFonts w:ascii="Arial" w:cs="Arial" w:eastAsia="Arial" w:hAnsi="Arial"/>
          <w:sz w:val="20"/>
          <w:szCs w:val="20"/>
          <w:color w:val="auto"/>
        </w:rPr>
      </w:pPr>
    </w:p>
    <w:p>
      <w:pPr>
        <w:jc w:val="both"/>
        <w:ind w:left="720" w:right="20" w:hanging="352"/>
        <w:spacing w:after="0" w:line="259"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Large lateral size </w:t>
      </w:r>
      <w:r>
        <w:rPr>
          <w:rFonts w:ascii="Times New Roman" w:cs="Times New Roman" w:eastAsia="Times New Roman" w:hAnsi="Times New Roman"/>
          <w:sz w:val="20"/>
          <w:szCs w:val="20"/>
          <w:color w:val="auto"/>
        </w:rPr>
        <w:t>of the lesions enabled by the length and design of the ULTA ablation element offer physicians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possibility to utilize a small number of ablations, performing otherwise complex procedures faster, safely, and effectively.</w:t>
      </w:r>
    </w:p>
    <w:p>
      <w:pPr>
        <w:spacing w:after="0" w:line="77" w:lineRule="exact"/>
        <w:rPr>
          <w:rFonts w:ascii="Arial" w:cs="Arial" w:eastAsia="Arial" w:hAnsi="Arial"/>
          <w:sz w:val="20"/>
          <w:szCs w:val="20"/>
          <w:color w:val="auto"/>
        </w:rPr>
      </w:pPr>
    </w:p>
    <w:p>
      <w:pPr>
        <w:ind w:left="720" w:hanging="352"/>
        <w:spacing w:after="0" w:line="280"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Preservation of intracellular matrix with ULTA </w:t>
      </w:r>
      <w:r>
        <w:rPr>
          <w:rFonts w:ascii="Times New Roman" w:cs="Times New Roman" w:eastAsia="Times New Roman" w:hAnsi="Times New Roman"/>
          <w:sz w:val="20"/>
          <w:szCs w:val="20"/>
          <w:color w:val="auto"/>
        </w:rPr>
        <w:t>avoids potentially life-threatening complications known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steam-pop.</w:t>
      </w:r>
    </w:p>
    <w:p>
      <w:pPr>
        <w:spacing w:after="0" w:line="57" w:lineRule="exact"/>
        <w:rPr>
          <w:rFonts w:ascii="Arial" w:cs="Arial" w:eastAsia="Arial" w:hAnsi="Arial"/>
          <w:sz w:val="20"/>
          <w:szCs w:val="20"/>
          <w:color w:val="auto"/>
        </w:rPr>
      </w:pPr>
    </w:p>
    <w:p>
      <w:pPr>
        <w:jc w:val="both"/>
        <w:ind w:left="720" w:hanging="352"/>
        <w:spacing w:after="0" w:line="253"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Stability from cryoadhesion, </w:t>
      </w:r>
      <w:r>
        <w:rPr>
          <w:rFonts w:ascii="Times New Roman" w:cs="Times New Roman" w:eastAsia="Times New Roman" w:hAnsi="Times New Roman"/>
          <w:sz w:val="20"/>
          <w:szCs w:val="20"/>
          <w:color w:val="auto"/>
        </w:rPr>
        <w:t>or the catheter adhesion to the endocardial surface upon freezing, eliminates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need for the physician to manually maintain contact between the catheter and the tissue during energy delivery, which is of critical importance when ablating in certain anatomic locations, and can also minimize physician’s stress and fatigue.</w:t>
      </w:r>
    </w:p>
    <w:p>
      <w:pPr>
        <w:spacing w:after="0" w:line="83" w:lineRule="exact"/>
        <w:rPr>
          <w:rFonts w:ascii="Arial" w:cs="Arial" w:eastAsia="Arial" w:hAnsi="Arial"/>
          <w:sz w:val="20"/>
          <w:szCs w:val="20"/>
          <w:color w:val="auto"/>
        </w:rPr>
      </w:pPr>
    </w:p>
    <w:p>
      <w:pPr>
        <w:jc w:val="both"/>
        <w:ind w:left="720" w:hanging="352"/>
        <w:spacing w:after="0" w:line="253"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Lack of irrigation with </w:t>
      </w:r>
      <w:r>
        <w:rPr>
          <w:rFonts w:ascii="Times New Roman" w:cs="Times New Roman" w:eastAsia="Times New Roman" w:hAnsi="Times New Roman"/>
          <w:sz w:val="20"/>
          <w:szCs w:val="20"/>
          <w:color w:val="auto"/>
        </w:rPr>
        <w:t>ULTA technology is designed to eliminate the possibility of fluid overload for VT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patients and thereby eliminates the associated increased risk of acute cardiac decompensation and renal failure in structural heart disease patients already susceptible to cardio-renal syndrome, potentially also shortening post-procedural recovery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Results</w:t>
      </w:r>
    </w:p>
    <w:p>
      <w:pPr>
        <w:spacing w:after="0" w:line="20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The performance of our vCLAS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Cryoablation System for ablation of monomorphic VT in patients with structural heart disease was evaluated in the 64-patient CRYOCURE-VT study at nine sites in Europe and Canada. Monomorphic VTs arise from a single aberrant electrical circuit in the ventricle and are the most prevalent type of VT. The CRYOCURE-VT trial supported CE-mark approval of Adagio’s vCLAS Cryoablation System in the first quarter of 2024. The study demonstrated 94% acute procedural success, 60% freedom from VT recurrence and 81% freedom from implantable cardioverter defibrillator shock at six months. In addition, the study demonstrated significant reduction in burden of ventricular arrhythmias and over 50% reduction in use of antiarrhythmic medication. Further analysis demonstrated that these benefits were sustained through twelve months of follow-up and that freedom from VT-related and heart failure-related hospitalizations remained high through the duration of the follow-up.</w:t>
      </w:r>
    </w:p>
    <w:p>
      <w:pPr>
        <w:spacing w:after="0" w:line="21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November 4, 2022, we received FDA approval to conduct the IDE Early Feasibility Study (“EFS”) of the vCLAS Cryoablation System, which we refer to as the FULCRUM -VT study, in 20 patients with both ischemic and non-ischemic cardiomyopathy at up to 5 sites. On July 13, 2023, the U.S. Center for Medicare and Medicare Services (“CMS”) provided notification that the vCLAS catheter and associated ablation services were approved for the purposes of Medicare coverage. In April 2024 we received FDA approval to convert the EFS study to a single-cohort Pivotal IDE study of our vCLAS Cryoablation System, expanding the number of sites to 20 and the number of U.S. patients to 206, which includes patients with ischemic and non-ischemic heart disease and patients with arrhythmogenic right ventricular cardiomyopathy. This is the first FDA-approved IDE studying VT ablation technology in patients with both ischemic and non-ischemic cardiomyopathy. Subsequently, on September 23, 2024, confirmed that the CMS approval granted for the EFS would remain in effect for the FULCRUM-VT pivotal study.</w:t>
      </w:r>
    </w:p>
    <w:p>
      <w:pPr>
        <w:spacing w:after="0" w:line="211"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In April 2025, we announced that we received Breakthrough Device Designation from the FDA for our vCLAS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Cryoablation System for the treatment of drug-refractory, recurrent, sustained monomorphic VT in patients with ischemic or non-ischemic structural heart disease. On October 1, 2025, we announced the completion of enrollment of the FULCRUM-VT pivotal study. Subsequently on October 10, 2025, we announced preliminary acute safety and efficacy results from FULCRUM-VT. Acute clinical success, defined as non-inducibility of target ventricular arrhythmias, was 97.4%, with all clinically-relevant VTs eliminated in 96.7% of patients tested by post-ablation programmed electrical stimulation. Key safety findings included a 2.4% rate of major adverse events including four (1.9%) peri-procedural deaths, of which one (0.5%) was adjudicated by the independent Clinical Events Committee as definitely related to the investigational device. We plan to share the six-month primary efficacy endpoint results of the FULCRUM-VT trial in April 2026 at the Heart Rhythm 2026 Conference and to submit the results of this trial to support our application for FDA approval of our vCLAS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Cryoablation System in the first half of 2026.</w:t>
      </w:r>
    </w:p>
    <w:p>
      <w:pPr>
        <w:sectPr>
          <w:pgSz w:w="12240" w:h="15840" w:orient="portrait"/>
          <w:cols w:equalWidth="0" w:num="1">
            <w:col w:w="9720"/>
          </w:cols>
          <w:pgMar w:left="1260" w:top="1248" w:right="1260" w:bottom="719"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20"/>
          </w:cols>
          <w:pgMar w:left="1260" w:top="1248" w:right="1260" w:bottom="719"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Pulsed Field Cryoablation</w:t>
      </w:r>
    </w:p>
    <w:p>
      <w:pPr>
        <w:spacing w:after="0" w:line="24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PFCA technology is intended to combine the proprietary benefits of ULTA and PFA while minimizing their respective limitations. PFCA consists of the short duration ULTA freeze followed by PFA delivered through the same catheter. Our work has shown that ULTA results in a significant increase in the impedance and electric field generated by PFA within the frozen tissue while decreasing electric field and parasitic electric current elsewhere. This latter capability helps eliminate muscle and phrenic nerve capture while minimizing the microbubbles and possibility of vasospasm, thus potentially addressing a key limitation of stand-alone PFA. In effect, ULTA pre-treatment could have the effect to “focus” PFA, further increasing the selectivity of ablation and, since the area of the increased impedance extends deeper in the tissue, PFCA lesions of a desired depth could potentially be achieved.</w:t>
      </w:r>
    </w:p>
    <w:p>
      <w:pPr>
        <w:spacing w:after="0" w:line="20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principle of PFCA was demonstrated in PARALLEL study of atrial ablations in patients with persistent atrial fibrillation. In a cohort of the patients with cryogenic energy delivery above the threshold, PFCA was 100% effective in isolation of pulmonary veins and the posterior wall of the left atrium, with fewer than 1% of energy applications accompanied by observations of microbubbles or faint muscle contractions. The pre- clinical investigation of ventricular PFCA in the animal model demonstrated lesion depth is equivalent to the ULTA at half the total freeze duration with minimal attenuation by the scar tissue.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Current and Future Product Portfolio</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vCLAS</w:t>
      </w:r>
      <w:r>
        <w:rPr>
          <w:rFonts w:ascii="Times New Roman" w:cs="Times New Roman" w:eastAsia="Times New Roman" w:hAnsi="Times New Roman"/>
          <w:sz w:val="25"/>
          <w:szCs w:val="25"/>
          <w:i w:val="1"/>
          <w:iCs w:val="1"/>
          <w:color w:val="auto"/>
          <w:vertAlign w:val="superscript"/>
        </w:rPr>
        <w:t>TM</w:t>
      </w:r>
      <w:r>
        <w:rPr>
          <w:rFonts w:ascii="Times New Roman" w:cs="Times New Roman" w:eastAsia="Times New Roman" w:hAnsi="Times New Roman"/>
          <w:sz w:val="20"/>
          <w:szCs w:val="20"/>
          <w:i w:val="1"/>
          <w:iCs w:val="1"/>
          <w:color w:val="auto"/>
        </w:rPr>
        <w:t xml:space="preserve"> First Generation Ablation System</w:t>
      </w:r>
    </w:p>
    <w:p>
      <w:pPr>
        <w:spacing w:after="0" w:line="18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Our VT Cryoablation System is comprised of the vCLAS™ catheter and ULTA cryoablation console. The vCLAS ventricular catheter has been purposefully designed for the treatment of the ventricular arrhythmia. The 9 French bi-directionally deflectable catheter features a 15 millimeter long, non-flexible ablation element with eight electrodes for intracardiac sensing/pacing.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vCLAS</w:t>
      </w:r>
      <w:r>
        <w:rPr>
          <w:rFonts w:ascii="Times New Roman" w:cs="Times New Roman" w:eastAsia="Times New Roman" w:hAnsi="Times New Roman"/>
          <w:sz w:val="25"/>
          <w:szCs w:val="25"/>
          <w:i w:val="1"/>
          <w:iCs w:val="1"/>
          <w:color w:val="auto"/>
          <w:vertAlign w:val="superscript"/>
        </w:rPr>
        <w:t>TM</w:t>
      </w:r>
      <w:r>
        <w:rPr>
          <w:rFonts w:ascii="Times New Roman" w:cs="Times New Roman" w:eastAsia="Times New Roman" w:hAnsi="Times New Roman"/>
          <w:sz w:val="20"/>
          <w:szCs w:val="20"/>
          <w:i w:val="1"/>
          <w:iCs w:val="1"/>
          <w:color w:val="auto"/>
        </w:rPr>
        <w:t xml:space="preserve"> ULTRA Second Generation Ablation System</w:t>
      </w:r>
    </w:p>
    <w:p>
      <w:pPr>
        <w:spacing w:after="0" w:line="181"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 xml:space="preserve">We are also currently developing a next-generation ULTA technology, the vCLAS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ULTRA, for ventricular ablation, the design of which is faster, smaller and more flexible than its predecessor vCLAS device. This catheter, which requires only a single freeze, is being designed to improve customer usability and integration with the existing ablation laboratory workflow. The next-generation catheter features a more flexible, smaller diameter shaft that is compatible with the industry-standard size 8.5 French sheaths, and is designed to operate at lower ablation temperatures resulting in the shorter, single-freeze ablation protocol. We have completed the design phase with this device.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4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major players in cardiac EP and advanced ablation catheter markets are Biosense Webster, Inc. (a division of Johnson &amp; Johnson), Abbott, Medtronic, and Boston Scientific. Today, VT ablations are predominantly performed using point-by-point RF ablation catheter technology. In the U.S. the RF catheters by Biosense Webster (Navistar™ Thermocool® Deflectable Diagnostic/Ablation Catheter) and Abbott Electrophysiology (FlexAbility™ Ablation Catheter, Sensor Enabled™), both originally designed for treatment of AF, have expanded indications for the ablation of sustained, drug-refractory monomorphic ventricular tachycardia.</w:t>
      </w:r>
    </w:p>
    <w:p>
      <w:pPr>
        <w:spacing w:after="0" w:line="20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Saline-enhanced RF needle catheter has been suggested to overcome lesion-depth limitations of the standard RF ablations. The needle can be inserted deeper into myocardial tissue and the injected saline creates a virtual electrode for RF application, resulting in large and deep (9.9 ± 2.7 millimeter) myocardial lesions in the preclinical models. Several small clinical studies on catheters of two principal designs have been conducted in patients with both structural heart disease VTs and PVCs, all demonstrating moderate effectiveness with 13-20% rates of serious complications.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720"/>
          </w:cols>
          <w:pgMar w:left="1260" w:top="1248" w:right="1260" w:bottom="719" w:gutter="0" w:footer="0" w:header="0"/>
          <w:type w:val="continuous"/>
        </w:sectPr>
      </w:pPr>
    </w:p>
    <w:bookmarkStart w:id="14" w:name="page15"/>
    <w:bookmarkEnd w:id="14"/>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rapid adoption of PFA technology for ablation of atrial arrhythmias has spurred interest in applying PFA to ventricular ablations. In addition to the need for irrigation to manage the heat from PFA and for the use of nitroglycerin to try to prevent vasospasm, where high-energy fields of PFA have been shown to trigger smooth muscle contraction, reducing blood flow, we believe the use of PFA in VT may require significant adjustment to achieve the lesion depth required for ventricular ablations. Such changes, which could include substantial increases in pulse voltage, could have related risks including harm to otherwise healthy tissue in the heart. To date, the clinical evidence for ventricular PFA is limited to a small number of cases associated with early feasibility studies and a small case series of off-label use of atrial PFA catheters, primarily in ischemic VTs. We are currently not aware of any IDE studies in the U.S. for the use of PFA in VT.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w:t>
      </w:r>
    </w:p>
    <w:p>
      <w:pPr>
        <w:spacing w:after="0" w:line="240"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consists of 85 issued patents and 25 patent applications in the United States, Japan, China, Australia, Republic of Korea, Brazil, Israel, United Kingdom, and countries of European Union, covering more than 20 patent families ranging from the disclosures of foundational ULTA technology to the details and components of catheter and accessory designs. More recently issued patents are directed to Tissue Contact Verification, VT- and multi-modality PFCA catheters. We believe that in combination with the trade secrets and other proprietary information related to the manufacturing processes of catheters and consoles, this patent portfolio creates significant entry barrier for competitive ULTA and PFCA entries near term, allowing us to remain a single-source provider of these differentiating technologies in Cardiac EP. However, trade secrets and proprietary information can be difficult to protect. We seek to protect our trade secrets and proprietary information, in part, by confidentiality agreements and proprietary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 measures we take to protect and preserve our trade secrets and proprietary information, there may be instances in which they may not provide meaningful protection. Such measures can be breached, and we may not have adequate remedies for any such breach. In addition, our trade secrets may otherwise become known or be independently discovered by competitors or misused by any collaborator to whom we disclose such information. Despite any measures taken to protect our intellectual property, unauthorized parties may attempt to copy aspects of our products or to obtain or use information that we regard as proprietary. As a result, we may be unable to meaningfully protect our trade secrets and proprietary information.</w:t>
      </w:r>
    </w:p>
    <w:p>
      <w:pPr>
        <w:spacing w:after="0" w:line="22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trademark portfolio covers all of the main product families: iCLAS™ for ULTA AF ablation catheter and system, vCLAS™ for ULTA VT catheter, and Cryopulse™ for PFCA catheters. The trademarks have been registered or pending in Canada, United Kingdom, United States and European Union. We maintain our priority filings for trademarks in the United States through periodic extensions to ensure their availability at the time of products’ commercial availability in the United States.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20"/>
          </w:cols>
          <w:pgMar w:left="1260" w:top="1248" w:right="1260" w:bottom="719"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Food &amp; Drug Administration</w:t>
      </w:r>
    </w:p>
    <w:p>
      <w:pPr>
        <w:spacing w:after="0" w:line="23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products and operations are subject to extensive and ongoing regulation by the FDA under the Federal Food, Drug, and Cosmetic Act (“FDCA”), and its implementing regulations, as well as other federal and state regulatory bodies in the United States. The laws and regulations govern, among other things, product design and development, laboratory testing, preclinical and clinical testing, manufacturing and release, packaging, labeling, storage, record keeping and reporting, premarket clearance or approval, establishment registration and device listing, marketing, distribution, promotion, import and export, product complaints, recalls and field safety corrective actions, and post-marketing surveillance.</w:t>
      </w:r>
    </w:p>
    <w:p>
      <w:pPr>
        <w:spacing w:after="0" w:line="20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Unless an exemption applies, each new or significantly modified medical device we seek to commercially distribute in the United States will require either a premarket notification to the FDA requesting permission for commercial distribution under Section 510(k) of the FDCA, also referred to as a 510(k) clearance, a de novo classification request, or approval from the FDA of a premarket approval (“PMA”) application. Generally, if a new device is considered low- or moderate -risk and has a predicate that is already on the market under a 510(k) clearance, the FDA will allow that new device to be marketed under a 510(k) clearance; otherwise, a de novo or PMA is required. The 510(k) clearance, de novo classification request and PMA processes can be resource intensive, expensive, and lengthy, and require payment of significant user fees, unless a fee waiver is granted.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Device Classification</w:t>
      </w:r>
    </w:p>
    <w:p>
      <w:pPr>
        <w:spacing w:after="0" w:line="24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Under the FDCA, medical devices are classified into one of three classes-Class I, Class II, or Class III-depending on the degree of risk associated with each medical device and the extent of control needed to provide reasonable assurances with respect to safety and effectiveness.</w:t>
      </w:r>
    </w:p>
    <w:p>
      <w:pPr>
        <w:spacing w:after="0" w:line="190" w:lineRule="exact"/>
        <w:rPr>
          <w:sz w:val="20"/>
          <w:szCs w:val="20"/>
          <w:color w:val="auto"/>
        </w:rPr>
      </w:pPr>
    </w:p>
    <w:p>
      <w:pPr>
        <w:jc w:val="both"/>
        <w:ind w:right="20" w:firstLine="360"/>
        <w:spacing w:after="0" w:line="246" w:lineRule="auto"/>
        <w:rPr>
          <w:sz w:val="20"/>
          <w:szCs w:val="20"/>
          <w:color w:val="auto"/>
        </w:rPr>
      </w:pPr>
      <w:r>
        <w:rPr>
          <w:rFonts w:ascii="Times New Roman" w:cs="Times New Roman" w:eastAsia="Times New Roman" w:hAnsi="Times New Roman"/>
          <w:sz w:val="20"/>
          <w:szCs w:val="20"/>
          <w:color w:val="auto"/>
        </w:rPr>
        <w:t>Class I includes devices deemed to be the lowest risk to the patient and are those for which safety and effectiveness can be reasonably assured by adherence to general controls that include compliance with the applicable portions of the FDA’s Quality System Regulation (“QSR”), facility registration and product listing, reporting of adverse events and malfunctions, and appropriate, truthful and non -misleading labeling, advertising and promotional materials. Some Class I devices, called Class I reserved devices, require premarket clearance by the FDA through the 510(k) premarket notification process described below. Most Class I products, however, are exempt from the premarket notification requirements and therefore may be commercially distributed without obtaining 510(k) clearance from the FDA.</w:t>
      </w:r>
    </w:p>
    <w:p>
      <w:pPr>
        <w:spacing w:after="0" w:line="201"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Class II devices are those that are subject to the general controls, and special controls as deemed necessary by the FDA to provide reasonable assurance of the safety and effectiveness of the device. These special controls can include performance standards, patient registries, FDA guidance documents and post-market surveillance. Most Class II devices are subject to premarket review and clearance by the FDA. As a result, most Class II devices require the manufacturer to submit to the FDA a Premarket Notification 510(k) requesting permission to commercially distribute the devices meeting the threshold for substantial equivalence.</w:t>
      </w:r>
    </w:p>
    <w:p>
      <w:pPr>
        <w:spacing w:after="0" w:line="20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Class III devices include devices deemed by the FDA to pose the greatest risk such as life-supporting or life -sustaining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 consuming than the 510(k) process.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20"/>
          </w:cols>
          <w:pgMar w:left="1260" w:top="1244" w:right="1260" w:bottom="719"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The Investigational Device Process</w:t>
      </w:r>
    </w:p>
    <w:p>
      <w:pPr>
        <w:spacing w:after="0" w:line="241"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In the United States, absent certain limited exceptions, human clinical trials intended to support medical device clearance, de novo classification, or approval require compliance with FDA investigational device exemption (“IDE”) regulations in 21 CFR Part 812. Trials that present “non-significant risk” do not require FDA review or approval of an IDE application. These non-significant risk trials are deemed to have an approved IDE once certain requirements are addressed, and institutional review board (IRB) approval is obtained. If a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the risks to subjects are outweighed by the anticipated benefits and that the testing protocol is scientifically sound. The IDE application must be approved in advance by the FDA for a specified number of subjects at specified study sites. Generally, clinical trials for a significant risk device may begin once the IDE application is approved by the FDA and the trial protocol and informed consent are approved by appropriate IRBs.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There can be no assurance that submission of an IDE application will result in the ability to commence clinical trials, and although the FDA’s approval of an IDE application allows clinical testing to go forward for a specified number of subjects,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trial sponsors and trial investigators. Clinical trials must further comply with the FDA’s good clinical practice regulations for IRB approval and for informed consent and other human subject protections. Required records and reports are subject to inspection by the FDA. The FDA or the IRB may withdraw approval of a clinical trial, or place a trial on clinical hold at any time for various reasons, including a belief that the risks to study subjects outweigh the benefits or a failure to comply with FDA or IRB requirements. Even if a trial is complete, the results of clinical testing may be unfavorable, or, even if the intended safety and effectiveness success criteria are achieved, may not be considered sufficient for the FDA to grant marketing approval or clearance of a product.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PMA Approval Process</w:t>
      </w:r>
    </w:p>
    <w:p>
      <w:pPr>
        <w:spacing w:after="0" w:line="241" w:lineRule="exact"/>
        <w:rPr>
          <w:sz w:val="20"/>
          <w:szCs w:val="20"/>
          <w:color w:val="auto"/>
        </w:rPr>
      </w:pPr>
    </w:p>
    <w:p>
      <w:pPr>
        <w:jc w:val="both"/>
        <w:ind w:right="20" w:firstLine="360"/>
        <w:spacing w:after="0" w:line="246" w:lineRule="auto"/>
        <w:rPr>
          <w:sz w:val="20"/>
          <w:szCs w:val="20"/>
          <w:color w:val="auto"/>
        </w:rPr>
      </w:pPr>
      <w:r>
        <w:rPr>
          <w:rFonts w:ascii="Times New Roman" w:cs="Times New Roman" w:eastAsia="Times New Roman" w:hAnsi="Times New Roman"/>
          <w:sz w:val="20"/>
          <w:szCs w:val="20"/>
          <w:color w:val="auto"/>
        </w:rPr>
        <w:t>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data from preclinical studies and one or more clinical trials, a full description of the methods, facilities and controls used for manufacturing, proposed labeling and financial disclosure information for the clinical investigators in device trials. The PMA application must provide valid scientific evidence that demonstrates to the FDA’s satisfaction a reasonable assurance of the safety and effectiveness of the device for its intended use.</w:t>
      </w:r>
    </w:p>
    <w:p>
      <w:pPr>
        <w:spacing w:after="0" w:line="20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by regulation, has 180 days to review a filed PMA application, although the review of an application more often occurs over a significantly longer period.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20"/>
          </w:cols>
          <w:pgMar w:left="1260" w:top="1248" w:right="1260" w:bottom="719" w:gutter="0" w:footer="0" w:header="0"/>
          <w:type w:val="continuous"/>
        </w:sectPr>
      </w:pPr>
    </w:p>
    <w:bookmarkStart w:id="17" w:name="page18"/>
    <w:bookmarkEnd w:id="17"/>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208" w:lineRule="exact"/>
        <w:rPr>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device may not be shown safe or effective to the FDA’s satisfaction;</w:t>
      </w:r>
    </w:p>
    <w:p>
      <w:pPr>
        <w:spacing w:after="0" w:line="34" w:lineRule="exact"/>
        <w:rPr>
          <w:rFonts w:ascii="Arial" w:cs="Arial" w:eastAsia="Arial" w:hAnsi="Arial"/>
          <w:sz w:val="20"/>
          <w:szCs w:val="20"/>
          <w:color w:val="auto"/>
        </w:rPr>
      </w:pPr>
    </w:p>
    <w:p>
      <w:pPr>
        <w:ind w:left="720" w:right="740" w:hanging="352"/>
        <w:spacing w:after="0" w:line="247"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data from preclinical studies and/or clinical trials may be found unreliable or insufficient to support approval;</w:t>
      </w: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manufacturing process or facilities may not meet applicable requirements;</w:t>
      </w:r>
    </w:p>
    <w:p>
      <w:pPr>
        <w:spacing w:after="0" w:line="11" w:lineRule="exact"/>
        <w:rPr>
          <w:rFonts w:ascii="Arial" w:cs="Arial" w:eastAsia="Arial" w:hAnsi="Arial"/>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application contains a false statement of material fact;</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or clinical studies were not conducted in accordance with applicable regulations;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proposed device labeling is false or misleading; and</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FDA approval policies or adoption of new regulations may require additional data.</w:t>
      </w:r>
    </w:p>
    <w:p>
      <w:pPr>
        <w:spacing w:after="0" w:line="20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may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19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committee panel, depending on the nature of the proposed change.</w:t>
      </w:r>
    </w:p>
    <w:p>
      <w:pPr>
        <w:spacing w:after="0" w:line="19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approving a PMA application, as a condition of approval, the FDA may also require some form of post-approval study or post-market surveillance, whereby the applicant conducts a follow-up clinical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20"/>
          </w:cols>
          <w:pgMar w:left="1260" w:top="1248" w:right="1260" w:bottom="719"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Pervasive and Continuing Regulation</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After a device is placed on the market in the U.S., numerous regulatory requirements continue to apply. These include:</w:t>
      </w:r>
    </w:p>
    <w:p>
      <w:pPr>
        <w:spacing w:after="0" w:line="266" w:lineRule="exact"/>
        <w:rPr>
          <w:sz w:val="20"/>
          <w:szCs w:val="20"/>
          <w:color w:val="auto"/>
        </w:rPr>
      </w:pPr>
    </w:p>
    <w:p>
      <w:pPr>
        <w:ind w:left="720" w:hanging="352"/>
        <w:spacing w:after="0"/>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submitting and updating establishment registration and device listings with the FDA;</w:t>
      </w:r>
    </w:p>
    <w:p>
      <w:pPr>
        <w:spacing w:after="0" w:line="34" w:lineRule="exact"/>
        <w:rPr>
          <w:rFonts w:ascii="Arial" w:cs="Arial" w:eastAsia="Arial" w:hAnsi="Arial"/>
          <w:sz w:val="20"/>
          <w:szCs w:val="20"/>
          <w:color w:val="auto"/>
        </w:rPr>
      </w:pPr>
    </w:p>
    <w:p>
      <w:pPr>
        <w:jc w:val="both"/>
        <w:ind w:left="720" w:right="20" w:hanging="352"/>
        <w:spacing w:after="0" w:line="255"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FDA’s QSR, which requires manufacturers, including their suppliers, to follow stringent design, testing, control, documentation, record maintenance, including maintenance of complaint and related investigation files, and other quality assurance procedures during all aspects of the manufacturing process;</w:t>
      </w:r>
    </w:p>
    <w:p>
      <w:pPr>
        <w:spacing w:after="0" w:line="2" w:lineRule="exact"/>
        <w:rPr>
          <w:rFonts w:ascii="Arial" w:cs="Arial" w:eastAsia="Arial" w:hAnsi="Arial"/>
          <w:sz w:val="20"/>
          <w:szCs w:val="20"/>
          <w:color w:val="auto"/>
        </w:rPr>
      </w:pPr>
    </w:p>
    <w:p>
      <w:pPr>
        <w:ind w:left="720" w:right="20" w:hanging="352"/>
        <w:spacing w:after="0" w:line="259"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routine or unannounced for-cause device facility inspections by the FDA, which may include the manufacturing facilities of subcontractors;</w:t>
      </w:r>
    </w:p>
    <w:p>
      <w:pPr>
        <w:spacing w:after="0" w:line="1" w:lineRule="exact"/>
        <w:rPr>
          <w:rFonts w:ascii="Arial" w:cs="Arial" w:eastAsia="Arial" w:hAnsi="Arial"/>
          <w:sz w:val="20"/>
          <w:szCs w:val="20"/>
          <w:color w:val="auto"/>
        </w:rPr>
      </w:pPr>
    </w:p>
    <w:p>
      <w:pPr>
        <w:ind w:left="720" w:hanging="352"/>
        <w:spacing w:after="0" w:line="25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labeling regulations, which prohibit the promotion of products for uncleared, unapproved or off-label uses and impose other restrictions relating to promotional activities;</w:t>
      </w:r>
    </w:p>
    <w:p>
      <w:pPr>
        <w:spacing w:after="0" w:line="1" w:lineRule="exact"/>
        <w:rPr>
          <w:rFonts w:ascii="Arial" w:cs="Arial" w:eastAsia="Arial" w:hAnsi="Arial"/>
          <w:sz w:val="20"/>
          <w:szCs w:val="20"/>
          <w:color w:val="auto"/>
        </w:rPr>
      </w:pPr>
    </w:p>
    <w:p>
      <w:pPr>
        <w:jc w:val="both"/>
        <w:ind w:left="720" w:right="20" w:hanging="352"/>
        <w:spacing w:after="0" w:line="256"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2" w:lineRule="exact"/>
        <w:rPr>
          <w:rFonts w:ascii="Arial" w:cs="Arial" w:eastAsia="Arial" w:hAnsi="Arial"/>
          <w:sz w:val="20"/>
          <w:szCs w:val="20"/>
          <w:color w:val="auto"/>
        </w:rPr>
      </w:pPr>
    </w:p>
    <w:p>
      <w:pPr>
        <w:jc w:val="both"/>
        <w:ind w:left="720" w:right="20" w:hanging="352"/>
        <w:spacing w:after="0" w:line="256"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medical device recalls, which require that manufacturers report to the FDA field corrections or removals of a medical device, provided the recall was initiated to either reduce a risk to health posed by the device, or to remedy a violation of the FDCA caused by the device that may present a risk to health; and</w:t>
      </w:r>
    </w:p>
    <w:p>
      <w:pPr>
        <w:ind w:left="720" w:right="20" w:hanging="352"/>
        <w:spacing w:after="0" w:line="280"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post-market surveillance regulations, which apply to certain Class II or III devices when necessary to protect the public health or to provide additional safety and effectiveness data for the device.</w:t>
      </w:r>
    </w:p>
    <w:p>
      <w:pPr>
        <w:spacing w:after="0" w:line="178"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9"/>
          <w:szCs w:val="19"/>
          <w:color w:val="auto"/>
        </w:rPr>
        <w:t>We have obtained a manufacturing license from the California Department of Public Health (“CDPH”). The FDA and CDPH have broad post-market and regulatory enforcement powers. We are (or upon FDA clearance or approval, will be) subject to announced and unannounced inspections by the FDA and the Food and Drug Branch of CDPH to determine our compliance with the QSR and other regulations, and these inspections may include the manufacturing facilities of our suppliers. Additionally, our Notified Body, TÜV SÜD (as defined herein), regularly inspects our manufacturing, design and operational facilities to ensure ongoing ISO 13485:2016 compliance in order to maintain our CE Mark.</w:t>
      </w:r>
    </w:p>
    <w:p>
      <w:pPr>
        <w:spacing w:after="0" w:line="18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Failure to comply with applicable regulatory requirements can result in enforcement actions, which may include any of the following sanctions:</w:t>
      </w:r>
    </w:p>
    <w:p>
      <w:pPr>
        <w:spacing w:after="0" w:line="185" w:lineRule="exact"/>
        <w:rPr>
          <w:sz w:val="20"/>
          <w:szCs w:val="20"/>
          <w:color w:val="auto"/>
        </w:rPr>
      </w:pPr>
    </w:p>
    <w:p>
      <w:pPr>
        <w:ind w:left="720" w:hanging="352"/>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warning letters, fines, injunctions, consent decrees and civil penalties;</w:t>
      </w:r>
    </w:p>
    <w:p>
      <w:pPr>
        <w:spacing w:after="0" w:line="34" w:lineRule="exact"/>
        <w:rPr>
          <w:rFonts w:ascii="Arial" w:cs="Arial" w:eastAsia="Arial" w:hAnsi="Arial"/>
          <w:sz w:val="20"/>
          <w:szCs w:val="20"/>
          <w:color w:val="auto"/>
        </w:rPr>
      </w:pPr>
    </w:p>
    <w:p>
      <w:pPr>
        <w:ind w:left="720" w:hanging="352"/>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repair, replacement, refunds, recall or seizure of our products;</w:t>
      </w:r>
    </w:p>
    <w:p>
      <w:pPr>
        <w:spacing w:after="0" w:line="23" w:lineRule="exact"/>
        <w:rPr>
          <w:rFonts w:ascii="Arial" w:cs="Arial" w:eastAsia="Arial" w:hAnsi="Arial"/>
          <w:sz w:val="20"/>
          <w:szCs w:val="20"/>
          <w:color w:val="auto"/>
        </w:rPr>
      </w:pPr>
    </w:p>
    <w:p>
      <w:pPr>
        <w:ind w:left="720" w:hanging="352"/>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restrictions, partial suspension or total shutdown of production;</w:t>
      </w:r>
    </w:p>
    <w:p>
      <w:pPr>
        <w:spacing w:after="0" w:line="25" w:lineRule="exact"/>
        <w:rPr>
          <w:rFonts w:ascii="Arial" w:cs="Arial" w:eastAsia="Arial" w:hAnsi="Arial"/>
          <w:sz w:val="20"/>
          <w:szCs w:val="20"/>
          <w:color w:val="auto"/>
        </w:rPr>
      </w:pPr>
    </w:p>
    <w:p>
      <w:pPr>
        <w:ind w:left="720" w:right="20" w:hanging="352"/>
        <w:spacing w:after="0" w:line="258"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refusing our requests for 510(k) clearance or premarket approval of new products, new intended uses or modifications to existing products;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withdrawing 510(k) clearance or premarket approvals that may have already been granted; and</w:t>
      </w:r>
    </w:p>
    <w:p>
      <w:pPr>
        <w:spacing w:after="0" w:line="25" w:lineRule="exact"/>
        <w:rPr>
          <w:rFonts w:ascii="Arial" w:cs="Arial" w:eastAsia="Arial" w:hAnsi="Arial"/>
          <w:sz w:val="20"/>
          <w:szCs w:val="20"/>
          <w:color w:val="auto"/>
        </w:rPr>
      </w:pPr>
    </w:p>
    <w:p>
      <w:pPr>
        <w:ind w:left="720" w:hanging="352"/>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criminal prosecution.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Export of Our Products</w:t>
      </w:r>
    </w:p>
    <w:p>
      <w:pPr>
        <w:spacing w:after="0" w:line="23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Export of products subject to the 510(k) notification requirements, but not yet cleared to market in the United States, is permitted with FDA authorization provided certain requirements are met. Similarly, unapproved or uncleared products subject to the PMA requirements may be exported certain statutory criteria are met and we submit a “Simple Notification” to FDA when it begins to export. Importantly, however, export of such products may be limited to certain countries designated by statutory provisions, and petitions may need to be submitted to FDA to enable export to countries other than those designated in the statutory provisions. The petitioning process can be difficult, and FDA may not authorize unapproved or uncleared products to be exported to countries to which a manufacturer wishes to export. Devices that are adulterated, devices whose label and labeling does not comply with requirements of the country receiving the product, and devices that are not promoted in accordance with the law of the receiving country, among others, cannot be exported.</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20"/>
          </w:cols>
          <w:pgMar w:left="1260" w:top="1248" w:right="1260" w:bottom="719"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Government Regulation</w:t>
      </w:r>
    </w:p>
    <w:p>
      <w:pPr>
        <w:spacing w:after="0" w:line="241"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Federal, State and Foreign Fraud and Abuse Laws</w:t>
      </w:r>
    </w:p>
    <w:p>
      <w:pPr>
        <w:spacing w:after="0" w:line="240"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The federal and state governments have enacted, and actively enforce, a number of laws to address fraud and abuse in federal healthcare programs. Our business is subject to compliance with these laws. Violations of such laws could result in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Anti-Kickback Statutes</w:t>
      </w:r>
    </w:p>
    <w:p>
      <w:pPr>
        <w:spacing w:after="0" w:line="238"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The federal Anti- Kickback Statute prohibits, among other things, persons from knowingly and willfully soliciting, offering, receiving or providing remuneration, directly or indirectly, in cash or in kind, in exchange for or to induce either the referral of an individual for, or the furnishing, recommending, purchasing, leasing, ordering or arranging for a good or service, for which payment may be made under a federal healthcare program, such as Medicare or Medicaid. A person or entity does not need to have actual knowledge of the statute or specific intent to violate it to have committed a violation.</w:t>
      </w:r>
    </w:p>
    <w:p>
      <w:pPr>
        <w:spacing w:after="0" w:line="200"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19"/>
          <w:szCs w:val="19"/>
          <w:color w:val="auto"/>
        </w:rPr>
        <w:t>The definition of “remuneration” has been broadly interpreted to include anything of value, including, for example, gifts, certain discounts, the furnishing of free supplies, equipment or services, credit arrangements, payment of cash, waivers of payments and providing anything of value at less than fair market value. Several courts have interpreted the statute’s intent requirement to mean that if any one purpose of an arrangement involving remuneration is to induce referrals of federal healthcare covered businesses, the statute has been violated. In addition, the Patient Protection and Affordable Care Act (the “ACA”), as amended by the Health Care and Education Reconciliation Act of 2010, or collectively, the Affordable Care Act, codified case law that a claim including items or services resulting from a violation of the federal Anti-Kickback Statute constitutes a false or fraudulent claim for purposes of the Federal False Claims Act. There are a number of statutory exceptions and regulatory safe harbors protecting some common activities from prosecution, but the exceptions and safe harbors are drawn narrowly and require strict compliance in order to offer protection.</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failure of a transaction or arrangement to fit precisely within one or more safe harbors does not necessarily mean that it is illegal or that prosecution will be pursued. The legality of the arrangement will be evaluated on a case-by- case basis based on a cumulative review of all of its facts and circumstances. However, conduct and business arrangements that do not fully satisfy an applicable statutory exception or regulatory safe harbor may result in increased scrutiny by government enforcement authorities such as the Office of Inspector General, or OIG, of U.S. Department of Health and Human Services.</w:t>
      </w:r>
    </w:p>
    <w:p>
      <w:pPr>
        <w:spacing w:after="0" w:line="20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Many states have adopted laws similar to the Anti-Kickback Statute. Some of these state prohibitions apply to referral of recipients for healthcare products or services reimbursed by any source, not only government healthcare programs, and may apply to payments made directly by the patient.</w:t>
      </w:r>
    </w:p>
    <w:p>
      <w:pPr>
        <w:spacing w:after="0" w:line="187"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Government officials have continued their enforcement efforts related to the marketing of healthcare services and products, among other activities, and continue to bring cases against companies, and certain individual sales, marketing and executive personnel, for allegedly offering unlawful inducements to potential or existing customers in an attempt to procure their business.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20"/>
          </w:cols>
          <w:pgMar w:left="1260" w:top="1248" w:right="1260" w:bottom="719"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False Claims Act</w:t>
      </w:r>
    </w:p>
    <w:p>
      <w:pPr>
        <w:spacing w:after="0" w:line="24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federal False Claims Act (“FCA”) imposes liability on any person or entity that, among other things, knowingly presents, or causes to be presented, a false or fraudulent claim for payment by a federal healthcare program. The qui tam provisions of the FCA allow a private individual to bring actions on behalf of the federal government alleging that the defendant has violated the FCA and to share in any monetary recovery. In addition, various states have enacted false claims laws analogous to the FCA, and many of these state laws apply where a claim is submitted to any third-party payor and not only a federal healthcare program or other state program.</w:t>
      </w:r>
    </w:p>
    <w:p>
      <w:pPr>
        <w:spacing w:after="0" w:line="20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When an entity is determined to have violated the FCA, it may be required to pay up to three times the actual damages sustained by the government, plus significant civil fines and penalties. As part of any settlement, the government may require the entity to enter into a corporate integrity agreement, which imposes certain compliance, certification and reporting obligations. There are many potential bases for liability under the FCA. Liability arises, primarily, when an entity knowingly submits, or causes another to submit, a false claim for reimbursement to the federal government. For example, the federal government has used the FCA to assert liability on the basis of kickbacks, or in instances in which manufacturers have provided billing or coding advice to providers that the government considered to be inaccurate. In these cases, the manufacturer faces liability for “causing” a false claim. In addition, the federal government has prosecuted companies under the FCA in connection with off-label promotion of products. Our future activities relating to information affecting federal, state and third-party reimbursement of our products and the sale and marketing of our products may be subject to scrutiny under these laws.</w:t>
      </w:r>
    </w:p>
    <w:p>
      <w:pPr>
        <w:spacing w:after="0" w:line="209"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While we are unaware of any current matters, we are unable to predict whether it will be subject to actions under the FCA or a similar state law, or the impact of such actions. However, the costs of defending such claims, as well as any sanctions imposed, could significantly affect our financial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Civil Monetary Penalties</w:t>
      </w:r>
    </w:p>
    <w:p>
      <w:pPr>
        <w:spacing w:after="0" w:line="240" w:lineRule="exact"/>
        <w:rPr>
          <w:sz w:val="20"/>
          <w:szCs w:val="20"/>
          <w:color w:val="auto"/>
        </w:rPr>
      </w:pPr>
    </w:p>
    <w:p>
      <w:pPr>
        <w:jc w:val="both"/>
        <w:ind w:right="20" w:firstLine="360"/>
        <w:spacing w:after="0" w:line="265" w:lineRule="auto"/>
        <w:rPr>
          <w:sz w:val="20"/>
          <w:szCs w:val="20"/>
          <w:color w:val="auto"/>
        </w:rPr>
      </w:pPr>
      <w:r>
        <w:rPr>
          <w:rFonts w:ascii="Times New Roman" w:cs="Times New Roman" w:eastAsia="Times New Roman" w:hAnsi="Times New Roman"/>
          <w:sz w:val="19"/>
          <w:szCs w:val="19"/>
          <w:color w:val="auto"/>
        </w:rPr>
        <w:t>The federal Civil Monetary Penalty laws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Open Payments</w:t>
      </w:r>
    </w:p>
    <w:p>
      <w:pPr>
        <w:spacing w:after="0" w:line="24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The Physician Payments Sunshine Act, known as “Open Payments” and enacted as part of the Affordable Care Act, requires certain pharmaceutical and medical device manufacturers of products covered by Medicare, Medicaid or the Children’s Health Insurance Program to report annually to the CMS: direct and indirect payments and other transfers of value to physicians (defined to include doctors, dentists, optometrists, podiatrists, and chiropractors), other healthcare professionals (such as physician assistants and nurse practitioners), and teaching hospitals, and applicable manufacturers and group purchasing organizations. Applicable manufacturers must also report annually ownership and investment interests held by physicians and their immediate family members. Applicable manufacturers are required to submit annual reports to the CMS. Failure to submit required information in a timely, complete and accurate manner may result in significant civil monetary penalties. We are subject to Open Payments and the information it discloses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20"/>
          </w:cols>
          <w:pgMar w:left="1260" w:top="1248" w:right="1260" w:bottom="719"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Corrupt Practices Act</w:t>
      </w:r>
    </w:p>
    <w:p>
      <w:pPr>
        <w:spacing w:after="0" w:line="241"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The Foreign Corrupt Practices Act (“FCPA”) prohibits any U.S. individual; U.S. companies and officers, directors, and employees; foreign subsidiaries of U.S. entities; and agents or intermediaries operating on behalf of a U.S. company from paying, offering, promising to pay, or authorizing payment or offering of anything of value, directly or indirectly, to any foreign government official, government staff member, political party or candidate for the purpose of improperly influencing any act or decision of a foreign government entity to obtain, retain, or direct business. The FCPA also obligates companies whose securities are listed on a national securities exchange in the United States to comply with accounting provisions which require the maintenance of books, records, and accounts that accurately and fairly reflect all transactions and dispositions of assets of the corporation, including international subsidiaries, if any, and to devise and maintain an adequate system of internal accounting controls.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Laws</w:t>
      </w:r>
    </w:p>
    <w:p>
      <w:pPr>
        <w:spacing w:after="0" w:line="24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In Europe, various countries have adopted anti-bribery laws providing for severe consequences in the form of criminal penalties and significant fines for individuals or companies committing a bribery offense.</w:t>
      </w:r>
    </w:p>
    <w:p>
      <w:pPr>
        <w:spacing w:after="0" w:line="16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Violations of these anti-bribery laws, or allegations of such violations, could have a negative impact on our business, results of operations and reputation.</w:t>
      </w:r>
    </w:p>
    <w:p>
      <w:pPr>
        <w:spacing w:after="0" w:line="170"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For instance, in the United Kingdom, the U.K. Bribery Act 2010 covers both public and private sector bribery, and prohibits the offer, provision, or promise to give a financial or other advantage to induce or reward another individual to improperly perform their relevant functions or activities, including any function of a public nature. Bribery of foreign public officials also falls within the scope of the U.K. Bribery Act 2010. An individual found in violation of the U.K. Bribery Act 2010 faces imprisonment of up to ten years. In addition, individuals can be subject to an unlimited fine, as can commercial organizations for failure to prevent bribery.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Trade Laws</w:t>
      </w:r>
    </w:p>
    <w:p>
      <w:pPr>
        <w:spacing w:after="0" w:line="2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company is subject to other laws and regulations governing its international operations, including regulations administered by the U.S. Department of Commerce’s Bureau of Industry and Security, the U.S. Department of Treasury’s Office of Foreign Assets Control (“OFAC”), and various non -U.S. government entities, including applicable export control regulations, economic sanctions on countries and persons, customs requirements, currency exchange regulations, and transfer pricing regulations.</w:t>
      </w:r>
    </w:p>
    <w:p>
      <w:pPr>
        <w:spacing w:after="0" w:line="197" w:lineRule="exact"/>
        <w:rPr>
          <w:sz w:val="20"/>
          <w:szCs w:val="20"/>
          <w:color w:val="auto"/>
        </w:rPr>
      </w:pPr>
    </w:p>
    <w:p>
      <w:pPr>
        <w:jc w:val="both"/>
        <w:ind w:right="20" w:firstLine="360"/>
        <w:spacing w:after="0" w:line="262" w:lineRule="auto"/>
        <w:rPr>
          <w:sz w:val="20"/>
          <w:szCs w:val="20"/>
          <w:color w:val="auto"/>
        </w:rPr>
      </w:pPr>
      <w:r>
        <w:rPr>
          <w:rFonts w:ascii="Times New Roman" w:cs="Times New Roman" w:eastAsia="Times New Roman" w:hAnsi="Times New Roman"/>
          <w:sz w:val="19"/>
          <w:szCs w:val="19"/>
          <w:color w:val="auto"/>
        </w:rPr>
        <w:t>Commerce regulates certain “dual use” items, as well as associated foreign assistance. OFAC administers and enforces economic sanctions programs primarily against countries and groups of individuals. Sanctions can be either comprehensive or selective, using the blocking of assets and trade restrictions to accomplish foreign policy and national security goals. U.S. persons must comply with OFAC regulations, including all U.S. citizens and permanent resident aliens regardless of where they are located, all persons and entities within the United States, all U.S. incorporated entities, and their foreign branches. In the cases of certain programs, foreign subsidiaries owned or controlled by U.S. companies also must comply.</w:t>
      </w:r>
    </w:p>
    <w:p>
      <w:pPr>
        <w:spacing w:after="0" w:line="189"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Governmental authorizations may be required before we can export technology, equipment or materials, our services, or to collaborate with foreign entities.</w:t>
      </w:r>
    </w:p>
    <w:p>
      <w:pPr>
        <w:spacing w:after="0" w:line="170"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20"/>
          </w:cols>
          <w:pgMar w:left="1260" w:top="1248" w:right="1260" w:bottom="719"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HIPAA and HITECH</w:t>
      </w:r>
    </w:p>
    <w:p>
      <w:pPr>
        <w:spacing w:after="0" w:line="24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breaches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Health Reform</w:t>
      </w:r>
    </w:p>
    <w:p>
      <w:pPr>
        <w:spacing w:after="0" w:line="24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Changes in healthcare policy could increase our costs and subject it to additional regulatory requirements that may interrupt commercialization of our current and future solutions. Changes in healthcare policy could increase our costs, decrease our revenue and impact sales of and reimbursement for our current and future products. For example, the ACA substantially changed the way healthcare is financed by both governmental and private insurers, and significantly impacts the life sciences industry. 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 directed payments, reducing federal funding, and limiting provider taxes used to fund the program. Congress is considering proposed legislation intended to further reduce healthcare costs with alternatives to replace the expired ACA subsidies. The cost containment measures that payors and providers are instituting and the effect of any healthcare reform initiative implemented in the future could impact our revenue from the sale of our products.</w:t>
      </w:r>
    </w:p>
    <w:p>
      <w:pPr>
        <w:spacing w:after="0" w:line="20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recently called on Congress to enact “The Great Healthcare Plan,” to codify and expand Most-Favored Nation pricing, lower government subsidies to private insurance companies and increase healthcare price transparency, among other things. Other recent actions, for example, include directing agencies to reduce agency workforce and cut programs.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medical device approval process.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720"/>
          </w:cols>
          <w:pgMar w:left="1260" w:top="1248" w:right="1260" w:bottom="719"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Coverage and Reimbursement</w:t>
      </w:r>
    </w:p>
    <w:p>
      <w:pPr>
        <w:spacing w:after="0" w:line="24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Should our products under development be cleared or approved for commercialization by the FDA, reimbursement may not be available in the United States or other countries, or the amount of reimbursement may not be sufficient to allow sales of our products on a profitable basis.</w:t>
      </w:r>
    </w:p>
    <w:p>
      <w:pPr>
        <w:spacing w:after="0" w:line="20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Third-party payors are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 party payors often rely upon Medicare coverage policy and payment limitations in setting their own reimbursement rates, but also have their own methods and approval process apart from Medicare determinations.</w:t>
      </w:r>
    </w:p>
    <w:p>
      <w:pPr>
        <w:spacing w:after="0" w:line="205"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Coverage policies and third-party reimbursement rates may change at any time. Even if favorable coverage and reimbursement status is attained for procedures that utilize one or more products for which we might receive regulatory clearance and approval, less favorable coverage policies and reimbursement rates may be implemented in the future. It is uncertain whether our current products or any planned or future products will be viewed as sufficiently cost effective to warrant coverage and adequate reimbursement levels for procedures using such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 Manufacturing and Supply</w:t>
      </w:r>
    </w:p>
    <w:p>
      <w:pPr>
        <w:spacing w:after="0" w:line="245"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Our corporate headquarters and manufacturing, storage and distribution centers for our catheters and consoles are located at Laguna Hills, California. The facility is approximately 12,000 square feet, which includes clean room space and labs. We do not own any real property and believe that our current facilities are sufficient to support our operations and growth plans and that, additional space, if needed, will be available on commercially reasonably terms.</w:t>
      </w:r>
    </w:p>
    <w:p>
      <w:pPr>
        <w:spacing w:after="0" w:line="18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manufacturing and distribution operations are subject to regulatory requirements of the European Medical Devices Regulations 2017/745 and amendments (“MDR”), for medical devices marketed in the European Union. When we begin marketing and distributing our products in the United States, we will be subject to the FDA’s Quality Management System Regulation (“QMSR”), set forth in 21 CFR part 820. Our Laguna Hills facility is certified to have established and is maintaining a quality management system pursuant to the requirements of the ISO 13485:2016 standard. In addition, the Laguna Hills facility is licensed by the California Department of Public Health Food and Drug Branch (“CDPH”) . We are also subject to applicable local regulations relating to the environment, waste management and health and safety matters, including measures relating to the release, use, storage, treatment, transportation, discharge, disposal, sale, labeling, collection, recycling, treatment and remediation of hazardous substances.</w:t>
      </w:r>
    </w:p>
    <w:p>
      <w:pPr>
        <w:spacing w:after="0" w:line="196"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19"/>
          <w:szCs w:val="19"/>
          <w:color w:val="auto"/>
        </w:rPr>
        <w:t>TÜV SÜD Product Service GmbH (München, Germany) (“TÜV SÜD”) monitors our compliance with the MDR and ISO 13485:2016 requirements through annual scheduled audits and unannounced audits of the Laguna Hills facilities.</w:t>
      </w:r>
    </w:p>
    <w:p>
      <w:pPr>
        <w:spacing w:after="0" w:line="13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Our failure, or the failure of our suppliers or third-party manufacturers, to maintain acceptable quality requirements could result in non-compliance of our manufacturing operations, which would harm our business. In the event that one of our suppliers or third-party manufacturers fails to maintain acceptable quality requirements, we may have to qualify a new supplier and could experience a material adverse effect to manufacturing and manufacturing delays as a result.</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20"/>
          </w:cols>
          <w:pgMar w:left="1260" w:top="1244" w:right="1260" w:bottom="719" w:gutter="0" w:footer="0" w:header="0"/>
          <w:type w:val="continuous"/>
        </w:sectPr>
      </w:pPr>
    </w:p>
    <w:bookmarkStart w:id="24" w:name="page25"/>
    <w:bookmarkEnd w:id="24"/>
    <w:p>
      <w:pPr>
        <w:spacing w:after="0" w:line="4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procure a broad range of the components and raw materials required for manufacturing of our catheters and consoles, including plastic and precious metals components and raw materials, complex electromechanical assemblies, electronic components and electronic assemblies. The identification and qualification of the suppliers is governed by the relevant provisions of our quality management system. As such, we can be materially adversely affected by disruptions in global supply chain, as well as inability of our suppliers to maintain required quality of the components and raw materials supplied to us, resulting in temporary hold or delay in manufacturing and distribution operations.</w:t>
      </w:r>
    </w:p>
    <w:p>
      <w:pPr>
        <w:spacing w:after="0" w:line="18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We will pursue the opportunities for facility expansion as well as the transfer of the part or whole of the manufacturing operation to qualified third-party suppliers as warranted by business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Adagio Team</w:t>
      </w:r>
    </w:p>
    <w:p>
      <w:pPr>
        <w:spacing w:after="0" w:line="24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we had 41 full-time employees, located in the U.S. None of our employees are represented by a labor union or are a party to a collective bargaining agreement. We believe that the success of our business will depend, in part, on our ability to attract and retain qualified personnel. We have not experienced and do not expect any significant strikes or work stoppages and believe our relations with employees are in good 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4"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Adagio Medical Holdings, Inc., formerly known as Aja Holdco, Inc., was incorporated was incorporated as a Delaware corporation on December 19, 2023.</w:t>
      </w:r>
    </w:p>
    <w:p>
      <w:pPr>
        <w:spacing w:after="0" w:line="16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Our principal executive offices are located 26051 Merit Circle, Suite 102, Laguna Hills, California, 92653, and our telephone number is (949) 348-1188.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Availability of SEC Filings</w:t>
      </w:r>
    </w:p>
    <w:p>
      <w:pPr>
        <w:spacing w:after="0" w:line="23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file annual reports on Form 10-K, quarterly reports on Form 10-Q, current reports on Form 8-K, and amendments to reports filed or furnished pursuant to Sections 13(a), 14, and 15(d) of the Securities and Exchange Act of 1934, as amended, or the Exchange Act. The SEC maintains a website at http://www.sec.gov that contains reports, and other information regarding us and other companies that file materials with the SEC electronically. Copies of our reports on Forms 10-K, Forms 10-Q, and Forms 8 -K, may be obtained, free of charge, electronically through our corporate website at https://us.adagiomedical.com as soon as reasonably practicable after we file such material electronically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20"/>
          </w:cols>
          <w:pgMar w:left="1260" w:top="1440" w:right="1260" w:bottom="719"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Our business, prospects, financial condition, or operating results could be harmed by any of these risks, as well as other risks not currently known to us or that we currently consider immaterial. If any of such risks and uncertainties actually occurs, our business, prospects, financial condition, cash flows, or operating results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For more information, see the section titled “Special Note Regarding Forward-Looking Statements” included elsewhere in this Annual Report on Form 10-K.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We are a medical device company that has incurred net losses in every period to date and expect to continue to incur significant losses as we develop our business, and our financial conditions raise substantial doubt about our ability to continue as a going concern.</w:t>
      </w:r>
    </w:p>
    <w:p>
      <w:pPr>
        <w:spacing w:after="0" w:line="19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are a medical device company that has incurred net losses in each quarterly and annual period since inception and that has not yet generated any meaningful revenue. We expect to incur increasing costs as we continue to devote substantially all of our resources towards the development and anticipated further commercialization of our main platform technology, vCLAS. We cannot be certain if we will ever generate meaningful revenue or if or when we will produce sufficient revenue from operations to support our costs. Even if profitability is achieved, we may not be able to sustain profitability. We incurred net losses of $25.1 million and $75.0 million in 2025 and 2024, respectively. As of December 31, 2025 and December 31, 2024, we had an accumulated deficit of $95.6 and $70.6 million, respectively. We expect to incur substantial losses and negative cash flows for the foreseeable future. In addition, as a public company, we incur significant legal, accounting, and other expenses that we did not incur as a private company. These increased expenses may make it harder for us to achieve and sustain future profitability. We may incur significant losses in the future for a number of reasons, many of which are beyond our control, including the other risks described in this report and in our other filings with the SEC. Even if we achieve profitability, we may not be able to sustain or increase profitability on a quarterly or annual basis. Our failure to become and remain profitable could depress the value of our company and could impair our ability to raise capital, expand our business, maintain our development efforts, obtain regulatory approvals or certificates, diversify our product offerings or continue our operations.</w:t>
      </w:r>
    </w:p>
    <w:p>
      <w:pPr>
        <w:spacing w:after="0" w:line="21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independent auditors have included an explanatory paragraph in their audit report regarding our ability to continue as a going concern. This going concern risk may materially limit our ability to raise additional funds through the issuance of new debt or equity or may adversely affect the terms upon which such capital may be available. The inability to obtain sufficient financing on acceptable terms could have a material adverse effect on our financial condition, results of operations, and business prospects.</w:t>
      </w:r>
    </w:p>
    <w:p>
      <w:pPr>
        <w:spacing w:after="0" w:line="197"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We are actively pursuing strategies to mitigate these risks, however, there can be no assurance that these efforts will prove successful or that we will achieve our intended financial stability. The failure to successfully address these going concern risks may materially and adversely affect our business, financial condition, and results of operations. Investors should consider the substantial risks and uncertainties inherent in our business before investing in our securities.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720"/>
          </w:cols>
          <w:pgMar w:left="1260" w:top="1244" w:right="1260" w:bottom="719" w:gutter="0" w:footer="0" w:header="0"/>
          <w:type w:val="continuous"/>
        </w:sectPr>
      </w:pPr>
    </w:p>
    <w:bookmarkStart w:id="26" w:name="page27"/>
    <w:bookmarkEnd w:id="26"/>
    <w:p>
      <w:pPr>
        <w:jc w:val="both"/>
        <w:ind w:right="20" w:firstLine="36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have a limited operating history and no history of commercializing products, which may make it difficult for an investor to evaluate the success of our business to date and to assess our future viability.</w:t>
      </w:r>
    </w:p>
    <w:p>
      <w:pPr>
        <w:spacing w:after="0" w:line="16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are a clinical-stage medical device company with a limited operating history. We commenced operations in 2011, and our operations to date have been largely focused on organizing and staffing our company, business planning, raising capital and conducting preclinical research and development activities for our product candidates. To date, we have not yet demonstrated our ability to successfully complete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203"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We may need to raise additional capital to fund our development and commercialization plans.</w:t>
      </w:r>
    </w:p>
    <w:p>
      <w:pPr>
        <w:spacing w:after="0" w:line="23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If our available cash resources are insufficient to satisfy our liquidity requirements, due to, for example, the realization of other risks described in this Annual Report, we may be required to raise additional capital prior to such time by issuing equity or convertible debt securities, entering into a credit facility or another form of third-party funding or seeking other debt financing.</w:t>
      </w:r>
    </w:p>
    <w:p>
      <w:pPr>
        <w:spacing w:after="0" w:line="196"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We may consider raising additional capital in the future to expand our business, to pursue strategic investments, to take advantage of financing or acquisition opportunities or for other reasons, including:</w:t>
      </w:r>
    </w:p>
    <w:p>
      <w:pPr>
        <w:spacing w:after="0" w:line="168" w:lineRule="exact"/>
        <w:rPr>
          <w:sz w:val="20"/>
          <w:szCs w:val="20"/>
          <w:color w:val="auto"/>
        </w:rPr>
      </w:pPr>
    </w:p>
    <w:p>
      <w:pPr>
        <w:ind w:left="720" w:hanging="352"/>
        <w:spacing w:after="0"/>
        <w:tabs>
          <w:tab w:leader="none" w:pos="720" w:val="left"/>
        </w:tabs>
        <w:numPr>
          <w:ilvl w:val="0"/>
          <w:numId w:val="16"/>
        </w:numPr>
        <w:rPr>
          <w:rFonts w:ascii="Arial" w:cs="Arial" w:eastAsia="Arial" w:hAnsi="Arial"/>
          <w:sz w:val="16"/>
          <w:szCs w:val="16"/>
          <w:color w:val="auto"/>
        </w:rPr>
      </w:pPr>
      <w:r>
        <w:rPr>
          <w:rFonts w:ascii="Times New Roman" w:cs="Times New Roman" w:eastAsia="Times New Roman" w:hAnsi="Times New Roman"/>
          <w:sz w:val="20"/>
          <w:szCs w:val="20"/>
          <w:color w:val="auto"/>
        </w:rPr>
        <w:t>funding development and marketing efforts of our ablation technology or any other future products;</w:t>
      </w:r>
    </w:p>
    <w:p>
      <w:pPr>
        <w:spacing w:after="0" w:line="35" w:lineRule="exact"/>
        <w:rPr>
          <w:rFonts w:ascii="Arial" w:cs="Arial" w:eastAsia="Arial" w:hAnsi="Arial"/>
          <w:sz w:val="16"/>
          <w:szCs w:val="16"/>
          <w:color w:val="auto"/>
        </w:rPr>
      </w:pPr>
    </w:p>
    <w:p>
      <w:pPr>
        <w:ind w:left="720" w:right="60" w:hanging="352"/>
        <w:spacing w:after="0" w:line="256" w:lineRule="auto"/>
        <w:tabs>
          <w:tab w:leader="none" w:pos="720" w:val="left"/>
        </w:tabs>
        <w:numPr>
          <w:ilvl w:val="0"/>
          <w:numId w:val="16"/>
        </w:numPr>
        <w:rPr>
          <w:rFonts w:ascii="Arial" w:cs="Arial" w:eastAsia="Arial" w:hAnsi="Arial"/>
          <w:sz w:val="16"/>
          <w:szCs w:val="16"/>
          <w:color w:val="auto"/>
        </w:rPr>
      </w:pPr>
      <w:r>
        <w:rPr>
          <w:rFonts w:ascii="Times New Roman" w:cs="Times New Roman" w:eastAsia="Times New Roman" w:hAnsi="Times New Roman"/>
          <w:sz w:val="20"/>
          <w:szCs w:val="20"/>
          <w:color w:val="auto"/>
        </w:rPr>
        <w:t>increasing our sales and marketing and other commercialization efforts to drive market adoption of our ablation technology;</w:t>
      </w:r>
    </w:p>
    <w:p>
      <w:pPr>
        <w:spacing w:after="0" w:line="1" w:lineRule="exact"/>
        <w:rPr>
          <w:rFonts w:ascii="Arial" w:cs="Arial" w:eastAsia="Arial" w:hAnsi="Arial"/>
          <w:sz w:val="16"/>
          <w:szCs w:val="16"/>
          <w:color w:val="auto"/>
        </w:rPr>
      </w:pPr>
    </w:p>
    <w:p>
      <w:pPr>
        <w:ind w:left="720" w:hanging="352"/>
        <w:spacing w:after="0"/>
        <w:tabs>
          <w:tab w:leader="none" w:pos="720" w:val="left"/>
        </w:tabs>
        <w:numPr>
          <w:ilvl w:val="0"/>
          <w:numId w:val="16"/>
        </w:numPr>
        <w:rPr>
          <w:rFonts w:ascii="Arial" w:cs="Arial" w:eastAsia="Arial" w:hAnsi="Arial"/>
          <w:sz w:val="16"/>
          <w:szCs w:val="16"/>
          <w:color w:val="auto"/>
        </w:rPr>
      </w:pPr>
      <w:r>
        <w:rPr>
          <w:rFonts w:ascii="Times New Roman" w:cs="Times New Roman" w:eastAsia="Times New Roman" w:hAnsi="Times New Roman"/>
          <w:sz w:val="20"/>
          <w:szCs w:val="20"/>
          <w:color w:val="auto"/>
        </w:rPr>
        <w:t>expanding our technologies into additional markets;</w:t>
      </w:r>
    </w:p>
    <w:p>
      <w:pPr>
        <w:spacing w:after="0" w:line="14" w:lineRule="exact"/>
        <w:rPr>
          <w:rFonts w:ascii="Arial" w:cs="Arial" w:eastAsia="Arial" w:hAnsi="Arial"/>
          <w:sz w:val="16"/>
          <w:szCs w:val="16"/>
          <w:color w:val="auto"/>
        </w:rPr>
      </w:pPr>
    </w:p>
    <w:p>
      <w:pPr>
        <w:ind w:left="720" w:hanging="352"/>
        <w:spacing w:after="0"/>
        <w:tabs>
          <w:tab w:leader="none" w:pos="720" w:val="left"/>
        </w:tabs>
        <w:numPr>
          <w:ilvl w:val="0"/>
          <w:numId w:val="16"/>
        </w:numPr>
        <w:rPr>
          <w:rFonts w:ascii="Arial" w:cs="Arial" w:eastAsia="Arial" w:hAnsi="Arial"/>
          <w:sz w:val="16"/>
          <w:szCs w:val="16"/>
          <w:color w:val="auto"/>
        </w:rPr>
      </w:pPr>
      <w:r>
        <w:rPr>
          <w:rFonts w:ascii="Times New Roman" w:cs="Times New Roman" w:eastAsia="Times New Roman" w:hAnsi="Times New Roman"/>
          <w:sz w:val="20"/>
          <w:szCs w:val="20"/>
          <w:color w:val="auto"/>
        </w:rPr>
        <w:t>preparing, filing, prosecuting, defending and enforcing any patent claims and other intellectual property rights;</w:t>
      </w:r>
    </w:p>
    <w:p>
      <w:pPr>
        <w:spacing w:after="0" w:line="14" w:lineRule="exact"/>
        <w:rPr>
          <w:rFonts w:ascii="Arial" w:cs="Arial" w:eastAsia="Arial" w:hAnsi="Arial"/>
          <w:sz w:val="16"/>
          <w:szCs w:val="16"/>
          <w:color w:val="auto"/>
        </w:rPr>
      </w:pPr>
    </w:p>
    <w:p>
      <w:pPr>
        <w:ind w:left="720" w:hanging="352"/>
        <w:spacing w:after="0"/>
        <w:tabs>
          <w:tab w:leader="none" w:pos="720" w:val="left"/>
        </w:tabs>
        <w:numPr>
          <w:ilvl w:val="0"/>
          <w:numId w:val="16"/>
        </w:numPr>
        <w:rPr>
          <w:rFonts w:ascii="Arial" w:cs="Arial" w:eastAsia="Arial" w:hAnsi="Arial"/>
          <w:sz w:val="16"/>
          <w:szCs w:val="16"/>
          <w:color w:val="auto"/>
        </w:rPr>
      </w:pPr>
      <w:r>
        <w:rPr>
          <w:rFonts w:ascii="Times New Roman" w:cs="Times New Roman" w:eastAsia="Times New Roman" w:hAnsi="Times New Roman"/>
          <w:sz w:val="20"/>
          <w:szCs w:val="20"/>
          <w:color w:val="auto"/>
        </w:rPr>
        <w:t>acquiring, licensing or defending against third party intellectual property rights;</w:t>
      </w:r>
    </w:p>
    <w:p>
      <w:pPr>
        <w:spacing w:after="0" w:line="15" w:lineRule="exact"/>
        <w:rPr>
          <w:rFonts w:ascii="Arial" w:cs="Arial" w:eastAsia="Arial" w:hAnsi="Arial"/>
          <w:sz w:val="16"/>
          <w:szCs w:val="16"/>
          <w:color w:val="auto"/>
        </w:rPr>
      </w:pPr>
    </w:p>
    <w:p>
      <w:pPr>
        <w:ind w:left="720" w:hanging="352"/>
        <w:spacing w:after="0"/>
        <w:tabs>
          <w:tab w:leader="none" w:pos="720" w:val="left"/>
        </w:tabs>
        <w:numPr>
          <w:ilvl w:val="0"/>
          <w:numId w:val="16"/>
        </w:numPr>
        <w:rPr>
          <w:rFonts w:ascii="Arial" w:cs="Arial" w:eastAsia="Arial" w:hAnsi="Arial"/>
          <w:sz w:val="16"/>
          <w:szCs w:val="16"/>
          <w:color w:val="auto"/>
        </w:rPr>
      </w:pPr>
      <w:r>
        <w:rPr>
          <w:rFonts w:ascii="Times New Roman" w:cs="Times New Roman" w:eastAsia="Times New Roman" w:hAnsi="Times New Roman"/>
          <w:sz w:val="20"/>
          <w:szCs w:val="20"/>
          <w:color w:val="auto"/>
        </w:rPr>
        <w:t>acquiring or investing in complementary technologies, businesses or assets; and</w:t>
      </w:r>
    </w:p>
    <w:p>
      <w:pPr>
        <w:spacing w:after="0" w:line="17" w:lineRule="exact"/>
        <w:rPr>
          <w:rFonts w:ascii="Arial" w:cs="Arial" w:eastAsia="Arial" w:hAnsi="Arial"/>
          <w:sz w:val="16"/>
          <w:szCs w:val="16"/>
          <w:color w:val="auto"/>
        </w:rPr>
      </w:pPr>
    </w:p>
    <w:p>
      <w:pPr>
        <w:ind w:left="720" w:hanging="352"/>
        <w:spacing w:after="0"/>
        <w:tabs>
          <w:tab w:leader="none" w:pos="720" w:val="left"/>
        </w:tabs>
        <w:numPr>
          <w:ilvl w:val="0"/>
          <w:numId w:val="16"/>
        </w:numPr>
        <w:rPr>
          <w:rFonts w:ascii="Arial" w:cs="Arial" w:eastAsia="Arial" w:hAnsi="Arial"/>
          <w:sz w:val="16"/>
          <w:szCs w:val="16"/>
          <w:color w:val="auto"/>
        </w:rPr>
      </w:pPr>
      <w:r>
        <w:rPr>
          <w:rFonts w:ascii="Times New Roman" w:cs="Times New Roman" w:eastAsia="Times New Roman" w:hAnsi="Times New Roman"/>
          <w:sz w:val="20"/>
          <w:szCs w:val="20"/>
          <w:color w:val="auto"/>
        </w:rPr>
        <w:t>financing capital expenditures and general and administrative expenses.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present and future funding requirements will depend on many factors, including:</w:t>
      </w:r>
    </w:p>
    <w:p>
      <w:pPr>
        <w:spacing w:after="0" w:line="240" w:lineRule="exact"/>
        <w:rPr>
          <w:sz w:val="20"/>
          <w:szCs w:val="20"/>
          <w:color w:val="auto"/>
        </w:rPr>
      </w:pPr>
    </w:p>
    <w:p>
      <w:pPr>
        <w:ind w:left="720" w:hanging="352"/>
        <w:spacing w:after="0"/>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delays in execution of our development plans;</w:t>
      </w:r>
    </w:p>
    <w:p>
      <w:pPr>
        <w:spacing w:after="0" w:line="35" w:lineRule="exact"/>
        <w:rPr>
          <w:rFonts w:ascii="Arial" w:cs="Arial" w:eastAsia="Arial" w:hAnsi="Arial"/>
          <w:sz w:val="16"/>
          <w:szCs w:val="16"/>
          <w:color w:val="auto"/>
        </w:rPr>
      </w:pPr>
    </w:p>
    <w:p>
      <w:pPr>
        <w:ind w:left="720" w:hanging="352"/>
        <w:spacing w:after="0"/>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the scope and timing of our investment in our sales, marketing, and distribution capabilities;</w:t>
      </w:r>
    </w:p>
    <w:p>
      <w:pPr>
        <w:spacing w:after="0" w:line="14" w:lineRule="exact"/>
        <w:rPr>
          <w:rFonts w:ascii="Arial" w:cs="Arial" w:eastAsia="Arial" w:hAnsi="Arial"/>
          <w:sz w:val="16"/>
          <w:szCs w:val="16"/>
          <w:color w:val="auto"/>
        </w:rPr>
      </w:pPr>
    </w:p>
    <w:p>
      <w:pPr>
        <w:ind w:left="720" w:hanging="352"/>
        <w:spacing w:after="0"/>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changes we may make to our business that affect ongoing operating expenses;</w:t>
      </w:r>
    </w:p>
    <w:p>
      <w:pPr>
        <w:spacing w:after="0" w:line="17" w:lineRule="exact"/>
        <w:rPr>
          <w:rFonts w:ascii="Arial" w:cs="Arial" w:eastAsia="Arial" w:hAnsi="Arial"/>
          <w:sz w:val="16"/>
          <w:szCs w:val="16"/>
          <w:color w:val="auto"/>
        </w:rPr>
      </w:pPr>
    </w:p>
    <w:p>
      <w:pPr>
        <w:ind w:left="720" w:hanging="352"/>
        <w:spacing w:after="0"/>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the costs of filing, prosecuting, defending and enforcing any patent claims and other intellectual property rights;</w:t>
      </w:r>
    </w:p>
    <w:p>
      <w:pPr>
        <w:spacing w:after="0" w:line="14" w:lineRule="exact"/>
        <w:rPr>
          <w:rFonts w:ascii="Arial" w:cs="Arial" w:eastAsia="Arial" w:hAnsi="Arial"/>
          <w:sz w:val="16"/>
          <w:szCs w:val="16"/>
          <w:color w:val="auto"/>
        </w:rPr>
      </w:pPr>
    </w:p>
    <w:p>
      <w:pPr>
        <w:ind w:left="720" w:hanging="352"/>
        <w:spacing w:after="0"/>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changes we may make in our business or commercialization strategy;</w:t>
      </w:r>
    </w:p>
    <w:p>
      <w:pPr>
        <w:spacing w:after="0" w:line="14" w:lineRule="exact"/>
        <w:rPr>
          <w:rFonts w:ascii="Arial" w:cs="Arial" w:eastAsia="Arial" w:hAnsi="Arial"/>
          <w:sz w:val="16"/>
          <w:szCs w:val="16"/>
          <w:color w:val="auto"/>
        </w:rPr>
      </w:pPr>
    </w:p>
    <w:p>
      <w:pPr>
        <w:ind w:left="720" w:hanging="352"/>
        <w:spacing w:after="0"/>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changes we may make in our research and development spending plans;</w:t>
      </w:r>
    </w:p>
    <w:p>
      <w:pPr>
        <w:spacing w:after="0" w:line="14" w:lineRule="exact"/>
        <w:rPr>
          <w:rFonts w:ascii="Arial" w:cs="Arial" w:eastAsia="Arial" w:hAnsi="Arial"/>
          <w:sz w:val="16"/>
          <w:szCs w:val="16"/>
          <w:color w:val="auto"/>
        </w:rPr>
      </w:pPr>
    </w:p>
    <w:p>
      <w:pPr>
        <w:ind w:left="720" w:hanging="352"/>
        <w:spacing w:after="0"/>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our need to implement additional infrastructure and internal systems; and</w:t>
      </w:r>
    </w:p>
    <w:p>
      <w:pPr>
        <w:spacing w:after="0" w:line="14" w:lineRule="exact"/>
        <w:rPr>
          <w:rFonts w:ascii="Arial" w:cs="Arial" w:eastAsia="Arial" w:hAnsi="Arial"/>
          <w:sz w:val="16"/>
          <w:szCs w:val="16"/>
          <w:color w:val="auto"/>
        </w:rPr>
      </w:pPr>
    </w:p>
    <w:p>
      <w:pPr>
        <w:ind w:left="720" w:right="740" w:hanging="352"/>
        <w:spacing w:after="0" w:line="274" w:lineRule="auto"/>
        <w:tabs>
          <w:tab w:leader="none" w:pos="72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20"/>
          <w:szCs w:val="20"/>
          <w:color w:val="auto"/>
        </w:rPr>
        <w:t>other items affecting our forecasted level of expenditures and use of cash resources, including potential acquisitions.</w:t>
      </w:r>
    </w:p>
    <w:p>
      <w:pPr>
        <w:spacing w:after="0" w:line="192"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20"/>
          </w:cols>
          <w:pgMar w:left="1260" w:top="1248" w:right="1260" w:bottom="719" w:gutter="0" w:footer="0" w:header="0"/>
          <w:type w:val="continuous"/>
        </w:sectPr>
      </w:pPr>
    </w:p>
    <w:bookmarkStart w:id="27" w:name="page28"/>
    <w:bookmarkEnd w:id="27"/>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If we are unable to obtain adequate financing or financing on terms satisfactory to us, should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9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spacing w:after="0" w:line="185"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our business strategy or restructuring of our businesses may increase our costs or otherwise affect the profitability of our businesses or the value of our assets.</w:t>
      </w:r>
    </w:p>
    <w:p>
      <w:pPr>
        <w:spacing w:after="0" w:line="17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As there are changes in our business environment, we have adjusted, and may further, adjust our business strategies to meet these changes and we may otherwise decide to further restructure our operations or particular businesses or assets. Our new organization and strategies may not produce the anticipated benefits, such as supporting our growth strategies and enhancing shareholder value, and could be less successful than our previous organizational structure and strategies. In addition, external events, including changes in technology, changes in acceptance of our products and changes in macroeconomic conditions, may impair the value of our assets. When these changes or events occur, we may incur costs to change our business strategy and may need to write-down the value of assets. For example, current economic conditions, including relatively high interest rates, inflation and potential economic slowdowns, as well as our business decisions, may reduce the value of some of our assets. We also make investments in existing or new businesses, including re-investing in the expansion of our sales and build-out of our efforts in Europe. In any of these events, our costs may increase or returns on new investments may be lower than prior to the change in strategy or restructuring.</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720"/>
          </w:cols>
          <w:pgMar w:left="1260" w:top="1248" w:right="1260" w:bottom="719" w:gutter="0" w:footer="0" w:header="0"/>
          <w:type w:val="continuous"/>
        </w:sectPr>
      </w:pPr>
    </w:p>
    <w:bookmarkStart w:id="28" w:name="page29"/>
    <w:bookmarkEnd w:id="28"/>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growth and revenue prospects partially depend on our ability to accelerate the commercialization of our products and to capitalize on market opportunities.</w:t>
      </w:r>
    </w:p>
    <w:p>
      <w:pPr>
        <w:spacing w:after="0" w:line="168" w:lineRule="exact"/>
        <w:rPr>
          <w:sz w:val="20"/>
          <w:szCs w:val="20"/>
          <w:color w:val="auto"/>
        </w:rPr>
      </w:pPr>
    </w:p>
    <w:p>
      <w:pPr>
        <w:jc w:val="both"/>
        <w:ind w:right="20" w:firstLine="360"/>
        <w:spacing w:after="0" w:line="243" w:lineRule="auto"/>
        <w:rPr>
          <w:sz w:val="20"/>
          <w:szCs w:val="20"/>
          <w:color w:val="auto"/>
        </w:rPr>
      </w:pPr>
      <w:r>
        <w:rPr>
          <w:rFonts w:ascii="Times New Roman" w:cs="Times New Roman" w:eastAsia="Times New Roman" w:hAnsi="Times New Roman"/>
          <w:sz w:val="20"/>
          <w:szCs w:val="20"/>
          <w:color w:val="auto"/>
        </w:rPr>
        <w:t>Our future success is largely dependent on our ability to successfully develop and commercialize our pipeline products, which are based on innovative yet complex technologies and, at any time, can be in various stages of development. We are investing substantially all of our management efforts and financial resources in the development and commercialization of such products. For planning purposes, we estimate the timing of the accomplishment of various scientific, clinical, regulatory and other product development and commercialization goals, which we sometimes refer to as milestones. These milestones include the commencement or completion of scientific studies and clinical studies and the submission of regulatory applications. We base these milestones on a variety of assumptions, which are subject to numerous risks and uncertainties. There is a risk we will not achieve these milestones on a timely basis or at all. Even if we achieve these milestones, the actual timing of the achievement of these milestones can vary dramatically compared to our estimates, often for reasons beyond our control. Our ability to achieve milestones and generate future revenue from our current and/or future products depends on a number of additional factors, including:</w:t>
      </w:r>
    </w:p>
    <w:p>
      <w:pPr>
        <w:spacing w:after="0" w:line="200" w:lineRule="exact"/>
        <w:rPr>
          <w:sz w:val="20"/>
          <w:szCs w:val="20"/>
          <w:color w:val="auto"/>
        </w:rPr>
      </w:pPr>
    </w:p>
    <w:p>
      <w:pPr>
        <w:spacing w:after="0" w:line="254" w:lineRule="exact"/>
        <w:rPr>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rate of progress and costs and results of our clinical studies and research and development activities;</w:t>
      </w:r>
    </w:p>
    <w:p>
      <w:pPr>
        <w:spacing w:after="0" w:line="34" w:lineRule="exact"/>
        <w:rPr>
          <w:rFonts w:ascii="Arial" w:cs="Arial" w:eastAsia="Arial" w:hAnsi="Arial"/>
          <w:sz w:val="20"/>
          <w:szCs w:val="20"/>
          <w:color w:val="auto"/>
        </w:rPr>
      </w:pPr>
    </w:p>
    <w:p>
      <w:pPr>
        <w:ind w:left="720" w:right="440" w:hanging="352"/>
        <w:spacing w:after="0" w:line="252"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complete clinical development of our products, including necessary clinical studies;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achieve acceptance of our clinical trial data by the FDA or foreign regulatory authorities;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develop, optimize and scale up the manufacturing processes for our products;</w:t>
      </w:r>
    </w:p>
    <w:p>
      <w:pPr>
        <w:spacing w:after="0" w:line="34" w:lineRule="exact"/>
        <w:rPr>
          <w:rFonts w:ascii="Arial" w:cs="Arial" w:eastAsia="Arial" w:hAnsi="Arial"/>
          <w:sz w:val="20"/>
          <w:szCs w:val="20"/>
          <w:color w:val="auto"/>
        </w:rPr>
      </w:pPr>
    </w:p>
    <w:p>
      <w:pPr>
        <w:ind w:left="720" w:right="160" w:hanging="352"/>
        <w:spacing w:after="0" w:line="252"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supply and manufacturing relationships with third parties that ensure adequate and legally-compliant production of our products;</w:t>
      </w:r>
    </w:p>
    <w:p>
      <w:pPr>
        <w:ind w:left="720" w:right="300" w:hanging="352"/>
        <w:spacing w:after="0" w:line="252"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and/or the ability of third parties to manufacture our products, including our ability to source critical components or materials for the manufacture of our products;</w:t>
      </w:r>
    </w:p>
    <w:p>
      <w:pPr>
        <w:spacing w:after="0" w:line="1" w:lineRule="exact"/>
        <w:rPr>
          <w:rFonts w:ascii="Arial" w:cs="Arial" w:eastAsia="Arial" w:hAnsi="Arial"/>
          <w:sz w:val="20"/>
          <w:szCs w:val="20"/>
          <w:color w:val="auto"/>
        </w:rPr>
      </w:pPr>
    </w:p>
    <w:p>
      <w:pPr>
        <w:ind w:left="720" w:right="900" w:hanging="352"/>
        <w:spacing w:after="0" w:line="263"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complete and submit necessary applications for regulatory clearances, approvals or certifications for our products in the United States and elsewhere;</w:t>
      </w:r>
    </w:p>
    <w:p>
      <w:pPr>
        <w:spacing w:after="0" w:line="1" w:lineRule="exact"/>
        <w:rPr>
          <w:rFonts w:ascii="Arial" w:cs="Arial" w:eastAsia="Arial" w:hAnsi="Arial"/>
          <w:sz w:val="20"/>
          <w:szCs w:val="20"/>
          <w:color w:val="auto"/>
        </w:rPr>
      </w:pPr>
    </w:p>
    <w:p>
      <w:pPr>
        <w:ind w:left="720" w:right="80" w:hanging="352"/>
        <w:spacing w:after="0" w:line="264"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comply with requirements enforced by the FDA, and other comparable regulatory authorities with respect to our marketing of products;</w:t>
      </w:r>
    </w:p>
    <w:p>
      <w:pPr>
        <w:spacing w:after="0" w:line="1" w:lineRule="exact"/>
        <w:rPr>
          <w:rFonts w:ascii="Arial" w:cs="Arial" w:eastAsia="Arial" w:hAnsi="Arial"/>
          <w:sz w:val="20"/>
          <w:szCs w:val="20"/>
          <w:color w:val="auto"/>
        </w:rPr>
      </w:pPr>
    </w:p>
    <w:p>
      <w:pPr>
        <w:ind w:left="720" w:right="540" w:hanging="352"/>
        <w:spacing w:after="0" w:line="25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meet the standards of FDA or foreign regulatory agencies and obtain necessary FDA or foreign regulatory clearances, approvals, or certifications, for our products or for future product modifications or proposed expansions in indication for any of our products that receive regulatory approval or certification;</w:t>
      </w:r>
    </w:p>
    <w:p>
      <w:pPr>
        <w:spacing w:after="0" w:line="3"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other actions by regulators, including actions related to a class of products;</w:t>
      </w:r>
    </w:p>
    <w:p>
      <w:pPr>
        <w:spacing w:after="0" w:line="14"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effective sales and marketing capabilities;</w:t>
      </w:r>
    </w:p>
    <w:p>
      <w:pPr>
        <w:spacing w:after="0" w:line="34"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compete against more established or better funded competitors;</w:t>
      </w:r>
    </w:p>
    <w:p>
      <w:pPr>
        <w:spacing w:after="0" w:line="14"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achieve patient, physician, and market acceptance for our products;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maintain and protect our intellectual property rights; and</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hire and retain qualified personnel.</w:t>
      </w:r>
    </w:p>
    <w:p>
      <w:pPr>
        <w:spacing w:after="0" w:line="252" w:lineRule="exact"/>
        <w:rPr>
          <w:sz w:val="20"/>
          <w:szCs w:val="20"/>
          <w:color w:val="auto"/>
        </w:rPr>
      </w:pPr>
    </w:p>
    <w:p>
      <w:pPr>
        <w:jc w:val="both"/>
        <w:ind w:firstLine="401"/>
        <w:spacing w:after="0" w:line="244" w:lineRule="auto"/>
        <w:rPr>
          <w:sz w:val="20"/>
          <w:szCs w:val="20"/>
          <w:color w:val="auto"/>
        </w:rPr>
      </w:pPr>
      <w:r>
        <w:rPr>
          <w:rFonts w:ascii="Times New Roman" w:cs="Times New Roman" w:eastAsia="Times New Roman" w:hAnsi="Times New Roman"/>
          <w:sz w:val="20"/>
          <w:szCs w:val="20"/>
          <w:color w:val="auto"/>
        </w:rPr>
        <w:t>In addition, because of the numerous risks and uncertainties associated with completing clinical studies and obtaining necessary clearances, approvals or certifications, we are unable to predict the timing or amount of our expenses, or if or when we will achieve or maintain revenues or profitability. In addition, our expenses could increase beyond expectations if we decide to or are required by the FDA or foreign regulatory authorities to perform studies or trials for our products in addition to those that we currently anticipate. If we complete the development and regulatory processes of our products, we anticipate incurring significant costs associated with launching and commercializing our products. Even if we generate revenues from the sale of our products, we may not be profitable and may need to obtain additional funding to continue operations. If we fail to achieve profitability or do not sustain profitability on a continuing basis, then we may be unable to continue our operations at planned levels and be forced to reduce our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20"/>
          </w:cols>
          <w:pgMar w:left="1260" w:top="1248" w:right="1260" w:bottom="719" w:gutter="0" w:footer="0" w:header="0"/>
          <w:type w:val="continuous"/>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jc w:val="both"/>
        <w:ind w:right="20" w:firstLine="401"/>
        <w:spacing w:after="0" w:line="259" w:lineRule="auto"/>
        <w:rPr>
          <w:sz w:val="20"/>
          <w:szCs w:val="20"/>
          <w:color w:val="auto"/>
        </w:rPr>
      </w:pPr>
      <w:r>
        <w:rPr>
          <w:rFonts w:ascii="Times New Roman" w:cs="Times New Roman" w:eastAsia="Times New Roman" w:hAnsi="Times New Roman"/>
          <w:sz w:val="20"/>
          <w:szCs w:val="20"/>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other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Factors that may cause fluctuations in our quarterly and annual results include, without limitation:</w:t>
      </w:r>
    </w:p>
    <w:p>
      <w:pPr>
        <w:spacing w:after="0" w:line="255" w:lineRule="exact"/>
        <w:rPr>
          <w:sz w:val="20"/>
          <w:szCs w:val="20"/>
          <w:color w:val="auto"/>
        </w:rPr>
      </w:pPr>
    </w:p>
    <w:p>
      <w:pPr>
        <w:ind w:left="720" w:hanging="352"/>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products, which may vary significantly from period to period;</w:t>
      </w:r>
    </w:p>
    <w:p>
      <w:pPr>
        <w:spacing w:after="0" w:line="35" w:lineRule="exact"/>
        <w:rPr>
          <w:rFonts w:ascii="Arial" w:cs="Arial" w:eastAsia="Arial" w:hAnsi="Arial"/>
          <w:sz w:val="20"/>
          <w:szCs w:val="20"/>
          <w:color w:val="auto"/>
        </w:rPr>
      </w:pPr>
    </w:p>
    <w:p>
      <w:pPr>
        <w:ind w:left="720" w:right="1180" w:hanging="352"/>
        <w:spacing w:after="0" w:line="264"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may incur to acquire, develop or commercialize additional products and technologies;</w:t>
      </w:r>
    </w:p>
    <w:p>
      <w:pPr>
        <w:spacing w:after="0" w:line="1" w:lineRule="exact"/>
        <w:rPr>
          <w:rFonts w:ascii="Arial" w:cs="Arial" w:eastAsia="Arial" w:hAnsi="Arial"/>
          <w:sz w:val="20"/>
          <w:szCs w:val="20"/>
          <w:color w:val="auto"/>
        </w:rPr>
      </w:pPr>
    </w:p>
    <w:p>
      <w:pPr>
        <w:ind w:left="720" w:right="100" w:hanging="352"/>
        <w:spacing w:after="0" w:line="264"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clinical trials, including obtaining regulatory approvals or clearances for planned or future products;</w:t>
      </w:r>
    </w:p>
    <w:p>
      <w:pPr>
        <w:ind w:left="720" w:right="840" w:hanging="352"/>
        <w:spacing w:after="0" w:line="263"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rate at which we grow our sales force and the speed at which newly hired salespeople become effective, and the cost and level of investment therein;</w:t>
      </w:r>
    </w:p>
    <w:p>
      <w:pPr>
        <w:ind w:left="720" w:right="420" w:hanging="352"/>
        <w:spacing w:after="0" w:line="252"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degree of competition in our industry and any change in the competitive landscape of our industry, including consolidation among our competitors or future partners;</w:t>
      </w:r>
    </w:p>
    <w:p>
      <w:pPr>
        <w:spacing w:after="0" w:line="1" w:lineRule="exact"/>
        <w:rPr>
          <w:rFonts w:ascii="Arial" w:cs="Arial" w:eastAsia="Arial" w:hAnsi="Arial"/>
          <w:sz w:val="20"/>
          <w:szCs w:val="20"/>
          <w:color w:val="auto"/>
        </w:rPr>
      </w:pPr>
    </w:p>
    <w:p>
      <w:pPr>
        <w:ind w:left="720" w:right="560" w:hanging="352"/>
        <w:spacing w:after="0" w:line="263"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coverage and reimbursement policies with respect to the procedures using our products and potential future products that compete with our products;</w:t>
      </w:r>
    </w:p>
    <w:p>
      <w:pPr>
        <w:spacing w:after="0" w:line="1" w:lineRule="exact"/>
        <w:rPr>
          <w:rFonts w:ascii="Arial" w:cs="Arial" w:eastAsia="Arial" w:hAnsi="Arial"/>
          <w:sz w:val="20"/>
          <w:szCs w:val="20"/>
          <w:color w:val="auto"/>
        </w:rPr>
      </w:pPr>
    </w:p>
    <w:p>
      <w:pPr>
        <w:ind w:left="720" w:right="780" w:hanging="352"/>
        <w:spacing w:after="0" w:line="264"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success or failure of clinical trials for our current or planned products or any future products we develop or competing products;</w:t>
      </w:r>
    </w:p>
    <w:p>
      <w:pPr>
        <w:spacing w:after="0" w:line="1" w:lineRule="exact"/>
        <w:rPr>
          <w:rFonts w:ascii="Arial" w:cs="Arial" w:eastAsia="Arial" w:hAnsi="Arial"/>
          <w:sz w:val="20"/>
          <w:szCs w:val="20"/>
          <w:color w:val="auto"/>
        </w:rPr>
      </w:pPr>
    </w:p>
    <w:p>
      <w:pPr>
        <w:ind w:left="720" w:right="800" w:hanging="352"/>
        <w:spacing w:after="0" w:line="263"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development, regulatory approval and commercialization activities relating to our products, which may change from time to time;</w:t>
      </w:r>
    </w:p>
    <w:p>
      <w:pPr>
        <w:spacing w:after="0" w:line="1" w:lineRule="exact"/>
        <w:rPr>
          <w:rFonts w:ascii="Arial" w:cs="Arial" w:eastAsia="Arial" w:hAnsi="Arial"/>
          <w:sz w:val="20"/>
          <w:szCs w:val="20"/>
          <w:color w:val="auto"/>
        </w:rPr>
      </w:pPr>
    </w:p>
    <w:p>
      <w:pPr>
        <w:ind w:left="720" w:right="220" w:hanging="352"/>
        <w:spacing w:after="0" w:line="263"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products, which may vary depending on the quantity of production and the terms of our agreements with third-party suppliers and manufacturers;</w:t>
      </w:r>
    </w:p>
    <w:p>
      <w:pPr>
        <w:ind w:left="7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natural disasters, outbreaks of disease or public health crises;</w:t>
      </w:r>
    </w:p>
    <w:p>
      <w:pPr>
        <w:spacing w:after="0" w:line="24" w:lineRule="exact"/>
        <w:rPr>
          <w:rFonts w:ascii="Arial" w:cs="Arial" w:eastAsia="Arial" w:hAnsi="Arial"/>
          <w:sz w:val="20"/>
          <w:szCs w:val="20"/>
          <w:color w:val="auto"/>
        </w:rPr>
      </w:pPr>
    </w:p>
    <w:p>
      <w:pPr>
        <w:ind w:left="720" w:hanging="352"/>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nature of any future acquisitions or strategic partnerships; and</w:t>
      </w:r>
    </w:p>
    <w:p>
      <w:pPr>
        <w:spacing w:after="0" w:line="15" w:lineRule="exact"/>
        <w:rPr>
          <w:rFonts w:ascii="Arial" w:cs="Arial" w:eastAsia="Arial" w:hAnsi="Arial"/>
          <w:sz w:val="20"/>
          <w:szCs w:val="20"/>
          <w:color w:val="auto"/>
        </w:rPr>
      </w:pPr>
    </w:p>
    <w:p>
      <w:pPr>
        <w:ind w:left="720" w:hanging="352"/>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41" w:lineRule="exact"/>
        <w:rPr>
          <w:sz w:val="20"/>
          <w:szCs w:val="20"/>
          <w:color w:val="auto"/>
        </w:rPr>
      </w:pPr>
    </w:p>
    <w:p>
      <w:pPr>
        <w:jc w:val="both"/>
        <w:ind w:right="20" w:firstLine="401"/>
        <w:spacing w:after="0" w:line="258" w:lineRule="auto"/>
        <w:rPr>
          <w:sz w:val="20"/>
          <w:szCs w:val="20"/>
          <w:color w:val="auto"/>
        </w:rPr>
      </w:pPr>
      <w:r>
        <w:rPr>
          <w:rFonts w:ascii="Times New Roman" w:cs="Times New Roman" w:eastAsia="Times New Roman" w:hAnsi="Times New Roman"/>
          <w:sz w:val="20"/>
          <w:szCs w:val="20"/>
          <w:color w:val="auto"/>
        </w:rPr>
        <w:t>Because our quarterly and annual results may fluctuate, period -to-period comparisons may not be the best indication of the underlying results of our business and should only be relied upon as one factor in determining how our business is performing.</w:t>
      </w:r>
    </w:p>
    <w:p>
      <w:pPr>
        <w:spacing w:after="0" w:line="180" w:lineRule="exact"/>
        <w:rPr>
          <w:sz w:val="20"/>
          <w:szCs w:val="20"/>
          <w:color w:val="auto"/>
        </w:rPr>
      </w:pPr>
    </w:p>
    <w:p>
      <w:pPr>
        <w:jc w:val="both"/>
        <w:ind w:right="20" w:firstLine="401"/>
        <w:spacing w:after="0" w:line="251" w:lineRule="auto"/>
        <w:rPr>
          <w:sz w:val="20"/>
          <w:szCs w:val="20"/>
          <w:color w:val="auto"/>
        </w:rPr>
      </w:pPr>
      <w:r>
        <w:rPr>
          <w:rFonts w:ascii="Times New Roman" w:cs="Times New Roman" w:eastAsia="Times New Roman" w:hAnsi="Times New Roman"/>
          <w:sz w:val="20"/>
          <w:szCs w:val="20"/>
          <w:color w:val="auto"/>
        </w:rPr>
        <w:t>In addition, this variability and unpredictability could result in us failing to meet the expectations of industry or financial analysts or investors for any period. If our revenue or operating results fall below the expectations of analysts or investors or below any forecasts we may provide to the market, it may result in a decrease in the share price of the common stock.</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20"/>
          </w:cols>
          <w:pgMar w:left="1260" w:top="1258" w:right="1260" w:bottom="719" w:gutter="0" w:footer="0" w:header="0"/>
          <w:type w:val="continuous"/>
        </w:sectPr>
      </w:pPr>
    </w:p>
    <w:bookmarkStart w:id="30" w:name="page31"/>
    <w:bookmarkEnd w:id="30"/>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There is no assurance that we will be able to execute on our business model, including achieving market acceptance of our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execute our business model is dependent on a number of factors, including:</w:t>
      </w:r>
    </w:p>
    <w:p>
      <w:pPr>
        <w:spacing w:after="0" w:line="132" w:lineRule="exact"/>
        <w:rPr>
          <w:sz w:val="20"/>
          <w:szCs w:val="20"/>
          <w:color w:val="auto"/>
        </w:rPr>
      </w:pPr>
    </w:p>
    <w:p>
      <w:pPr>
        <w:ind w:left="720" w:hanging="352"/>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senior management team to execute our business model;</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begin or maintain our pace of product development, manufacturing and commercialization;</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meet the changing needs of the catheter market;</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achieve market acceptance of our product; and</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employees to perform at a high level.</w:t>
      </w:r>
    </w:p>
    <w:p>
      <w:pPr>
        <w:spacing w:after="0" w:line="120" w:lineRule="exact"/>
        <w:rPr>
          <w:sz w:val="20"/>
          <w:szCs w:val="20"/>
          <w:color w:val="auto"/>
        </w:rPr>
      </w:pPr>
    </w:p>
    <w:p>
      <w:pPr>
        <w:jc w:val="both"/>
        <w:ind w:right="40" w:firstLine="401"/>
        <w:spacing w:after="0" w:line="258" w:lineRule="auto"/>
        <w:rPr>
          <w:sz w:val="20"/>
          <w:szCs w:val="20"/>
          <w:color w:val="auto"/>
        </w:rPr>
      </w:pPr>
      <w:r>
        <w:rPr>
          <w:rFonts w:ascii="Times New Roman" w:cs="Times New Roman" w:eastAsia="Times New Roman" w:hAnsi="Times New Roman"/>
          <w:sz w:val="20"/>
          <w:szCs w:val="20"/>
          <w:color w:val="auto"/>
        </w:rPr>
        <w:t>If we are unable to execute our business model, or if our business model does not drive the growth that we anticipate, or if our market opportunity is not as large as we have estimated, it could adversely affect our business and our prospects.</w:t>
      </w:r>
    </w:p>
    <w:p>
      <w:pPr>
        <w:spacing w:after="0" w:line="77"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20"/>
          <w:szCs w:val="20"/>
          <w:color w:val="auto"/>
        </w:rPr>
        <w:t>Our success will depend, in part, on the acceptance of our products as safe, effective and, with respect to providers, cost-effective. We cannot predict how quickly, if at all, hospitals, physicians, patients or payors will accept our products or, if accepted, how frequently they will be used. Our products and planned or future products we may develop or market may never gain broad market acceptance for some or all of our targeted indications. Hospitals, physicians, patients and payors must believe that our products offer benefits over alternative treatment methods. Our future growth and profitability largely depend on our ability to increase physician awareness of our system and our products and on the willingness of hospitals, physicians, patients or payors to adopt them. These parties may not adopt our products unless they are able to determine, based on experience, clinical data, medical society recommendations and other analyses, that our products are safe, effective and, with respect to providers, cost - effective, on a stand-alone basis and relative to competitors’ products. Healthcare providers must believe that our products offer benefits over alternative treatment methods. Even if we are able to raise awareness, physicians tend to be slow in changing their medical treatment practices and may be hesitant to select our products for recommendation to their hospitals or patients for a variety of reasons, including:</w:t>
      </w:r>
    </w:p>
    <w:p>
      <w:pPr>
        <w:spacing w:after="0" w:line="214" w:lineRule="exact"/>
        <w:rPr>
          <w:sz w:val="20"/>
          <w:szCs w:val="20"/>
          <w:color w:val="auto"/>
        </w:rPr>
      </w:pPr>
    </w:p>
    <w:p>
      <w:pPr>
        <w:ind w:left="720" w:hanging="352"/>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long-standing relationships with competing companies and distributors that sell other products;</w:t>
      </w:r>
    </w:p>
    <w:p>
      <w:pPr>
        <w:spacing w:after="0" w:line="38" w:lineRule="exact"/>
        <w:rPr>
          <w:rFonts w:ascii="Arial" w:cs="Arial" w:eastAsia="Arial" w:hAnsi="Arial"/>
          <w:sz w:val="20"/>
          <w:szCs w:val="20"/>
          <w:color w:val="auto"/>
        </w:rPr>
      </w:pPr>
    </w:p>
    <w:p>
      <w:pPr>
        <w:ind w:left="720" w:hanging="352"/>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competitive response and negative selling efforts from providers of alternative products;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lack of experience with our products and concerns that we are relatively new to the market;</w:t>
      </w:r>
    </w:p>
    <w:p>
      <w:pPr>
        <w:spacing w:after="0" w:line="35" w:lineRule="exact"/>
        <w:rPr>
          <w:rFonts w:ascii="Arial" w:cs="Arial" w:eastAsia="Arial" w:hAnsi="Arial"/>
          <w:sz w:val="20"/>
          <w:szCs w:val="20"/>
          <w:color w:val="auto"/>
        </w:rPr>
      </w:pPr>
    </w:p>
    <w:p>
      <w:pPr>
        <w:ind w:left="720" w:right="640" w:hanging="352"/>
        <w:spacing w:after="0" w:line="263"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lack or perceived lack of sufficient clinical evidence, including long -term data, supporting safety or clinical benefits; and</w:t>
      </w:r>
    </w:p>
    <w:p>
      <w:pPr>
        <w:ind w:left="720" w:right="160" w:hanging="352"/>
        <w:spacing w:after="0" w:line="265"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time commitment and skill development that may be required to gain familiarity and proficiency with our products.</w:t>
      </w:r>
    </w:p>
    <w:p>
      <w:pPr>
        <w:spacing w:after="0" w:line="214" w:lineRule="exact"/>
        <w:rPr>
          <w:sz w:val="20"/>
          <w:szCs w:val="20"/>
          <w:color w:val="auto"/>
        </w:rPr>
      </w:pPr>
    </w:p>
    <w:p>
      <w:pPr>
        <w:jc w:val="both"/>
        <w:ind w:right="20" w:firstLine="401"/>
        <w:spacing w:after="0" w:line="262" w:lineRule="auto"/>
        <w:rPr>
          <w:sz w:val="20"/>
          <w:szCs w:val="20"/>
          <w:color w:val="auto"/>
        </w:rPr>
      </w:pPr>
      <w:r>
        <w:rPr>
          <w:rFonts w:ascii="Times New Roman" w:cs="Times New Roman" w:eastAsia="Times New Roman" w:hAnsi="Times New Roman"/>
          <w:sz w:val="20"/>
          <w:szCs w:val="20"/>
          <w:color w:val="auto"/>
        </w:rPr>
        <w:t>Physicians play a significant role in determining the type of treatment that will be utilized and provided to a patient. We focus our sales, marketing and education efforts primarily on cardiac electrophysiologists, and aim to educate referring physicians regarding the patient population that would benefit from our products. However, we cannot assure you that we will achieve broad market acceptance among these practitioners.</w:t>
      </w:r>
    </w:p>
    <w:p>
      <w:pPr>
        <w:spacing w:after="0" w:line="196" w:lineRule="exact"/>
        <w:rPr>
          <w:sz w:val="20"/>
          <w:szCs w:val="20"/>
          <w:color w:val="auto"/>
        </w:rPr>
      </w:pPr>
    </w:p>
    <w:p>
      <w:pPr>
        <w:jc w:val="both"/>
        <w:ind w:right="20" w:firstLine="403"/>
        <w:spacing w:after="0" w:line="254" w:lineRule="auto"/>
        <w:rPr>
          <w:sz w:val="20"/>
          <w:szCs w:val="20"/>
          <w:color w:val="auto"/>
        </w:rPr>
      </w:pPr>
      <w:r>
        <w:rPr>
          <w:rFonts w:ascii="Times New Roman" w:cs="Times New Roman" w:eastAsia="Times New Roman" w:hAnsi="Times New Roman"/>
          <w:sz w:val="20"/>
          <w:szCs w:val="20"/>
          <w:color w:val="auto"/>
        </w:rPr>
        <w:t>For example, if electrophysiologists are not made aware of our products, they may not recommend ablation for their patients or the use of our product in their hospitals. In addition, some physicians may choose to utilize our products on only a subset of their total patient population or may not adopt our products at all. If we are not able to effectively demonstrate that the use of our products is beneficial in a broad range of patients, adoption of our products will be limited and may not occur as rapidly as we anticipate or at all, which would have a material adverse effect on our business, financial condition and results of operations. We cannot assure you that our products will achieve broad market acceptance among hospitals and physicians.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720"/>
          </w:cols>
          <w:pgMar w:left="1260" w:top="1248" w:right="1260" w:bottom="719" w:gutter="0" w:footer="0" w:header="0"/>
          <w:type w:val="continuous"/>
        </w:sectPr>
      </w:pPr>
    </w:p>
    <w:bookmarkStart w:id="31" w:name="page32"/>
    <w:bookmarkEnd w:id="31"/>
    <w:p>
      <w:pPr>
        <w:spacing w:after="0" w:line="59" w:lineRule="exact"/>
        <w:rPr>
          <w:sz w:val="20"/>
          <w:szCs w:val="20"/>
          <w:color w:val="auto"/>
        </w:rPr>
      </w:pPr>
    </w:p>
    <w:p>
      <w:pPr>
        <w:jc w:val="both"/>
        <w:ind w:right="20" w:firstLine="403"/>
        <w:spacing w:after="0" w:line="259" w:lineRule="auto"/>
        <w:rPr>
          <w:sz w:val="20"/>
          <w:szCs w:val="20"/>
          <w:color w:val="auto"/>
        </w:rPr>
      </w:pPr>
      <w:r>
        <w:rPr>
          <w:rFonts w:ascii="Times New Roman" w:cs="Times New Roman" w:eastAsia="Times New Roman" w:hAnsi="Times New Roman"/>
          <w:sz w:val="20"/>
          <w:szCs w:val="20"/>
          <w:color w:val="auto"/>
        </w:rPr>
        <w:t>Our reputation among our current or potential customers, as well as among electrophysiologists,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could harm our future prospects and have a material adverse effect on our business, financial condition and results of operations.</w:t>
      </w:r>
    </w:p>
    <w:p>
      <w:pPr>
        <w:spacing w:after="0" w:line="199" w:lineRule="exact"/>
        <w:rPr>
          <w:sz w:val="20"/>
          <w:szCs w:val="20"/>
          <w:color w:val="auto"/>
        </w:rPr>
      </w:pPr>
    </w:p>
    <w:p>
      <w:pPr>
        <w:jc w:val="both"/>
        <w:ind w:right="20" w:firstLine="403"/>
        <w:spacing w:after="0" w:line="259" w:lineRule="auto"/>
        <w:rPr>
          <w:sz w:val="20"/>
          <w:szCs w:val="20"/>
          <w:color w:val="auto"/>
        </w:rPr>
      </w:pPr>
      <w:r>
        <w:rPr>
          <w:rFonts w:ascii="Times New Roman" w:cs="Times New Roman" w:eastAsia="Times New Roman" w:hAnsi="Times New Roman"/>
          <w:sz w:val="20"/>
          <w:szCs w:val="20"/>
          <w:color w:val="auto"/>
        </w:rPr>
        <w:t>In the United States, before a hospital can purchase our product for the first time, our system must be approved for use by a hospital’s new product or value analysis committee, or the staff of a hospital or health system. Such approvals could deter or delay the use of our products by physicians. We cannot provide assurance that our efforts to obtain such approvals or generate adoption will be successful or increase the use of our products, and if we are not successful, it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size of the markets for our products may be smaller than estimated, limiting our ability to successfully sell our products.</w:t>
      </w:r>
    </w:p>
    <w:p>
      <w:pPr>
        <w:spacing w:after="0" w:line="262"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20"/>
          <w:szCs w:val="20"/>
          <w:color w:val="auto"/>
        </w:rPr>
        <w:t>Our estimates of the total addressable markets for our current products and products under development are based on a number of internal and third-party estimates, including, without limitation, the number of patients with cardiac arrhythmias and the assumed prices at which we can sell our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patients who would benefit from our products, the price at which we can sell products or the total addressable market for our products is smaller than we have estimated, it may impair our sales growth and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720"/>
          </w:cols>
          <w:pgMar w:left="1260" w:top="1440" w:right="1260" w:bottom="719" w:gutter="0" w:footer="0" w:header="0"/>
        </w:sectPr>
      </w:pPr>
    </w:p>
    <w:bookmarkStart w:id="32" w:name="page33"/>
    <w:bookmarkEnd w:id="32"/>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If we or the third parties with whom we work experience disruption in our information technology systems, data, or security incidents, our business could be adversely affected, including our ability to operate, the loss of confidential and proprietary information, increased remediation costs, and reputational damage.</w:t>
      </w:r>
    </w:p>
    <w:p>
      <w:pPr>
        <w:spacing w:after="0" w:line="20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the third parties with whom we work, including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attacks enhanced or facilitated by AI, supply-chain attacks, supply-chain attacks, employee theft or misuse, denial-of-service attacks and sophisticated nation-state and nation-state supported actors now engage in attacks, including advanced persistent threat intrusions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1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Despite our efforts to create security barriers to such threats, it is virtually impossible for us to entirely mitigate these risks.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For example, we have been the target of unsuccessful phishing attemp ts in the past, and expect such attempts will continue in the future.</w:t>
      </w:r>
    </w:p>
    <w:p>
      <w:pPr>
        <w:spacing w:after="0" w:line="21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 - 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 Certain data privacy and security obligations have required us to implement and maintain specific security measures or industry-standard or reasonable security measures to protect our information technology systems and sensitive information.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720"/>
          </w:cols>
          <w:pgMar w:left="1260" w:top="1248" w:right="1260" w:bottom="719" w:gutter="0" w:footer="0" w:header="0"/>
          <w:type w:val="continuous"/>
        </w:sectPr>
      </w:pPr>
    </w:p>
    <w:bookmarkStart w:id="33" w:name="page34"/>
    <w:bookmarkEnd w:id="33"/>
    <w:p>
      <w:pPr>
        <w:jc w:val="both"/>
        <w:ind w:right="20" w:firstLine="360"/>
        <w:spacing w:after="0" w:line="254" w:lineRule="auto"/>
        <w:rPr>
          <w:sz w:val="20"/>
          <w:szCs w:val="20"/>
          <w:color w:val="auto"/>
        </w:rPr>
      </w:pPr>
      <w:r>
        <w:rPr>
          <w:rFonts w:ascii="Times New Roman" w:cs="Times New Roman" w:eastAsia="Times New Roman" w:hAnsi="Times New Roman"/>
          <w:sz w:val="20"/>
          <w:szCs w:val="20"/>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250" w:lineRule="exact"/>
        <w:rPr>
          <w:sz w:val="20"/>
          <w:szCs w:val="20"/>
          <w:color w:val="auto"/>
        </w:rPr>
      </w:pPr>
    </w:p>
    <w:p>
      <w:pPr>
        <w:jc w:val="both"/>
        <w:ind w:right="20" w:firstLine="360"/>
        <w:spacing w:after="0" w:line="253" w:lineRule="auto"/>
        <w:rPr>
          <w:sz w:val="20"/>
          <w:szCs w:val="20"/>
          <w:color w:val="auto"/>
        </w:rPr>
      </w:pPr>
      <w:r>
        <w:rPr>
          <w:rFonts w:ascii="Times New Roman" w:cs="Times New Roman" w:eastAsia="Times New Roman" w:hAnsi="Times New Roman"/>
          <w:sz w:val="20"/>
          <w:szCs w:val="20"/>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addition, U.S. and international laws and regulations that have been applied to protect user privacy (including laws regarding unfair and deceptive practices in the U.S. and the GDPR in the European Union)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common stock.</w:t>
      </w:r>
    </w:p>
    <w:p>
      <w:pPr>
        <w:spacing w:after="0" w:line="209"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We may not in the future, however, detect and remediate all such vulnerabilities including on a timely basis. Further, we have and may in the future experience delays in developing and deploying remedial measures and patches designed to address identified vulnerabilities. The inability to implement, maintain and upgrade adequate safeguards could have a material adverse effect on our business, financial condition, results of operations and prospects.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manage our anticipated growth effectively.</w:t>
      </w:r>
    </w:p>
    <w:p>
      <w:pPr>
        <w:spacing w:after="0" w:line="231"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2025, we had 41 employees. To execute our anticipated growth successfully, we must continue to attract and retain qualified personnel and manage and train them effectively. Developing and commercializing the ablation technology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20"/>
          </w:cols>
          <w:pgMar w:left="1260" w:top="1258" w:right="1260" w:bottom="719" w:gutter="0" w:footer="0" w:header="0"/>
          <w:type w:val="continuous"/>
        </w:sectPr>
      </w:pPr>
    </w:p>
    <w:bookmarkStart w:id="34" w:name="page35"/>
    <w:bookmarkEnd w:id="34"/>
    <w:p>
      <w:pPr>
        <w:jc w:val="both"/>
        <w:ind w:right="20" w:firstLine="403"/>
        <w:spacing w:after="0" w:line="257" w:lineRule="auto"/>
        <w:rPr>
          <w:sz w:val="20"/>
          <w:szCs w:val="20"/>
          <w:color w:val="auto"/>
        </w:rPr>
      </w:pPr>
      <w:r>
        <w:rPr>
          <w:rFonts w:ascii="Times New Roman" w:cs="Times New Roman" w:eastAsia="Times New Roman" w:hAnsi="Times New Roman"/>
          <w:sz w:val="20"/>
          <w:szCs w:val="20"/>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81" w:lineRule="exact"/>
        <w:rPr>
          <w:sz w:val="20"/>
          <w:szCs w:val="20"/>
          <w:color w:val="auto"/>
        </w:rPr>
      </w:pPr>
    </w:p>
    <w:p>
      <w:pPr>
        <w:jc w:val="both"/>
        <w:ind w:right="20" w:firstLine="403"/>
        <w:spacing w:after="0" w:line="247" w:lineRule="auto"/>
        <w:rPr>
          <w:sz w:val="20"/>
          <w:szCs w:val="20"/>
          <w:color w:val="auto"/>
        </w:rPr>
      </w:pPr>
      <w:r>
        <w:rPr>
          <w:rFonts w:ascii="Times New Roman" w:cs="Times New Roman" w:eastAsia="Times New Roman" w:hAnsi="Times New Roman"/>
          <w:sz w:val="20"/>
          <w:szCs w:val="20"/>
          <w:color w:val="auto"/>
        </w:rPr>
        <w:t>Our ability to successfully transition from a largely development stage company to a full scale commercial operation is uncertain given the fact that we have been in operation since 2011.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financial condition, results of operations, and prospects could be harmed.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acquire other companies or technologies, or form strategic partnerships with other companies, which could divert our management’s attention, increase our capital requirements, and otherwise disrupt our operations, subject us to other risks and harm our operating results.</w:t>
      </w:r>
    </w:p>
    <w:p>
      <w:pPr>
        <w:spacing w:after="0" w:line="178" w:lineRule="exact"/>
        <w:rPr>
          <w:sz w:val="20"/>
          <w:szCs w:val="20"/>
          <w:color w:val="auto"/>
        </w:rPr>
      </w:pPr>
    </w:p>
    <w:p>
      <w:pPr>
        <w:jc w:val="both"/>
        <w:ind w:right="20" w:firstLine="401"/>
        <w:spacing w:after="0" w:line="246" w:lineRule="auto"/>
        <w:rPr>
          <w:sz w:val="20"/>
          <w:szCs w:val="20"/>
          <w:color w:val="auto"/>
        </w:rPr>
      </w:pPr>
      <w:r>
        <w:rPr>
          <w:rFonts w:ascii="Times New Roman" w:cs="Times New Roman" w:eastAsia="Times New Roman" w:hAnsi="Times New Roman"/>
          <w:sz w:val="20"/>
          <w:szCs w:val="20"/>
          <w:color w:val="auto"/>
        </w:rPr>
        <w:t>We may in the future seek to acquire or invest in businesses, applications or technologies that we believe could complement or expand our ablation technology product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0" w:lineRule="exact"/>
        <w:rPr>
          <w:sz w:val="20"/>
          <w:szCs w:val="20"/>
          <w:color w:val="auto"/>
        </w:rPr>
      </w:pPr>
    </w:p>
    <w:p>
      <w:pPr>
        <w:spacing w:after="0" w:line="227"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recruit and retain key executives and scientists, we may be unable to achieve our goals.</w:t>
      </w:r>
    </w:p>
    <w:p>
      <w:pPr>
        <w:spacing w:after="0" w:line="231" w:lineRule="exact"/>
        <w:rPr>
          <w:sz w:val="20"/>
          <w:szCs w:val="20"/>
          <w:color w:val="auto"/>
        </w:rPr>
      </w:pPr>
    </w:p>
    <w:p>
      <w:pPr>
        <w:jc w:val="both"/>
        <w:ind w:right="20" w:firstLine="401"/>
        <w:spacing w:after="0" w:line="251" w:lineRule="auto"/>
        <w:rPr>
          <w:sz w:val="20"/>
          <w:szCs w:val="20"/>
          <w:color w:val="auto"/>
        </w:rPr>
      </w:pPr>
      <w:r>
        <w:rPr>
          <w:rFonts w:ascii="Times New Roman" w:cs="Times New Roman" w:eastAsia="Times New Roman" w:hAnsi="Times New Roman"/>
          <w:sz w:val="20"/>
          <w:szCs w:val="20"/>
          <w:color w:val="auto"/>
        </w:rPr>
        <w:t>Our success depends largely on the continued services of key members of our executive management team and others in key management positions. We do not currently maintain key person life insurance policies on any of our employees. If we lose one or more key employees, we may experience difficulties in competing effectively, developing our technologies and implementing our business strategy.</w:t>
      </w:r>
    </w:p>
    <w:p>
      <w:pPr>
        <w:spacing w:after="0" w:line="188"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In addition, our research and development programs, clinical operations and sales and marketing efforts depend on our ability to attract and retain highly skilled scientists, engineers and sales professionals. Competition for skilled personnel in our market is intense, and we have from time to time experienced, and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 ent. If the perceived benefits of our stock awards decline, it may harm our ability to recruit and retain highly skilled employees. If we fail to attract new personnel or fail to retain and motivate our current personnel, our business and future growth prospects could be harmed.</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20"/>
          </w:cols>
          <w:pgMar w:left="1260" w:top="1248" w:right="1260" w:bottom="719"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Consolidation in the medical device industry could have an adverse effect on our revenue and results of operations.</w:t>
      </w:r>
    </w:p>
    <w:p>
      <w:pPr>
        <w:spacing w:after="0" w:line="229" w:lineRule="exact"/>
        <w:rPr>
          <w:sz w:val="20"/>
          <w:szCs w:val="20"/>
          <w:color w:val="auto"/>
        </w:rPr>
      </w:pPr>
    </w:p>
    <w:p>
      <w:pPr>
        <w:jc w:val="both"/>
        <w:ind w:right="20" w:firstLine="360"/>
        <w:spacing w:after="0" w:line="248" w:lineRule="auto"/>
        <w:rPr>
          <w:sz w:val="20"/>
          <w:szCs w:val="20"/>
          <w:color w:val="auto"/>
        </w:rPr>
      </w:pPr>
      <w:r>
        <w:rPr>
          <w:rFonts w:ascii="Times New Roman" w:cs="Times New Roman" w:eastAsia="Times New Roman" w:hAnsi="Times New Roman"/>
          <w:sz w:val="20"/>
          <w:szCs w:val="20"/>
          <w:color w:val="auto"/>
        </w:rPr>
        <w:t>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their products. If we reduce our prices because of consolidation in the medical device industry, our revenue would decrease, which could have a material adverse effect on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Unfavorable U.S. or global economic conditions as a result of a pandemic, political instability, natural disasters, or otherwise, could adversely affect our ability to raise capital and our business, financial condition and results of operations.</w:t>
      </w:r>
    </w:p>
    <w:p>
      <w:pPr>
        <w:spacing w:after="0" w:line="138"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fluctuating interest rates, international tariff policies, trade wars and other concerns regarding international trade relations, political turmoil, natural catastrophes, outbreaks of contagious diseases, geopolitical tensions, warfare and terrorist attacks, could cause a decrease in business investments, disrupt the timing and cadence of key industry events, and negatively affect the growth of our business and our results of operations. For example, the COVID- 19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A severe or prolonged economic downturn could result in a variety of risks to our business, including weakened demand for ou 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common stock.</w:t>
      </w:r>
    </w:p>
    <w:p>
      <w:pPr>
        <w:spacing w:after="0" w:line="175"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common stock.</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720"/>
          </w:cols>
          <w:pgMar w:left="1260" w:top="1248" w:right="1260" w:bottom="719" w:gutter="0" w:footer="0" w:header="0"/>
          <w:type w:val="continuous"/>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If our facilities become unavailable or inoperable, our research and development program and commercialization launch plan could be adversely affected, which could materially and adversely impact our business, financial condition and results of operations.</w:t>
      </w:r>
    </w:p>
    <w:p>
      <w:pPr>
        <w:spacing w:after="0" w:line="18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currently maintain our research, development, manufacturing and administrative operations in a building located in Laguna Hills, California, and we do not have redundant facilities. Should our building be significantly damaged or destroyed by natural or man -made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Because of the time required to authorize manufacturing in a new facility under federal, state and non - U.S. regulatory requirements, we may not be able to resume production on a timely basis ev en if we were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If our facilities become inoperable, the inability to perform our research, development and manufacturing activities, combined with our limited inventory of materials and components and manufactured products, may cause physicians to discontinue using our products or harm our reputation, and we may be unable to re -establish relationships with such physicians in the future. Consequently, a catastrophic event at our current facility or any future facilities could have a material adverse effect on our business, financial condition and results of operations.</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60" w:lineRule="exact"/>
        <w:rPr>
          <w:sz w:val="20"/>
          <w:szCs w:val="20"/>
          <w:color w:val="auto"/>
        </w:rPr>
      </w:pPr>
    </w:p>
    <w:p>
      <w:pPr>
        <w:jc w:val="both"/>
        <w:ind w:right="20" w:firstLine="401"/>
        <w:spacing w:after="0" w:line="245" w:lineRule="auto"/>
        <w:rPr>
          <w:sz w:val="20"/>
          <w:szCs w:val="20"/>
          <w:color w:val="auto"/>
        </w:rPr>
      </w:pPr>
      <w:r>
        <w:rPr>
          <w:rFonts w:ascii="Times New Roman" w:cs="Times New Roman" w:eastAsia="Times New Roman" w:hAnsi="Times New Roman"/>
          <w:sz w:val="20"/>
          <w:szCs w:val="20"/>
          <w:color w:val="auto"/>
        </w:rPr>
        <w:t>Our research and development processes and manufacturing involve the controlled use of hazardous materials, including select chemicals that may be flammable, toxic or corrosive. We do not currently have research processes involving biohazard materials. We cannot eliminate the risk of accidental contamination or discharge and any resultant injury from these materials. In addition, the products involve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200" w:lineRule="exact"/>
        <w:rPr>
          <w:sz w:val="20"/>
          <w:szCs w:val="20"/>
          <w:color w:val="auto"/>
        </w:rPr>
      </w:pPr>
    </w:p>
    <w:p>
      <w:pPr>
        <w:spacing w:after="0" w:line="22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International trade policies, including tariffs, sanctions and trade barriers may adversely affect our business, financial condition, results of operations and prospects</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For example, 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have contributed to continued volatility in the trade environment.</w:t>
      </w:r>
    </w:p>
    <w:p>
      <w:pPr>
        <w:spacing w:after="0" w:line="20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source some materials from international suppliers, with reliance on foreign manufacturers, including China. Tariff policies, particularly those affecting China, could materially increase our costs and reduce our profitability, including as a result of our inability to adjust pricing in formulary-based markets. Recent and potential future changes in international trade policies, particularly regarding U.S. China trade relations present risks to our operations and financial performance.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720"/>
          </w:cols>
          <w:pgMar w:left="1260" w:top="1248" w:right="1260" w:bottom="719" w:gutter="0" w:footer="0" w:header="0"/>
          <w:type w:val="continuous"/>
        </w:sectPr>
      </w:pPr>
    </w:p>
    <w:bookmarkStart w:id="37" w:name="page38"/>
    <w:bookmarkEnd w:id="37"/>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Unlike many industries, our ability to pass increased costs to customers may be limited by the structure of medical device pricing and reimbursement systems. In many cases, pricing of medical devices are established through annual or multi-year contracts with commercial, third-party payors, customers, and group purchasing organizations, and reimbursement methodologies established by government programs, such as Medicare. These arrangements typically include fixed pricing terms. As a result, and depending on the timing and scope of our future commercialization and the implementation of any future tariffs, cost increases due to tariffs may be difficult or impossible to pass through to customers until the next negotiation cycle.</w:t>
      </w:r>
    </w:p>
    <w:p>
      <w:pPr>
        <w:spacing w:after="0" w:line="201"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Current or future tariffs will also result in increased research and development expenses, including with respect to increased costs associated with raw materials,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9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204"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w:t>
      </w:r>
    </w:p>
    <w:p>
      <w:pPr>
        <w:spacing w:after="0" w:line="20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corporate prioritization initiative may not achieve our intended outcome and may result in significant adverse consequences.</w:t>
      </w:r>
    </w:p>
    <w:p>
      <w:pPr>
        <w:spacing w:after="0" w:line="16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In February 2025, we implemented a corporate prioritization initiative focusing all resources on the FULCRUM-VT clinical trial activities and our new product design optimization program. This corporate prioritization initiative may result in unintended consequences and costs, such as the loss of institutional knowledge and expertise, attrition beyond the intended number of employees, decreased morale among our remaining employees, and the risk that we may not achieve the anticipated benefits of the corporate prioritization initiative. If we are unable to realize the anticipated benefits from the corporate prioritization initiative, or if we experience significant adverse consequences from the corporate prioritization initiative, our business, financial condition, and results of operations may be materially adversely affected</w:t>
      </w:r>
      <w:r>
        <w:rPr>
          <w:rFonts w:ascii="Times New Roman" w:cs="Times New Roman" w:eastAsia="Times New Roman" w:hAnsi="Times New Roman"/>
          <w:sz w:val="19"/>
          <w:szCs w:val="19"/>
          <w:b w:val="1"/>
          <w:bCs w:val="1"/>
          <w:i w:val="1"/>
          <w:iCs w:val="1"/>
          <w:color w:val="auto"/>
        </w:rPr>
        <w:t>.</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20"/>
          </w:cols>
          <w:pgMar w:left="1260" w:top="1248" w:right="1260" w:bottom="719"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Products</w:t>
      </w: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clinical trials are unsuccessful or significantly delayed, or if we do not complete our clinical trials, our business may be harmed.</w:t>
      </w:r>
    </w:p>
    <w:p>
      <w:pPr>
        <w:spacing w:after="0" w:line="160"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color w:val="auto"/>
        </w:rPr>
        <w:t>Clinical development is a long, expensive and uncertain process and is subject to delays and the risk that products may ultimately prove unsafe or ineffective in treating the indications for which they are designed.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(“IRB”) approval at each site, in recruiting patients to participate in a trial or in obtaining sufficient supplies of clinical trial materials.</w:t>
      </w:r>
    </w:p>
    <w:p>
      <w:pPr>
        <w:spacing w:after="0" w:line="190"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In September 2023, we announced the first Ventricular Tachycardia (“VT”) ULTA procedure performed using the Adagio VT Cryoablation System in the United States as part of the FULCRUM- VT early feasibility (“EFS IDE”) clinical trial. Delays in the completion of these and other clinical testing could significantly affect our product development costs. The completion of clinical trials can be delayed for a number of reasons, including delays related to: inability to enroll sufficient numbers of study subjects in a timely manner; unexpected or serious adverse effects related to our medical device candidate experienced by patients in a clinical trial; and retaining patients who have initiated a clinical trial, but may withdraw due to treatment protocol, adverse effects from the therapy, lack of effectiveness from the treatment or personal issues or who may not return for a sufficient number of post -operative visits. Clinical trials may also be delayed, suspended or terminated as a result of ambiguous or negative interim results, or results that are inconsistent with earlier results. In addition, a clinical trial may be suspended or terminated by us, the FDA, other regulatory authorities, or other numerous unforeseen factors or events during or because of the clinical trial process, including:</w:t>
      </w:r>
    </w:p>
    <w:p>
      <w:pPr>
        <w:spacing w:after="0" w:line="209" w:lineRule="exact"/>
        <w:rPr>
          <w:sz w:val="20"/>
          <w:szCs w:val="20"/>
          <w:color w:val="auto"/>
        </w:rPr>
      </w:pPr>
    </w:p>
    <w:p>
      <w:pPr>
        <w:ind w:left="720" w:hanging="352"/>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conduct the clinical trial in accordance with regulatory requirements or our clinical protocols;</w:t>
      </w:r>
    </w:p>
    <w:p>
      <w:pPr>
        <w:spacing w:after="0" w:line="38" w:lineRule="exact"/>
        <w:rPr>
          <w:rFonts w:ascii="Arial" w:cs="Arial" w:eastAsia="Arial" w:hAnsi="Arial"/>
          <w:sz w:val="20"/>
          <w:szCs w:val="20"/>
          <w:color w:val="auto"/>
        </w:rPr>
      </w:pPr>
    </w:p>
    <w:p>
      <w:pPr>
        <w:ind w:left="720" w:right="580" w:hanging="352"/>
        <w:spacing w:after="0" w:line="263"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enrollment in our clinical trials may be slower than we anticipate, or we may experience high screen failure rates in our clinical trials, resulting in significant delays;</w:t>
      </w:r>
    </w:p>
    <w:p>
      <w:pPr>
        <w:spacing w:after="0" w:line="1" w:lineRule="exact"/>
        <w:rPr>
          <w:rFonts w:ascii="Arial" w:cs="Arial" w:eastAsia="Arial" w:hAnsi="Arial"/>
          <w:sz w:val="20"/>
          <w:szCs w:val="20"/>
          <w:color w:val="auto"/>
        </w:rPr>
      </w:pPr>
    </w:p>
    <w:p>
      <w:pPr>
        <w:jc w:val="both"/>
        <w:ind w:left="720" w:right="440" w:hanging="352"/>
        <w:spacing w:after="0" w:line="258"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trials may produce negative or inconclusive results, and we may decide, or regulators may require us, to conduct additional clinical and/or preclinical testing which may be expensive and time - consuming;</w:t>
      </w:r>
    </w:p>
    <w:p>
      <w:pPr>
        <w:spacing w:after="0" w:line="2" w:lineRule="exact"/>
        <w:rPr>
          <w:rFonts w:ascii="Arial" w:cs="Arial" w:eastAsia="Arial" w:hAnsi="Arial"/>
          <w:sz w:val="20"/>
          <w:szCs w:val="20"/>
          <w:color w:val="auto"/>
        </w:rPr>
      </w:pPr>
    </w:p>
    <w:p>
      <w:pPr>
        <w:ind w:left="720" w:right="540" w:hanging="352"/>
        <w:spacing w:after="0" w:line="253"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trial results may not meet the level of statistical significance required by the FDA or other regulatory authorities;</w:t>
      </w:r>
    </w:p>
    <w:p>
      <w:pPr>
        <w:ind w:left="720" w:right="880" w:hanging="352"/>
        <w:spacing w:after="0" w:line="26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similar foreign regulatory authorities may find the product is not sufficiently safe for investigational use in humans;</w:t>
      </w:r>
    </w:p>
    <w:p>
      <w:pPr>
        <w:spacing w:after="0" w:line="1" w:lineRule="exact"/>
        <w:rPr>
          <w:rFonts w:ascii="Arial" w:cs="Arial" w:eastAsia="Arial" w:hAnsi="Arial"/>
          <w:sz w:val="20"/>
          <w:szCs w:val="20"/>
          <w:color w:val="auto"/>
        </w:rPr>
      </w:pPr>
    </w:p>
    <w:p>
      <w:pPr>
        <w:ind w:left="720" w:right="280" w:hanging="352"/>
        <w:spacing w:after="0" w:line="263"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similar foreign regulatory authorities may interpret data from preclinical testing and clinical trials in different ways than we do;</w:t>
      </w:r>
    </w:p>
    <w:p>
      <w:pPr>
        <w:spacing w:after="0" w:line="1" w:lineRule="exact"/>
        <w:rPr>
          <w:rFonts w:ascii="Arial" w:cs="Arial" w:eastAsia="Arial" w:hAnsi="Arial"/>
          <w:sz w:val="20"/>
          <w:szCs w:val="20"/>
          <w:color w:val="auto"/>
        </w:rPr>
      </w:pPr>
    </w:p>
    <w:p>
      <w:pPr>
        <w:ind w:left="720" w:right="260" w:hanging="352"/>
        <w:spacing w:after="0" w:line="26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there may be delays or failure in obtaining approval of our clinical trial protocols from the FDA or other regulatory authorities;</w:t>
      </w:r>
    </w:p>
    <w:p>
      <w:pPr>
        <w:spacing w:after="0" w:line="1" w:lineRule="exact"/>
        <w:rPr>
          <w:rFonts w:ascii="Arial" w:cs="Arial" w:eastAsia="Arial" w:hAnsi="Arial"/>
          <w:sz w:val="20"/>
          <w:szCs w:val="20"/>
          <w:color w:val="auto"/>
        </w:rPr>
      </w:pPr>
    </w:p>
    <w:p>
      <w:pPr>
        <w:ind w:left="720" w:right="420" w:hanging="352"/>
        <w:spacing w:after="0" w:line="263"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there may be delays in obtaining IRB approvals or governmental approvals to conduct clinical trials at prospective sites;</w:t>
      </w:r>
    </w:p>
    <w:p>
      <w:pPr>
        <w:spacing w:after="0" w:line="1" w:lineRule="exact"/>
        <w:rPr>
          <w:rFonts w:ascii="Arial" w:cs="Arial" w:eastAsia="Arial" w:hAnsi="Arial"/>
          <w:sz w:val="20"/>
          <w:szCs w:val="20"/>
          <w:color w:val="auto"/>
        </w:rPr>
      </w:pPr>
    </w:p>
    <w:p>
      <w:pPr>
        <w:ind w:left="720" w:right="200" w:hanging="352"/>
        <w:spacing w:after="0" w:line="263"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similar foreign regulatory authorities may find our or our suppliers’ manufacturing processes or facilities unsatisfactory;</w:t>
      </w:r>
    </w:p>
    <w:p>
      <w:pPr>
        <w:spacing w:after="0" w:line="1" w:lineRule="exact"/>
        <w:rPr>
          <w:rFonts w:ascii="Arial" w:cs="Arial" w:eastAsia="Arial" w:hAnsi="Arial"/>
          <w:sz w:val="20"/>
          <w:szCs w:val="20"/>
          <w:color w:val="auto"/>
        </w:rPr>
      </w:pPr>
    </w:p>
    <w:p>
      <w:pPr>
        <w:jc w:val="both"/>
        <w:ind w:left="720" w:right="880" w:hanging="352"/>
        <w:spacing w:after="0" w:line="260"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trouble in managing multiple clinical sites;</w:t>
      </w:r>
    </w:p>
    <w:p>
      <w:pPr>
        <w:spacing w:after="0" w:line="35" w:lineRule="exact"/>
        <w:rPr>
          <w:rFonts w:ascii="Arial" w:cs="Arial" w:eastAsia="Arial" w:hAnsi="Arial"/>
          <w:sz w:val="20"/>
          <w:szCs w:val="20"/>
          <w:color w:val="auto"/>
        </w:rPr>
      </w:pPr>
    </w:p>
    <w:p>
      <w:pPr>
        <w:ind w:left="720" w:right="20" w:hanging="352"/>
        <w:spacing w:after="0" w:line="286"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agreeing on acceptable terms with third-party research organizations and trial sites that may help us conduct the clinical trials; and</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20"/>
          </w:cols>
          <w:pgMar w:left="1260" w:top="1244" w:right="1260" w:bottom="719" w:gutter="0" w:footer="0" w:header="0"/>
          <w:type w:val="continuous"/>
        </w:sectPr>
      </w:pPr>
    </w:p>
    <w:bookmarkStart w:id="39" w:name="page40"/>
    <w:bookmarkEnd w:id="39"/>
    <w:p>
      <w:pPr>
        <w:ind w:left="720" w:right="40" w:hanging="352"/>
        <w:spacing w:after="0" w:line="259"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or regulators, may suspend or terminate our clinical trials because the participating patients are being exposed to unacceptable health or safety risks, such as the death of a patient in our iCLAS IDE trial for a former product candidate that we are no longer pursuing, in October 2021, which caused our to voluntarily pause the study for six months (between November 2021 and April 2022) in order to investigate and take corrective actions and obtain FDA approval to resume the study.</w:t>
      </w:r>
    </w:p>
    <w:p>
      <w:pPr>
        <w:spacing w:after="0" w:line="201" w:lineRule="exact"/>
        <w:rPr>
          <w:sz w:val="20"/>
          <w:szCs w:val="20"/>
          <w:color w:val="auto"/>
        </w:rPr>
      </w:pPr>
    </w:p>
    <w:p>
      <w:pPr>
        <w:jc w:val="both"/>
        <w:ind w:right="20" w:firstLine="401"/>
        <w:spacing w:after="0" w:line="251" w:lineRule="auto"/>
        <w:rPr>
          <w:sz w:val="20"/>
          <w:szCs w:val="20"/>
          <w:color w:val="auto"/>
        </w:rPr>
      </w:pPr>
      <w:r>
        <w:rPr>
          <w:rFonts w:ascii="Times New Roman" w:cs="Times New Roman" w:eastAsia="Times New Roman" w:hAnsi="Times New Roman"/>
          <w:sz w:val="20"/>
          <w:szCs w:val="20"/>
          <w:color w:val="auto"/>
        </w:rPr>
        <w:t>Delays in clinical development or delays in our ability to achieve regulatory clearance or approval, if at all, may impact the costs, timing or successful completion of a clinical trial. Moreover, failures or perceived failures in our clinical trials will delay and may prevent our product development and regulatory clearance or approval process, damage our business prospects and negatively affect our reputation and competitive position.</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have limited data and experience regarding the safety and efficacy of our products. Results of earlier trials may not be predictive of future clinical trial results, and planned trials may not establish an adequate safety or efficacy profile for such products and other planned or future products, which would affect market acceptance of these products.</w:t>
      </w:r>
    </w:p>
    <w:p>
      <w:pPr>
        <w:spacing w:after="0" w:line="16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have performed clinical trials with only limited patient populations. The long-term effects of using our products in a large number of patients has not been studied and the results of short-term clinical use of such products do not necessarily predict long-term clinical benefits or reveal long- term adverse effects. The results of clinical trials of our products conducted to date and ongoing or future trials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such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the commercialization of our products, if approved, if we fail to establish relationships and successfully collaborate with leading life science companies and research institutions or if we are unable to establish effective distribution channels and sales and marketing functions.</w:t>
      </w:r>
    </w:p>
    <w:p>
      <w:pPr>
        <w:spacing w:after="0" w:line="18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have limited sales and marketing experience. If we are unable to establish effective sales and marketing capabilities, we may not be able to effectively commercialize any of our products, generate product revenue, sustain revenue growth and compete effectively. Should one or more of our products be approved, we plan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Our business, financial condition and results of operations may be harmed if our efforts to expand and train our sales force do not generate a corresponding increase in revenue, and our higher fixed costs may slow our ability to reduce costs in the face of a sudden decline in demand for our products. Moreover, the members of our direct sale s force are at-will employees and the loss of these personnel to competitors or otherwise could materially harm our business. In addition, our ability to increase our customer base and achieve broader market acceptance of our products will depend to a significant extent on our ability to expand our marketing efforts. If we fail to successfully promote, maintain and protect our brand, or if we incur substantial expenses in an unsuccessful attempt to promote and maintain our brand, we may fail to attract or retain the physician acceptance necessary to realize a sufficient return on our brand building efforts, or to achieve the level of brand awareness that is critical for broad adoption of our products, which would have an adverse effect on our business, financial condition and results of operations.</w:t>
      </w:r>
    </w:p>
    <w:p>
      <w:pPr>
        <w:sectPr>
          <w:pgSz w:w="12240" w:h="15840" w:orient="portrait"/>
          <w:cols w:equalWidth="0" w:num="1">
            <w:col w:w="9720"/>
          </w:cols>
          <w:pgMar w:left="1260" w:top="1263"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20"/>
          </w:cols>
          <w:pgMar w:left="1260" w:top="1263" w:right="1260" w:bottom="719" w:gutter="0" w:footer="0" w:header="0"/>
          <w:type w:val="continuous"/>
        </w:sectPr>
      </w:pPr>
    </w:p>
    <w:bookmarkStart w:id="40" w:name="page41"/>
    <w:bookmarkEnd w:id="40"/>
    <w:p>
      <w:pPr>
        <w:jc w:val="both"/>
        <w:ind w:right="20" w:firstLine="360"/>
        <w:spacing w:after="0" w:line="245" w:lineRule="auto"/>
        <w:rPr>
          <w:sz w:val="20"/>
          <w:szCs w:val="20"/>
          <w:color w:val="auto"/>
        </w:rPr>
      </w:pPr>
      <w:r>
        <w:rPr>
          <w:rFonts w:ascii="Times New Roman" w:cs="Times New Roman" w:eastAsia="Times New Roman" w:hAnsi="Times New Roman"/>
          <w:sz w:val="20"/>
          <w:szCs w:val="20"/>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01" w:lineRule="exact"/>
        <w:rPr>
          <w:sz w:val="20"/>
          <w:szCs w:val="20"/>
          <w:color w:val="auto"/>
        </w:rPr>
      </w:pPr>
    </w:p>
    <w:p>
      <w:pPr>
        <w:jc w:val="both"/>
        <w:ind w:right="20" w:firstLine="360"/>
        <w:spacing w:after="0" w:line="245" w:lineRule="auto"/>
        <w:rPr>
          <w:sz w:val="20"/>
          <w:szCs w:val="20"/>
          <w:color w:val="auto"/>
        </w:rPr>
      </w:pPr>
      <w:r>
        <w:rPr>
          <w:rFonts w:ascii="Times New Roman" w:cs="Times New Roman" w:eastAsia="Times New Roman" w:hAnsi="Times New Roman"/>
          <w:sz w:val="20"/>
          <w:szCs w:val="20"/>
          <w:color w:val="auto"/>
        </w:rPr>
        <w:t>These factors make it difficult for us to forecast our financial performance and growth, and such forecasts are subject to a number of uncertainties, including our ability to successfully develop additional products that add functionality, reduce the cost of products sold, broaden our commercial portfolio offerings and obtain FDA 510(k) clearance or PMA approval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products may not be successful if there is inadequate physician training, practice and patient selection.</w:t>
      </w:r>
    </w:p>
    <w:p>
      <w:pPr>
        <w:spacing w:after="0" w:line="23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success of our products will depend in part on the skill of the physician performing the catheter-based procedures and on their adherence to our stated patient selection criteria and proper techniques that we provide in training sessions. For example, we train physicians to ensure correct use of our products; however, physicians rely on their previous medical training and experience when performing catheter-based procedures, and we cannot guarantee that all such physicians will have the necessary skills or experience to safely and effectively perform these procedures. We do not control which physicians perform these procedures or how much training they receive, and physicians who have not completed our training sessions may nonetheless attempt to perform catheter -based procedures with our products. In addition, a perception by physicians that our products are difficult to use may negatively impact adoption. If physicians perform these procedures in a manner that is inconsistent with our labeled indications, with components that are not our products, with patients who are not indicated for treatment with our products or without adhering to or completing our training sessions, the patient outcomes may be negative or inconsistent with the outcomes achieved in clinical trials. This could negatively impact the perception of patient benefits and safety associated with our products and limit adoption of our products and catheter-based thrombectomy procedures generally, which could have a material adverse effect on our business, financial condition and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20"/>
          </w:cols>
          <w:pgMar w:left="1260" w:top="1248" w:right="1260" w:bottom="719" w:gutter="0" w:footer="0" w:header="0"/>
          <w:type w:val="continuous"/>
        </w:sectPr>
      </w:pPr>
    </w:p>
    <w:bookmarkStart w:id="41" w:name="page42"/>
    <w:bookmarkEnd w:id="41"/>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The life sciences industry is highly competitive. Even if our products are commercialized and achieve broad scientific and market acceptance, if we fail to improve them or introduce compelling new products, our revenue and our prospects could be harmed.</w:t>
      </w:r>
    </w:p>
    <w:p>
      <w:pPr>
        <w:spacing w:after="0" w:line="181" w:lineRule="exact"/>
        <w:rPr>
          <w:sz w:val="20"/>
          <w:szCs w:val="20"/>
          <w:color w:val="auto"/>
        </w:rPr>
      </w:pPr>
    </w:p>
    <w:p>
      <w:pPr>
        <w:jc w:val="both"/>
        <w:ind w:right="20" w:firstLine="401"/>
        <w:spacing w:after="0" w:line="252" w:lineRule="auto"/>
        <w:rPr>
          <w:sz w:val="20"/>
          <w:szCs w:val="20"/>
          <w:color w:val="auto"/>
        </w:rPr>
      </w:pPr>
      <w:r>
        <w:rPr>
          <w:rFonts w:ascii="Times New Roman" w:cs="Times New Roman" w:eastAsia="Times New Roman" w:hAnsi="Times New Roman"/>
          <w:sz w:val="20"/>
          <w:szCs w:val="20"/>
          <w:color w:val="auto"/>
        </w:rPr>
        <w:t>The life sciences industry is characterized by rapid and significant technological changes, frequent new product introductions and enhancements and evolving industry standards. We compete primarily on the basis that our products are designed to enable more physicians to treat more patients more efficiently and effectively. Our continued success depends on our ability to:</w:t>
      </w:r>
    </w:p>
    <w:p>
      <w:pPr>
        <w:spacing w:after="0" w:line="198" w:lineRule="exact"/>
        <w:rPr>
          <w:sz w:val="20"/>
          <w:szCs w:val="20"/>
          <w:color w:val="auto"/>
        </w:rPr>
      </w:pPr>
    </w:p>
    <w:p>
      <w:pPr>
        <w:ind w:left="720" w:right="360" w:hanging="352"/>
        <w:spacing w:after="0" w:line="264"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develop innovative, proprietary products that address significant clinical needs in a manner that is safe and effective for patients and easy-to-use for physicians;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regulatory clearances or approvals;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demonstrate safety and effectiveness in our sponsored and third-party clinical trials;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expand our sales force across key markets to increase physician awareness;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coverage and adequate reimbursement for procedures using our products;</w:t>
      </w:r>
    </w:p>
    <w:p>
      <w:pPr>
        <w:spacing w:after="0" w:line="36" w:lineRule="exact"/>
        <w:rPr>
          <w:rFonts w:ascii="Arial" w:cs="Arial" w:eastAsia="Arial" w:hAnsi="Arial"/>
          <w:sz w:val="20"/>
          <w:szCs w:val="20"/>
          <w:color w:val="auto"/>
        </w:rPr>
      </w:pPr>
    </w:p>
    <w:p>
      <w:pPr>
        <w:ind w:left="720" w:hanging="352"/>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attract and retain skilled research, development, sales and clinical personnel;</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cost-effectively manufacture, market and sell our products; and</w:t>
      </w:r>
    </w:p>
    <w:p>
      <w:pPr>
        <w:spacing w:after="0" w:line="35" w:lineRule="exact"/>
        <w:rPr>
          <w:rFonts w:ascii="Arial" w:cs="Arial" w:eastAsia="Arial" w:hAnsi="Arial"/>
          <w:sz w:val="20"/>
          <w:szCs w:val="20"/>
          <w:color w:val="auto"/>
        </w:rPr>
      </w:pPr>
    </w:p>
    <w:p>
      <w:pPr>
        <w:ind w:left="720" w:right="500" w:hanging="352"/>
        <w:spacing w:after="0" w:line="286"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obtain, maintain, enforce and defend our intellectual property rights and operate our business without infringing, misappropriating or otherwise violating the intellectual property rights of others.</w:t>
      </w:r>
    </w:p>
    <w:p>
      <w:pPr>
        <w:spacing w:after="0" w:line="152" w:lineRule="exact"/>
        <w:rPr>
          <w:sz w:val="20"/>
          <w:szCs w:val="20"/>
          <w:color w:val="auto"/>
        </w:rPr>
      </w:pPr>
    </w:p>
    <w:p>
      <w:pPr>
        <w:ind w:right="20" w:firstLine="401"/>
        <w:spacing w:after="0" w:line="274" w:lineRule="auto"/>
        <w:rPr>
          <w:sz w:val="20"/>
          <w:szCs w:val="20"/>
          <w:color w:val="auto"/>
        </w:rPr>
      </w:pPr>
      <w:r>
        <w:rPr>
          <w:rFonts w:ascii="Times New Roman" w:cs="Times New Roman" w:eastAsia="Times New Roman" w:hAnsi="Times New Roman"/>
          <w:sz w:val="20"/>
          <w:szCs w:val="20"/>
          <w:color w:val="auto"/>
        </w:rPr>
        <w:t>Even if we are able to achieve broad scientific and market acceptance of our ablation technologies, any one of our competitors could reduce or eliminate our commercial opportunities if they develop or market products that:</w:t>
      </w:r>
    </w:p>
    <w:p>
      <w:pPr>
        <w:spacing w:after="0" w:line="178" w:lineRule="exact"/>
        <w:rPr>
          <w:sz w:val="20"/>
          <w:szCs w:val="20"/>
          <w:color w:val="auto"/>
        </w:rPr>
      </w:pPr>
    </w:p>
    <w:p>
      <w:pPr>
        <w:ind w:left="720" w:hanging="352"/>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are more effective;</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have fewer or less severe adverse side effects;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are easier to use; or</w:t>
      </w:r>
    </w:p>
    <w:p>
      <w:pPr>
        <w:spacing w:after="0" w:line="34" w:lineRule="exact"/>
        <w:rPr>
          <w:rFonts w:ascii="Arial" w:cs="Arial" w:eastAsia="Arial" w:hAnsi="Arial"/>
          <w:sz w:val="20"/>
          <w:szCs w:val="20"/>
          <w:color w:val="auto"/>
        </w:rPr>
      </w:pPr>
    </w:p>
    <w:p>
      <w:pPr>
        <w:ind w:left="720" w:hanging="352"/>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are less expensive than our products.</w:t>
      </w:r>
    </w:p>
    <w:p>
      <w:pPr>
        <w:spacing w:after="0" w:line="219" w:lineRule="exact"/>
        <w:rPr>
          <w:sz w:val="20"/>
          <w:szCs w:val="20"/>
          <w:color w:val="auto"/>
        </w:rPr>
      </w:pPr>
    </w:p>
    <w:p>
      <w:pPr>
        <w:jc w:val="both"/>
        <w:ind w:right="20" w:firstLine="401"/>
        <w:spacing w:after="0" w:line="253" w:lineRule="auto"/>
        <w:rPr>
          <w:sz w:val="20"/>
          <w:szCs w:val="20"/>
          <w:color w:val="auto"/>
        </w:rPr>
      </w:pPr>
      <w:r>
        <w:rPr>
          <w:rFonts w:ascii="Times New Roman" w:cs="Times New Roman" w:eastAsia="Times New Roman" w:hAnsi="Times New Roman"/>
          <w:sz w:val="20"/>
          <w:szCs w:val="20"/>
          <w:color w:val="auto"/>
        </w:rPr>
        <w:t>In addition, our ability to attract new customers and increase revenue from existing customers will depend in large part on our ability to enhance and improve our technologies and to introduce compelling new products. The success of any enhancement to our ablation technologies or introduction of new products depends on several factors, including:</w:t>
      </w:r>
    </w:p>
    <w:p>
      <w:pPr>
        <w:spacing w:after="0" w:line="200" w:lineRule="exact"/>
        <w:rPr>
          <w:sz w:val="20"/>
          <w:szCs w:val="20"/>
          <w:color w:val="auto"/>
        </w:rPr>
      </w:pPr>
    </w:p>
    <w:p>
      <w:pPr>
        <w:spacing w:after="0" w:line="237" w:lineRule="exact"/>
        <w:rPr>
          <w:sz w:val="20"/>
          <w:szCs w:val="20"/>
          <w:color w:val="auto"/>
        </w:rPr>
      </w:pPr>
    </w:p>
    <w:p>
      <w:pPr>
        <w:ind w:left="720" w:hanging="352"/>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timely completion and delivery;</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competitive pricing;</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adequate quality testing;</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integration with existing technologies;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freedom from intellectual property encumbrance;</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appropriately timed and staged introduction; and</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overall market acceptance.</w:t>
      </w:r>
    </w:p>
    <w:p>
      <w:pPr>
        <w:spacing w:after="0" w:line="252" w:lineRule="exact"/>
        <w:rPr>
          <w:sz w:val="20"/>
          <w:szCs w:val="20"/>
          <w:color w:val="auto"/>
        </w:rPr>
      </w:pPr>
    </w:p>
    <w:p>
      <w:pPr>
        <w:jc w:val="both"/>
        <w:ind w:firstLine="401"/>
        <w:spacing w:after="0" w:line="244" w:lineRule="auto"/>
        <w:rPr>
          <w:sz w:val="20"/>
          <w:szCs w:val="20"/>
          <w:color w:val="auto"/>
        </w:rPr>
      </w:pPr>
      <w:r>
        <w:rPr>
          <w:rFonts w:ascii="Times New Roman" w:cs="Times New Roman" w:eastAsia="Times New Roman" w:hAnsi="Times New Roman"/>
          <w:sz w:val="20"/>
          <w:szCs w:val="20"/>
          <w:color w:val="auto"/>
        </w:rPr>
        <w:t>Any new product or enhancement to the ablation technologies that we develop may not be introduced in a timely or cost-effective manner, may contain defects, errors, vulnerabilities or bugs, or may not achieve the market acceptance necessary to generate significant revenue. 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20"/>
          </w:cols>
          <w:pgMar w:left="1260" w:top="1248" w:right="1260" w:bottom="719" w:gutter="0" w:footer="0" w:header="0"/>
          <w:type w:val="continuous"/>
        </w:sectPr>
      </w:pPr>
    </w:p>
    <w:bookmarkStart w:id="42" w:name="page43"/>
    <w:bookmarkEnd w:id="42"/>
    <w:p>
      <w:pPr>
        <w:jc w:val="both"/>
        <w:ind w:right="20" w:firstLine="360"/>
        <w:spacing w:after="0" w:line="245" w:lineRule="auto"/>
        <w:rPr>
          <w:sz w:val="20"/>
          <w:szCs w:val="20"/>
          <w:color w:val="auto"/>
        </w:rPr>
      </w:pPr>
      <w:r>
        <w:rPr>
          <w:rFonts w:ascii="Times New Roman" w:cs="Times New Roman" w:eastAsia="Times New Roman" w:hAnsi="Times New Roman"/>
          <w:sz w:val="20"/>
          <w:szCs w:val="20"/>
          <w:color w:val="auto"/>
        </w:rPr>
        <w:t>We cannot provide assurance that we will be successful in developing new products or commercializing them in ways that achieve market acceptance. If we develop new products, sales of those products may reduce revenue generated from our existing products or may not compete effectively with competitor products. Moreover, any significant delays in our product launches may significantly impede our ability to enter or compete in a given market and may reduce the sales that we are able to generate from these products. We may experience delays in any phase of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200" w:lineRule="exact"/>
        <w:rPr>
          <w:sz w:val="20"/>
          <w:szCs w:val="20"/>
          <w:color w:val="auto"/>
        </w:rPr>
      </w:pPr>
    </w:p>
    <w:p>
      <w:pPr>
        <w:spacing w:after="0" w:line="226" w:lineRule="exact"/>
        <w:rPr>
          <w:sz w:val="20"/>
          <w:szCs w:val="20"/>
          <w:color w:val="auto"/>
        </w:rPr>
      </w:pPr>
    </w:p>
    <w:p>
      <w:pPr>
        <w:jc w:val="both"/>
        <w:ind w:right="40" w:firstLine="401"/>
        <w:spacing w:after="0" w:line="258" w:lineRule="auto"/>
        <w:rPr>
          <w:sz w:val="20"/>
          <w:szCs w:val="20"/>
          <w:color w:val="auto"/>
        </w:rPr>
      </w:pPr>
      <w:r>
        <w:rPr>
          <w:rFonts w:ascii="Times New Roman" w:cs="Times New Roman" w:eastAsia="Times New Roman" w:hAnsi="Times New Roman"/>
          <w:sz w:val="20"/>
          <w:szCs w:val="20"/>
          <w:color w:val="auto"/>
        </w:rPr>
        <w:t>If we are unable to successfully develop new products, enhance our ablation technologies to meet customer requirements, compete with alternative products, or otherwise gain and maintain market acceptance, our business, financial condition and results of operations could be harmed.</w:t>
      </w:r>
    </w:p>
    <w:p>
      <w:pPr>
        <w:spacing w:after="0" w:line="190"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establish manufacturing capacity by ourselves or with third-party partners in a timely and cost-effective manner, commercialization of our products would be delayed, which would result in lost revenue and harm our business.</w:t>
      </w:r>
    </w:p>
    <w:p>
      <w:pPr>
        <w:spacing w:after="0" w:line="136" w:lineRule="exact"/>
        <w:rPr>
          <w:sz w:val="20"/>
          <w:szCs w:val="20"/>
          <w:color w:val="auto"/>
        </w:rPr>
      </w:pPr>
    </w:p>
    <w:p>
      <w:pPr>
        <w:jc w:val="both"/>
        <w:ind w:right="20" w:firstLine="401"/>
        <w:spacing w:after="0" w:line="265" w:lineRule="auto"/>
        <w:rPr>
          <w:sz w:val="20"/>
          <w:szCs w:val="20"/>
          <w:color w:val="auto"/>
        </w:rPr>
      </w:pPr>
      <w:r>
        <w:rPr>
          <w:rFonts w:ascii="Times New Roman" w:cs="Times New Roman" w:eastAsia="Times New Roman" w:hAnsi="Times New Roman"/>
          <w:sz w:val="20"/>
          <w:szCs w:val="20"/>
          <w:color w:val="auto"/>
        </w:rPr>
        <w:t>We may encounter production delays or shortfalls because of our limited experience in manufacturing our products in commercial quantities. Such production delays or shortfalls may be caused by many factors, including the following:</w:t>
      </w:r>
    </w:p>
    <w:p>
      <w:pPr>
        <w:spacing w:after="0" w:line="200" w:lineRule="exact"/>
        <w:rPr>
          <w:sz w:val="20"/>
          <w:szCs w:val="20"/>
          <w:color w:val="auto"/>
        </w:rPr>
      </w:pPr>
    </w:p>
    <w:p>
      <w:pPr>
        <w:spacing w:after="0" w:line="228" w:lineRule="exact"/>
        <w:rPr>
          <w:sz w:val="20"/>
          <w:szCs w:val="20"/>
          <w:color w:val="auto"/>
        </w:rPr>
      </w:pPr>
    </w:p>
    <w:p>
      <w:pPr>
        <w:ind w:left="720" w:right="220" w:hanging="352"/>
        <w:spacing w:after="0" w:line="263"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our intent to expand our manufacturing capacity, as a result of which our production processes may have to change;</w:t>
      </w:r>
    </w:p>
    <w:p>
      <w:pPr>
        <w:spacing w:after="0" w:line="1" w:lineRule="exact"/>
        <w:rPr>
          <w:rFonts w:ascii="Arial" w:cs="Arial" w:eastAsia="Arial" w:hAnsi="Arial"/>
          <w:sz w:val="20"/>
          <w:szCs w:val="20"/>
          <w:color w:val="auto"/>
        </w:rPr>
      </w:pPr>
    </w:p>
    <w:p>
      <w:pPr>
        <w:ind w:left="720" w:right="200" w:hanging="352"/>
        <w:spacing w:after="0" w:line="263"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key components of our products are provided by a single supplier or limited number of suppliers, and we do not maintain large inventory levels of these components;</w:t>
      </w:r>
    </w:p>
    <w:p>
      <w:pPr>
        <w:ind w:left="720" w:right="300" w:hanging="352"/>
        <w:spacing w:after="0" w:line="252"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if we experience a shortage or quality issues in any of these components, we would need to identify and qualify new supply sources, which could increase our expenses and result in manufacturing delays;</w:t>
      </w:r>
    </w:p>
    <w:p>
      <w:pPr>
        <w:ind w:left="720" w:right="500" w:hanging="352"/>
        <w:spacing w:after="0" w:line="252"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 delay in completing validation and verification testing for new controlled environment rooms at our manufacturing facility;</w:t>
      </w:r>
    </w:p>
    <w:p>
      <w:pPr>
        <w:spacing w:after="0" w:line="1" w:lineRule="exact"/>
        <w:rPr>
          <w:rFonts w:ascii="Arial" w:cs="Arial" w:eastAsia="Arial" w:hAnsi="Arial"/>
          <w:sz w:val="20"/>
          <w:szCs w:val="20"/>
          <w:color w:val="auto"/>
        </w:rPr>
      </w:pPr>
    </w:p>
    <w:p>
      <w:pPr>
        <w:ind w:left="720" w:right="40" w:hanging="352"/>
        <w:spacing w:after="0" w:line="277"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state and federal regulations, including the FDA’s Quality System Regulation (“QSR”), for the manufacture of our products, noncompliance with which could cause an interruption in our manufacturing; and</w:t>
      </w:r>
    </w:p>
    <w:p>
      <w:pPr>
        <w:spacing w:after="0" w:line="214" w:lineRule="exact"/>
        <w:rPr>
          <w:rFonts w:ascii="Arial" w:cs="Arial" w:eastAsia="Arial" w:hAnsi="Arial"/>
          <w:sz w:val="20"/>
          <w:szCs w:val="20"/>
          <w:color w:val="auto"/>
        </w:rPr>
      </w:pPr>
    </w:p>
    <w:p>
      <w:pPr>
        <w:ind w:left="720" w:right="420" w:hanging="352"/>
        <w:spacing w:after="0" w:line="28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attraction and retention of qualified employees for our operations in order to significantly increase our manufacturing output.</w:t>
      </w:r>
    </w:p>
    <w:p>
      <w:pPr>
        <w:spacing w:after="0" w:line="185" w:lineRule="exact"/>
        <w:rPr>
          <w:sz w:val="20"/>
          <w:szCs w:val="20"/>
          <w:color w:val="auto"/>
        </w:rPr>
      </w:pPr>
    </w:p>
    <w:p>
      <w:pPr>
        <w:jc w:val="both"/>
        <w:ind w:right="20" w:firstLine="401"/>
        <w:spacing w:after="0" w:line="257" w:lineRule="auto"/>
        <w:rPr>
          <w:sz w:val="20"/>
          <w:szCs w:val="20"/>
          <w:color w:val="auto"/>
        </w:rPr>
      </w:pPr>
      <w:r>
        <w:rPr>
          <w:rFonts w:ascii="Times New Roman" w:cs="Times New Roman" w:eastAsia="Times New Roman" w:hAnsi="Times New Roman"/>
          <w:sz w:val="20"/>
          <w:szCs w:val="20"/>
          <w:color w:val="auto"/>
        </w:rPr>
        <w:t>If we are unable to keep up with demand for our products, our growth could be impaired, and market acceptance for our products could be harmed and physicians may instead elect to use our competitors’ products. Our inability to successfully manufacture our products in sufficient quantities could materially harm our business.</w:t>
      </w:r>
    </w:p>
    <w:p>
      <w:pPr>
        <w:spacing w:after="0" w:line="180" w:lineRule="exact"/>
        <w:rPr>
          <w:sz w:val="20"/>
          <w:szCs w:val="20"/>
          <w:color w:val="auto"/>
        </w:rPr>
      </w:pPr>
    </w:p>
    <w:p>
      <w:pPr>
        <w:jc w:val="both"/>
        <w:ind w:firstLine="401"/>
        <w:spacing w:after="0" w:line="245" w:lineRule="auto"/>
        <w:rPr>
          <w:sz w:val="20"/>
          <w:szCs w:val="20"/>
          <w:color w:val="auto"/>
        </w:rPr>
      </w:pPr>
      <w:r>
        <w:rPr>
          <w:rFonts w:ascii="Times New Roman" w:cs="Times New Roman" w:eastAsia="Times New Roman" w:hAnsi="Times New Roman"/>
          <w:sz w:val="20"/>
          <w:szCs w:val="20"/>
          <w:color w:val="auto"/>
        </w:rPr>
        <w:t>In addition, our manufacturing facility and processes and those of our third-party suppliers are subject to announced or unannounced FDA and state regulatory inspections or audits for compliance with the QSR, state equivalent requirements, and international manufacturing standards. Developing and maintaining a compliant quality system is time consuming and expensive. Failure to maintain compliance with, or not fully complying with the requirements of the FDA, state, or foreign regulators, could result in enforcement actions against us or our third-party suppliers, which could include the issuance of warning letters, seizures, prohibitions on product sales, recalls and civil and criminal penalties, any one of which could significantly impact our manufacturing supply and impair our financial results.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720"/>
          </w:cols>
          <w:pgMar w:left="1260" w:top="1248" w:right="1260" w:bottom="719" w:gutter="0" w:footer="0" w:header="0"/>
          <w:type w:val="continuous"/>
        </w:sectPr>
      </w:pPr>
    </w:p>
    <w:bookmarkStart w:id="43" w:name="page44"/>
    <w:bookmarkEnd w:id="43"/>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are dependent on limited third-party suppliers and manufacturers for some of the components and materials used in our products, and so long as we remain dependent on them, the loss of any of these suppliers and manufacturers, or any difficulties encountered by these suppliers and manufacturers in the production of our products, could harm our business.</w:t>
      </w:r>
    </w:p>
    <w:p>
      <w:pPr>
        <w:spacing w:after="0" w:line="163"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20"/>
          <w:szCs w:val="20"/>
          <w:color w:val="auto"/>
        </w:rPr>
        <w:t>We rely on third-party suppliers to provide us with certain components of our products, some of which are single-source suppliers. In some cases, we do not have long-term supply agreements with, or guaranteed commitments from, our suppliers, including single-source suppliers. We depend on our suppliers to provide us with components and materials in a timely manner that meet our and their quality, quantity and cost requirements. These suppliers may encounter problems during manufacturing for a variety of reasons, any of which could delay or impede their ability to meet our demand. Our suppliers may also fail to comply with applicable federal, state or foreign laws or regulations, cease producing the components and materials required for our products or otherw ise decide to cease doing business with us. If the suppliers, including the single-source suppliers, that we use are unable or unwilling to manufacture the components or materials in our required volumes, or at specified times, we may have to identify and qualify acceptable additional or alternative suppliers. This qualification process could take up to a few months and we may not find sufficient capacity in a timely manner or at an acceptable cost to satisfy our production requirements. Any supply interruption from our suppliers or failure to obtain alternative suppliers for any of the components used in our products would limit our ability to manufacture our products and could have a material adverse effect on our business, financial condition and results of operations.</w:t>
      </w:r>
    </w:p>
    <w:p>
      <w:pPr>
        <w:spacing w:after="0" w:line="205"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color w:val="auto"/>
        </w:rPr>
        <w:t>FDA review and approval of a new supplier may be required if these components or materials become unavailable from our current suppliers. Although there may be other suppliers that have equivalent components or materials that would be available to us, FDA approval of any alternate suppliers, if required, could take several months or more to obtain, if it is able to be obtained at all. Any delay, interruption or cessation of production by our third-party suppliers of important components or materials, or any delay in qualifying new components or materials, if necessary, would prevent or delay our ability to manufacture our products.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products could have unknown defects or errors, which may give rise to claims against us and adversely affect market adoption of our products.</w:t>
      </w:r>
    </w:p>
    <w:p>
      <w:pPr>
        <w:spacing w:after="0" w:line="16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business is subject to significant risks associated with the design, manufacturing,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 -label uses, or inadequate disclosure of product-related information discovered after commercial shipment or during commercial use could result in an unsafe condition or the injury or death of a patient. These problems could lead to a voluntary recall or market withdrawal of, or issuance of a safety alert relating to, our products and could result in significant costs, negative publicity and adverse competitive pressure. Furthermore, the reporting of product defects or voluntary recalls to the FDA or analogous regulatory bodies outside the United States could result in manufacturing audits, inspections and broader recalls or other disruptions to our manufacturing processes. The circumstances giving rise to recalls are unpredictable, and any recalls of existing or future products could have a material adverse effect on our business, financial condition and results of operations.</w:t>
      </w:r>
    </w:p>
    <w:p>
      <w:pPr>
        <w:spacing w:after="0" w:line="200" w:lineRule="exact"/>
        <w:rPr>
          <w:sz w:val="20"/>
          <w:szCs w:val="20"/>
          <w:color w:val="auto"/>
        </w:rPr>
      </w:pPr>
    </w:p>
    <w:p>
      <w:pPr>
        <w:spacing w:after="0" w:line="229" w:lineRule="exact"/>
        <w:rPr>
          <w:sz w:val="20"/>
          <w:szCs w:val="20"/>
          <w:color w:val="auto"/>
        </w:rPr>
      </w:pPr>
    </w:p>
    <w:p>
      <w:pPr>
        <w:jc w:val="both"/>
        <w:ind w:right="20" w:firstLine="403"/>
        <w:spacing w:after="0" w:line="249" w:lineRule="auto"/>
        <w:rPr>
          <w:sz w:val="20"/>
          <w:szCs w:val="20"/>
          <w:color w:val="auto"/>
        </w:rPr>
      </w:pPr>
      <w:r>
        <w:rPr>
          <w:rFonts w:ascii="Times New Roman" w:cs="Times New Roman" w:eastAsia="Times New Roman" w:hAnsi="Times New Roman"/>
          <w:sz w:val="20"/>
          <w:szCs w:val="20"/>
          <w:color w:val="auto"/>
        </w:rPr>
        <w:t>We provide a limited warranty that our products are free of material defects and conform to specifications, and offers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and any recovery from such vendor or supplier may not be adequate.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20"/>
          </w:cols>
          <w:pgMar w:left="1260" w:top="1248" w:right="1260" w:bottom="719" w:gutter="0" w:footer="0" w:header="0"/>
          <w:type w:val="continuous"/>
        </w:sectPr>
      </w:pPr>
    </w:p>
    <w:bookmarkStart w:id="44" w:name="page45"/>
    <w:bookmarkEnd w:id="44"/>
    <w:p>
      <w:pPr>
        <w:jc w:val="both"/>
        <w:ind w:firstLine="403"/>
        <w:spacing w:after="0" w:line="243" w:lineRule="auto"/>
        <w:rPr>
          <w:sz w:val="20"/>
          <w:szCs w:val="20"/>
          <w:color w:val="auto"/>
        </w:rPr>
      </w:pPr>
      <w:r>
        <w:rPr>
          <w:rFonts w:ascii="Times New Roman" w:cs="Times New Roman" w:eastAsia="Times New Roman" w:hAnsi="Times New Roman"/>
          <w:sz w:val="20"/>
          <w:szCs w:val="20"/>
          <w:color w:val="auto"/>
        </w:rPr>
        <w:t>The medical device industry has historically been subject to extensive litigation over product liability claims.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hospitals, physicians or others purchasing or using our products, even if our products were not the actual cause of such injury or death. We may choose to settle any such claims even if we believe that such injuries were not due to failure of our products. An adverse outcome of any such claim involving one of our products could result in reduced market acceptance and demand for any or all of our products and could harm our reputation or brand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92" w:lineRule="exact"/>
        <w:rPr>
          <w:sz w:val="20"/>
          <w:szCs w:val="20"/>
          <w:color w:val="auto"/>
        </w:rPr>
      </w:pPr>
    </w:p>
    <w:p>
      <w:pPr>
        <w:jc w:val="both"/>
        <w:ind w:right="20" w:firstLine="401"/>
        <w:spacing w:after="0" w:line="243" w:lineRule="auto"/>
        <w:rPr>
          <w:sz w:val="20"/>
          <w:szCs w:val="20"/>
          <w:color w:val="auto"/>
        </w:rPr>
      </w:pPr>
      <w:r>
        <w:rPr>
          <w:rFonts w:ascii="Times New Roman" w:cs="Times New Roman" w:eastAsia="Times New Roman" w:hAnsi="Times New Roman"/>
          <w:sz w:val="20"/>
          <w:szCs w:val="20"/>
          <w:color w:val="auto"/>
        </w:rPr>
        <w:t>Although we carry product liability insurance, including for clinical trials and product marketing, we can give no assurance that such coverage will be available or adequate to satisfy any claims. Product liability insurance is expensive, subject to significant deductibles and exclusions, and may not continue to be available on acceptable terms, if at all. Any product liability claims brought against us, with or without merit, could increase our product liability insurance rates or prevent us from securing continuing coverage, harm our reputation, significantly increase our expenses, and reduce product sales. If we are unable to obtain or maintain insurance at an acceptable cost or on acceptable terms with adequate coverage or otherwise protect against potential product liability claims, we could be exposed to significant liabilities. Product liability claims could cause us to incur significant legal fees and deductibles and claims in excess of our insurance coverage would be paid out of cash reserves, harming our financial condition and operating results. Defending a suit, regardless of our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7" w:lineRule="exact"/>
        <w:rPr>
          <w:sz w:val="20"/>
          <w:szCs w:val="20"/>
          <w:color w:val="auto"/>
        </w:rPr>
      </w:pPr>
    </w:p>
    <w:p>
      <w:pPr>
        <w:jc w:val="both"/>
        <w:ind w:right="20" w:firstLine="401"/>
        <w:spacing w:after="0" w:line="243" w:lineRule="auto"/>
        <w:rPr>
          <w:sz w:val="20"/>
          <w:szCs w:val="20"/>
          <w:color w:val="auto"/>
        </w:rPr>
      </w:pPr>
      <w:r>
        <w:rPr>
          <w:rFonts w:ascii="Times New Roman" w:cs="Times New Roman" w:eastAsia="Times New Roman" w:hAnsi="Times New Roman"/>
          <w:sz w:val="20"/>
          <w:szCs w:val="20"/>
          <w:color w:val="auto"/>
        </w:rPr>
        <w:t xml:space="preserve">We are required to file adverse event reports under Medical Device Reporting (“MDR”) regulations with the FDA, which reports are publicly available on the FDA’s website. We are required to file MDRs if our products may have caused or contributed to a serious injury or death or malfunctioned in a way that would be likely to cause or contribute to a serious injury or death if it were to recur. Any such MDR that reports a significant adverse event could result in negative publicity, which could harm our reputation and future sales. If we fail to report these events to the FDA within the required timeframes, or at all, the FDA could take enforcement action against us. Any such adverse event involving our products could also result in future voluntary corrective actions, such as recalls or customer notifications, or agency action, such as inspection or enforcement action. Any corrective action, whether voluntary or involuntary, as well as defending against potential lawsuits, will require the dedication of our time and capital, distract management from operating our business, and may harm our reputation and financial results. Analogous reporting obligations exist in the European Union and other jurisdictions outside the United States. See “- </w:t>
      </w:r>
      <w:r>
        <w:rPr>
          <w:rFonts w:ascii="Times New Roman" w:cs="Times New Roman" w:eastAsia="Times New Roman" w:hAnsi="Times New Roman"/>
          <w:sz w:val="20"/>
          <w:szCs w:val="20"/>
          <w:i w:val="1"/>
          <w:iCs w:val="1"/>
          <w:color w:val="auto"/>
        </w:rPr>
        <w:t>Risks Related to Regulatory and Legal Compliance Matters</w:t>
      </w:r>
      <w:r>
        <w:rPr>
          <w:rFonts w:ascii="Times New Roman" w:cs="Times New Roman" w:eastAsia="Times New Roman" w:hAnsi="Times New Roman"/>
          <w:sz w:val="20"/>
          <w:szCs w:val="20"/>
          <w:color w:val="auto"/>
        </w:rPr>
        <w:t>” for further detail.</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 breakthrough device designation by the FDA for vCLAS</w:t>
      </w:r>
      <w:r>
        <w:rPr>
          <w:rFonts w:ascii="Times New Roman" w:cs="Times New Roman" w:eastAsia="Times New Roman" w:hAnsi="Times New Roman"/>
          <w:sz w:val="10"/>
          <w:szCs w:val="10"/>
          <w:b w:val="1"/>
          <w:bCs w:val="1"/>
          <w:i w:val="1"/>
          <w:iCs w:val="1"/>
          <w:color w:val="auto"/>
        </w:rPr>
        <w:t>TM</w:t>
      </w:r>
      <w:r>
        <w:rPr>
          <w:rFonts w:ascii="Times New Roman" w:cs="Times New Roman" w:eastAsia="Times New Roman" w:hAnsi="Times New Roman"/>
          <w:sz w:val="20"/>
          <w:szCs w:val="20"/>
          <w:b w:val="1"/>
          <w:bCs w:val="1"/>
          <w:i w:val="1"/>
          <w:iCs w:val="1"/>
          <w:color w:val="auto"/>
        </w:rPr>
        <w:t xml:space="preserve"> may not lead to a faster development, regulatory review or approval process, and it may not increase the likelihood that vCLAS</w:t>
      </w:r>
      <w:r>
        <w:rPr>
          <w:rFonts w:ascii="Times New Roman" w:cs="Times New Roman" w:eastAsia="Times New Roman" w:hAnsi="Times New Roman"/>
          <w:sz w:val="10"/>
          <w:szCs w:val="10"/>
          <w:b w:val="1"/>
          <w:bCs w:val="1"/>
          <w:i w:val="1"/>
          <w:iCs w:val="1"/>
          <w:color w:val="auto"/>
        </w:rPr>
        <w:t>TM</w:t>
      </w:r>
      <w:r>
        <w:rPr>
          <w:rFonts w:ascii="Times New Roman" w:cs="Times New Roman" w:eastAsia="Times New Roman" w:hAnsi="Times New Roman"/>
          <w:sz w:val="20"/>
          <w:szCs w:val="20"/>
          <w:b w:val="1"/>
          <w:bCs w:val="1"/>
          <w:i w:val="1"/>
          <w:iCs w:val="1"/>
          <w:color w:val="auto"/>
        </w:rPr>
        <w:t xml:space="preserve"> will receive premarket approval (“PMA”) approval from the FDA.</w:t>
      </w:r>
    </w:p>
    <w:p>
      <w:pPr>
        <w:spacing w:after="0" w:line="17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April 2025, we announced that the FDA granted breakthrough device designation for the vCLAS</w:t>
      </w:r>
      <w:r>
        <w:rPr>
          <w:rFonts w:ascii="Times New Roman" w:cs="Times New Roman" w:eastAsia="Times New Roman" w:hAnsi="Times New Roman"/>
          <w:sz w:val="10"/>
          <w:szCs w:val="10"/>
          <w:color w:val="auto"/>
        </w:rPr>
        <w:t>TM</w:t>
      </w:r>
      <w:r>
        <w:rPr>
          <w:rFonts w:ascii="Times New Roman" w:cs="Times New Roman" w:eastAsia="Times New Roman" w:hAnsi="Times New Roman"/>
          <w:sz w:val="20"/>
          <w:szCs w:val="20"/>
          <w:color w:val="auto"/>
        </w:rPr>
        <w:t xml:space="preserve"> Cryoablation System for the treatment of drug-refractory, recurrent, sustained monomorphic ventricular tachycardia in patients with ischemic or non-ischemic structural heart disease. Breakthrough Device designation provides potential benefits to device developers, including more interactive and timely communications with FDA staff, use of post-market data collection when scientifically appropriate, and opportunities for flexible clinical study design. The receipt of breakthrough device designation for vCLAS</w:t>
      </w:r>
      <w:r>
        <w:rPr>
          <w:rFonts w:ascii="Times New Roman" w:cs="Times New Roman" w:eastAsia="Times New Roman" w:hAnsi="Times New Roman"/>
          <w:sz w:val="10"/>
          <w:szCs w:val="10"/>
          <w:color w:val="auto"/>
        </w:rPr>
        <w:t>TM</w:t>
      </w:r>
      <w:r>
        <w:rPr>
          <w:rFonts w:ascii="Times New Roman" w:cs="Times New Roman" w:eastAsia="Times New Roman" w:hAnsi="Times New Roman"/>
          <w:sz w:val="20"/>
          <w:szCs w:val="20"/>
          <w:color w:val="auto"/>
        </w:rPr>
        <w:t xml:space="preserve"> may not result in a faster development process, review or approval compared to conventional FDA procedures and does not ensure ultimate PMA approval by the FDA. In addition, even if a product qualifies as a breakthrough device, the FDA may later decide that the product no longer meets the conditions for qualification.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20"/>
          </w:cols>
          <w:pgMar w:left="1260" w:top="1248" w:right="1260" w:bottom="719"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and maintain sufficient intellectual property protection for our products and technology, or if the scope of the intellectual property protection obtained is not sufficiently broad, competitors could develop and commercialize products similar or identical to our products, and our ability to successfully commercialize our products may be impaired.</w:t>
      </w:r>
    </w:p>
    <w:p>
      <w:pPr>
        <w:spacing w:after="0" w:line="163"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protect and enforce our intellectual property, third parties may be able to compete more effectively against us. In addition, we may incur substantial litigation costs in our attempts to maintain, recover, enforce or otherwise restrict the use of our intellectual property.</w:t>
      </w:r>
    </w:p>
    <w:p>
      <w:pPr>
        <w:spacing w:after="0" w:line="209" w:lineRule="exact"/>
        <w:rPr>
          <w:sz w:val="20"/>
          <w:szCs w:val="20"/>
          <w:color w:val="auto"/>
        </w:rPr>
      </w:pPr>
    </w:p>
    <w:p>
      <w:pPr>
        <w:jc w:val="both"/>
        <w:ind w:right="20" w:firstLine="401"/>
        <w:spacing w:after="0" w:line="259" w:lineRule="auto"/>
        <w:rPr>
          <w:sz w:val="20"/>
          <w:szCs w:val="20"/>
          <w:color w:val="auto"/>
        </w:rPr>
      </w:pPr>
      <w:r>
        <w:rPr>
          <w:rFonts w:ascii="Times New Roman" w:cs="Times New Roman" w:eastAsia="Times New Roman" w:hAnsi="Times New Roman"/>
          <w:sz w:val="20"/>
          <w:szCs w:val="20"/>
          <w:color w:val="auto"/>
        </w:rPr>
        <w:t>To the extent our intellectual property offers inadequate protection, or is found to be invalid or unenforceable, we would be exposed to a greater risk of direct competition. If our intellectual property does not provide adequate coverage of our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80"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maintaining,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protect any patents that may issue from such patent applications, at a reasonable cost or in a timely manner or in all jurisdictions. It is possible that defects of form in the preparation or filing of our patents or patent applications may exist, or may arise in the future, for example with respect to proper priority claims, inventorship, assignment, recordation, document formalities, fees, claim scope or requests for patent term adjustments. It is also possible that we will fail to identify patentable aspects of our research and development output before it is too late to obtain patent protection. If we delay filing a patent application, and a competitor files a patent application on the same or similar invention before we do, or the subject matter otherwise is made public by us or a competitor, our ability to secure patent rights may be limited or we may not be able to patent the invention at all. Even if we can patent the invention, we may be able to patent only a limited scope of the invention, and the limited scope may be inadequate to protect our products and technologies, or to block a competitor’s products and technologies that are similar or adjacent. Our earliest patent filings have been published. A competitor may review our published patents and arrive at the same or similar technology advances for our products as it develops. If the competitor files a patent application on such an advance before we do, then we may no longer be able to protect that aspect of our products and technologies and we may require a license from the competitor, which may not be available on commercially viable terms. Moreover, we may not develop additional proprietary products, methods and technologies that are patentable. It may not have th 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ectPr>
          <w:pgSz w:w="12240" w:h="15840" w:orient="portrait"/>
          <w:cols w:equalWidth="0" w:num="1">
            <w:col w:w="9720"/>
          </w:cols>
          <w:pgMar w:left="1260" w:top="125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20"/>
          </w:cols>
          <w:pgMar w:left="1260" w:top="1254" w:right="1260" w:bottom="719" w:gutter="0" w:footer="0" w:header="0"/>
          <w:type w:val="continuous"/>
        </w:sectPr>
      </w:pPr>
    </w:p>
    <w:bookmarkStart w:id="46" w:name="page47"/>
    <w:bookmarkEnd w:id="46"/>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58" w:lineRule="exact"/>
        <w:rPr>
          <w:sz w:val="20"/>
          <w:szCs w:val="20"/>
          <w:color w:val="auto"/>
        </w:rPr>
      </w:pPr>
    </w:p>
    <w:p>
      <w:pPr>
        <w:jc w:val="both"/>
        <w:ind w:firstLine="401"/>
        <w:spacing w:after="0" w:line="244" w:lineRule="auto"/>
        <w:rPr>
          <w:sz w:val="20"/>
          <w:szCs w:val="20"/>
          <w:color w:val="auto"/>
        </w:rPr>
      </w:pPr>
      <w:r>
        <w:rPr>
          <w:rFonts w:ascii="Times New Roman" w:cs="Times New Roman" w:eastAsia="Times New Roman" w:hAnsi="Times New Roman"/>
          <w:sz w:val="20"/>
          <w:szCs w:val="20"/>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(the “AIA”). These changes include, among others, allowing third-party submission of prior art to the United States Patent and Trademark Office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20"/>
          <w:szCs w:val="20"/>
          <w:i w:val="1"/>
          <w:iCs w:val="1"/>
          <w:color w:val="auto"/>
        </w:rPr>
        <w:t xml:space="preserve">inter partes </w:t>
      </w:r>
      <w:r>
        <w:rPr>
          <w:rFonts w:ascii="Times New Roman" w:cs="Times New Roman" w:eastAsia="Times New Roman" w:hAnsi="Times New Roman"/>
          <w:sz w:val="20"/>
          <w:szCs w:val="20"/>
          <w:color w:val="auto"/>
        </w:rPr>
        <w:t>review and derivation proceedings. The changes brought about by the AIA have not been extensively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13"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20"/>
          <w:szCs w:val="20"/>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 -derived reagents, methods for analyzing biological systems and other subject matters that underlies our technology and commercial goals are impacted by these changes.</w:t>
      </w:r>
    </w:p>
    <w:p>
      <w:pPr>
        <w:spacing w:after="0" w:line="206" w:lineRule="exact"/>
        <w:rPr>
          <w:sz w:val="20"/>
          <w:szCs w:val="20"/>
          <w:color w:val="auto"/>
        </w:rPr>
      </w:pPr>
    </w:p>
    <w:p>
      <w:pPr>
        <w:jc w:val="both"/>
        <w:ind w:firstLine="401"/>
        <w:spacing w:after="0" w:line="253" w:lineRule="auto"/>
        <w:rPr>
          <w:sz w:val="20"/>
          <w:szCs w:val="20"/>
          <w:color w:val="auto"/>
        </w:rPr>
      </w:pPr>
      <w:r>
        <w:rPr>
          <w:rFonts w:ascii="Times New Roman" w:cs="Times New Roman" w:eastAsia="Times New Roman" w:hAnsi="Times New Roman"/>
          <w:sz w:val="20"/>
          <w:szCs w:val="20"/>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 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20"/>
          </w:cols>
          <w:pgMar w:left="1260" w:top="1248" w:right="1260" w:bottom="719" w:gutter="0" w:footer="0" w:header="0"/>
          <w:type w:val="continuous"/>
        </w:sectPr>
      </w:pPr>
    </w:p>
    <w:bookmarkStart w:id="47" w:name="page48"/>
    <w:bookmarkEnd w:id="47"/>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 which could harm our business prospects.</w:t>
      </w:r>
    </w:p>
    <w:p>
      <w:pPr>
        <w:spacing w:after="0" w:line="151" w:lineRule="exact"/>
        <w:rPr>
          <w:sz w:val="20"/>
          <w:szCs w:val="20"/>
          <w:color w:val="auto"/>
        </w:rPr>
      </w:pPr>
    </w:p>
    <w:p>
      <w:pPr>
        <w:jc w:val="both"/>
        <w:ind w:right="40" w:firstLine="401"/>
        <w:spacing w:after="0" w:line="257" w:lineRule="auto"/>
        <w:rPr>
          <w:sz w:val="20"/>
          <w:szCs w:val="20"/>
          <w:color w:val="auto"/>
        </w:rPr>
      </w:pPr>
      <w:r>
        <w:rPr>
          <w:rFonts w:ascii="Times New Roman" w:cs="Times New Roman" w:eastAsia="Times New Roman" w:hAnsi="Times New Roman"/>
          <w:sz w:val="20"/>
          <w:szCs w:val="20"/>
          <w:color w:val="auto"/>
        </w:rPr>
        <w:t>Filing, prosecuting, maintaining, and defending patents on our products in all countries throughout the world would be prohibitively expensive, and our intellectual property rights in some countries outside the United States can be less extensive than those in the United States.</w:t>
      </w:r>
    </w:p>
    <w:p>
      <w:pPr>
        <w:spacing w:after="0" w:line="180"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20"/>
          <w:szCs w:val="20"/>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any future licensor’s patents or other intellectual property rights may no t be effective or sufficient to prevent competitors from marketing competing products.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200" w:lineRule="exact"/>
        <w:rPr>
          <w:sz w:val="20"/>
          <w:szCs w:val="20"/>
          <w:color w:val="auto"/>
        </w:rPr>
      </w:pPr>
    </w:p>
    <w:p>
      <w:pPr>
        <w:spacing w:after="0" w:line="235" w:lineRule="exact"/>
        <w:rPr>
          <w:sz w:val="20"/>
          <w:szCs w:val="20"/>
          <w:color w:val="auto"/>
        </w:rPr>
      </w:pPr>
    </w:p>
    <w:p>
      <w:pPr>
        <w:jc w:val="both"/>
        <w:ind w:right="20" w:firstLine="401"/>
        <w:spacing w:after="0" w:line="244"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98"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Proceedings to enforce our or any future licensor’s patent rights in foreign jurisdictions could result in substantial cost and divert our efforts and attention from other aspects of our business, could put us and any future licensor’s patents at risk of being invalidated or interpreted narrowly and us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20"/>
          </w:cols>
          <w:pgMar w:left="1260" w:top="1258" w:right="1260" w:bottom="719" w:gutter="0" w:footer="0" w:header="0"/>
          <w:type w:val="continuous"/>
        </w:sectPr>
      </w:pPr>
    </w:p>
    <w:bookmarkStart w:id="48" w:name="page49"/>
    <w:bookmarkEnd w:id="48"/>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8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 -examination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some or all fie lds. In addition, for example, if a relevant patent is owned by a competitor, that competitor may choose not to license patent rights to us. If we decide to develop alternative technology, we may not be able to do so in a timely or cost -effective manner, if at all.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200" w:lineRule="exact"/>
        <w:rPr>
          <w:sz w:val="20"/>
          <w:szCs w:val="20"/>
          <w:color w:val="auto"/>
        </w:rPr>
      </w:pPr>
    </w:p>
    <w:p>
      <w:pPr>
        <w:jc w:val="both"/>
        <w:ind w:right="20" w:firstLine="401"/>
        <w:spacing w:after="0" w:line="258" w:lineRule="auto"/>
        <w:rPr>
          <w:sz w:val="20"/>
          <w:szCs w:val="20"/>
          <w:color w:val="auto"/>
        </w:rPr>
      </w:pPr>
      <w:r>
        <w:rPr>
          <w:rFonts w:ascii="Times New Roman" w:cs="Times New Roman" w:eastAsia="Times New Roman" w:hAnsi="Times New Roman"/>
          <w:sz w:val="20"/>
          <w:szCs w:val="20"/>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78" w:lineRule="exact"/>
        <w:rPr>
          <w:sz w:val="20"/>
          <w:szCs w:val="20"/>
          <w:color w:val="auto"/>
        </w:rPr>
      </w:pPr>
    </w:p>
    <w:p>
      <w:pPr>
        <w:jc w:val="both"/>
        <w:ind w:right="20" w:firstLine="401"/>
        <w:spacing w:after="0" w:line="249" w:lineRule="auto"/>
        <w:rPr>
          <w:sz w:val="20"/>
          <w:szCs w:val="20"/>
          <w:color w:val="auto"/>
        </w:rPr>
      </w:pPr>
      <w:r>
        <w:rPr>
          <w:rFonts w:ascii="Times New Roman" w:cs="Times New Roman" w:eastAsia="Times New Roman" w:hAnsi="Times New Roman"/>
          <w:sz w:val="20"/>
          <w:szCs w:val="20"/>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their proprietary technology without authorization.</w:t>
      </w:r>
    </w:p>
    <w:p>
      <w:pPr>
        <w:spacing w:after="0" w:line="187" w:lineRule="exact"/>
        <w:rPr>
          <w:sz w:val="20"/>
          <w:szCs w:val="20"/>
          <w:color w:val="auto"/>
        </w:rPr>
      </w:pPr>
    </w:p>
    <w:p>
      <w:pPr>
        <w:jc w:val="both"/>
        <w:ind w:firstLine="401"/>
        <w:spacing w:after="0" w:line="245" w:lineRule="auto"/>
        <w:rPr>
          <w:sz w:val="20"/>
          <w:szCs w:val="20"/>
          <w:color w:val="auto"/>
        </w:rPr>
      </w:pPr>
      <w:r>
        <w:rPr>
          <w:rFonts w:ascii="Times New Roman" w:cs="Times New Roman" w:eastAsia="Times New Roman" w:hAnsi="Times New Roman"/>
          <w:sz w:val="20"/>
          <w:szCs w:val="20"/>
          <w:color w:val="auto"/>
        </w:rPr>
        <w:t>An adverse determination in litigation proceedings to which we may become a party could subject us to significant liabilities or require us to seek licenses. In addition, if we are found to willfully infringe third- party patents, we could be required to pay treble damages in addition to other penalties. Adverse determinations in a judicial or administrative proceeding or failure to obtain necessary licenses could cause us to incur significant costs, place significant strain on our resources, divert management’s attention from our business and harm our reputation and prevent us from commercializing products we may develop, which would have a significant adverse impact on our business. Some of our competitors may be able to sustain the costs of complex patent litigation more effectively than we can because they have substantially greater resources.</w:t>
      </w:r>
    </w:p>
    <w:p>
      <w:pPr>
        <w:spacing w:after="0" w:line="193" w:lineRule="exact"/>
        <w:rPr>
          <w:sz w:val="20"/>
          <w:szCs w:val="20"/>
          <w:color w:val="auto"/>
        </w:rPr>
      </w:pPr>
    </w:p>
    <w:p>
      <w:pPr>
        <w:jc w:val="both"/>
        <w:ind w:right="20" w:firstLine="401"/>
        <w:spacing w:after="0" w:line="245" w:lineRule="auto"/>
        <w:rPr>
          <w:sz w:val="20"/>
          <w:szCs w:val="20"/>
          <w:color w:val="auto"/>
        </w:rPr>
      </w:pPr>
      <w:r>
        <w:rPr>
          <w:rFonts w:ascii="Times New Roman" w:cs="Times New Roman" w:eastAsia="Times New Roman" w:hAnsi="Times New Roman"/>
          <w:sz w:val="20"/>
          <w:szCs w:val="20"/>
          <w:color w:val="auto"/>
        </w:rPr>
        <w:t>Litigation may fail and, even if successful, may result in substantial costs and be a distraction to our management. We may not be able to prevent misappropriation of our proprietary rights, particularly in countries outside the United States where patent rights may be more difficult to enforce.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20"/>
          </w:cols>
          <w:pgMar w:left="1260" w:top="1248" w:right="1260" w:bottom="719" w:gutter="0" w:footer="0" w:header="0"/>
          <w:type w:val="continuous"/>
        </w:sectPr>
      </w:pPr>
    </w:p>
    <w:bookmarkStart w:id="49" w:name="page50"/>
    <w:bookmarkEnd w:id="49"/>
    <w:p>
      <w:pPr>
        <w:jc w:val="both"/>
        <w:ind w:right="20" w:firstLine="403"/>
        <w:spacing w:after="0" w:line="247" w:lineRule="auto"/>
        <w:rPr>
          <w:sz w:val="20"/>
          <w:szCs w:val="20"/>
          <w:color w:val="auto"/>
        </w:rPr>
      </w:pPr>
      <w:r>
        <w:rPr>
          <w:rFonts w:ascii="Times New Roman" w:cs="Times New Roman" w:eastAsia="Times New Roman" w:hAnsi="Times New Roman"/>
          <w:sz w:val="20"/>
          <w:szCs w:val="20"/>
          <w:color w:val="auto"/>
        </w:rPr>
        <w:t>In addition, we may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they use. If we cannot obtain all necessary licenses on commercially reasonable terms, our customers may be forced to stop using our products.</w:t>
      </w:r>
    </w:p>
    <w:p>
      <w:pPr>
        <w:spacing w:after="0" w:line="191" w:lineRule="exact"/>
        <w:rPr>
          <w:sz w:val="20"/>
          <w:szCs w:val="20"/>
          <w:color w:val="auto"/>
        </w:rPr>
      </w:pPr>
    </w:p>
    <w:p>
      <w:pPr>
        <w:jc w:val="both"/>
        <w:ind w:right="20" w:firstLine="401"/>
        <w:spacing w:after="0" w:line="245" w:lineRule="auto"/>
        <w:rPr>
          <w:sz w:val="20"/>
          <w:szCs w:val="20"/>
          <w:color w:val="auto"/>
        </w:rPr>
      </w:pPr>
      <w:r>
        <w:rPr>
          <w:rFonts w:ascii="Times New Roman" w:cs="Times New Roman" w:eastAsia="Times New Roman" w:hAnsi="Times New Roman"/>
          <w:sz w:val="20"/>
          <w:szCs w:val="20"/>
          <w:color w:val="auto"/>
        </w:rPr>
        <w:t>In addition, our competitors and others may have patents or may in the future obtain patents and may claim that use of our products infringes these patents. For example, because patent applications can take years to issue and are often afforded confidentiality for some period of time there may currently be pending applications, unknown to us, that later result in issued patents that could cover one or more of our products.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2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products could be found invalid or unenforceable if challenged, and could materially impact our business.</w:t>
      </w:r>
    </w:p>
    <w:p>
      <w:pPr>
        <w:spacing w:after="0" w:line="149"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 xml:space="preserve">Our owned patents and any future licensed patents and patent applications may be subject to validity, enforceability, inventorship, and priority disputes. The issuance of a patent is not conclusive as to its inventorship, scope, validity or enforceability. Some of our patents or patent applications may be challenged at a future point in time in litigation, opposition, derivation,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and which could have a materially adverse effect on our business, financial condition, results of operations and prospects. In addition, if we or any future licensor initiates legal proceedings against a third party to enforce a p 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for validity/patentability, including, but not limited to, patentable subject matter, lack of novelty, obviousness, non -enablement or sufficiency of the written description of the invention. Grounds for an unenforceability assertion could be an allegation that someone connected with prosecution of the patent withheld materially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competing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20"/>
          </w:cols>
          <w:pgMar w:left="1260" w:top="1248" w:right="1260" w:bottom="719" w:gutter="0" w:footer="0" w:header="0"/>
          <w:type w:val="continuous"/>
        </w:sectPr>
      </w:pPr>
    </w:p>
    <w:bookmarkStart w:id="50" w:name="page51"/>
    <w:bookmarkEnd w:id="50"/>
    <w:p>
      <w:pPr>
        <w:jc w:val="both"/>
        <w:ind w:firstLine="403"/>
        <w:spacing w:after="0" w:line="242" w:lineRule="auto"/>
        <w:rPr>
          <w:sz w:val="20"/>
          <w:szCs w:val="20"/>
          <w:color w:val="auto"/>
        </w:rPr>
      </w:pPr>
      <w:r>
        <w:rPr>
          <w:rFonts w:ascii="Times New Roman" w:cs="Times New Roman" w:eastAsia="Times New Roman" w:hAnsi="Times New Roman"/>
          <w:sz w:val="20"/>
          <w:szCs w:val="20"/>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the value of our technology could be materially adversely affected, and our business could be harmed.</w:t>
      </w:r>
    </w:p>
    <w:p>
      <w:pPr>
        <w:spacing w:after="0" w:line="160"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color w:val="auto"/>
        </w:rPr>
        <w:t>We rely heavily on trade secrets and confidentiality agreements to protect our unpatented know -how, technology and other proprietary information, including parts of the ULTA and PFCA products,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88"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In addition to pursuing patents on our technology, we take steps to protect our intellectual property and proprietary technology by entering into agreements, including confidentiality agreements, non -disclosure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 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94" w:lineRule="exact"/>
        <w:rPr>
          <w:sz w:val="20"/>
          <w:szCs w:val="20"/>
          <w:color w:val="auto"/>
        </w:rPr>
      </w:pPr>
    </w:p>
    <w:p>
      <w:pPr>
        <w:jc w:val="both"/>
        <w:ind w:right="20" w:firstLine="401"/>
        <w:spacing w:after="0" w:line="249" w:lineRule="auto"/>
        <w:rPr>
          <w:sz w:val="20"/>
          <w:szCs w:val="20"/>
          <w:color w:val="auto"/>
        </w:rPr>
      </w:pPr>
      <w:r>
        <w:rPr>
          <w:rFonts w:ascii="Times New Roman" w:cs="Times New Roman" w:eastAsia="Times New Roman" w:hAnsi="Times New Roman"/>
          <w:sz w:val="20"/>
          <w:szCs w:val="20"/>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 consuming, it could distract our personnel, and the outcome would be unpredictable. In addition, courts outside the United States may be less willing to protect trade secrets.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20"/>
          </w:cols>
          <w:pgMar w:left="1260" w:top="1248" w:right="1260" w:bottom="719" w:gutter="0" w:footer="0" w:header="0"/>
          <w:type w:val="continuous"/>
        </w:sectPr>
      </w:pPr>
    </w:p>
    <w:bookmarkStart w:id="51" w:name="page52"/>
    <w:bookmarkEnd w:id="51"/>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reverse-engineer or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200" w:lineRule="exact"/>
        <w:rPr>
          <w:sz w:val="20"/>
          <w:szCs w:val="20"/>
          <w:color w:val="auto"/>
        </w:rPr>
      </w:pP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our patents and other intellectual property, which could have a material adverse effect on our business.</w:t>
      </w:r>
    </w:p>
    <w:p>
      <w:pPr>
        <w:spacing w:after="0" w:line="164"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20"/>
          <w:szCs w:val="20"/>
          <w:color w:val="auto"/>
        </w:rPr>
        <w:t>We or any future licensor may be subject to claims that former employees, collaborators or other third parties have an interest in our patents, trade secrets or other intellectual property. For example, we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products.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2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protect and enforce our trademarks and trade names or build name recognition in our markets of interest thereby harming our competitive position, which could have a material adverse effect on our business.</w:t>
      </w:r>
    </w:p>
    <w:p>
      <w:pPr>
        <w:spacing w:after="0" w:line="160"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20"/>
          <w:szCs w:val="20"/>
          <w:color w:val="auto"/>
        </w:rPr>
        <w:t>The registered or unregistered trademarks or trade names that we own may be challenged, infringed, circumvented, declared generic, lapsed or determined to be infringing on or dilutive of other marks owned by third parties. We may not be able to protect our rights in these trademarks and trade names, which we need in order to build name recognition. In addition, third parties may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20"/>
          </w:cols>
          <w:pgMar w:left="1260" w:top="1248" w:right="1260" w:bottom="719" w:gutter="0" w:footer="0" w:header="0"/>
          <w:type w:val="continuous"/>
        </w:sectPr>
      </w:pPr>
    </w:p>
    <w:bookmarkStart w:id="52" w:name="page53"/>
    <w:bookmarkEnd w:id="52"/>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of our products for an adequate amount of time and may adversely affect our business.</w:t>
      </w:r>
    </w:p>
    <w:p>
      <w:pPr>
        <w:spacing w:after="0" w:line="158" w:lineRule="exact"/>
        <w:rPr>
          <w:sz w:val="20"/>
          <w:szCs w:val="20"/>
          <w:color w:val="auto"/>
        </w:rPr>
      </w:pPr>
    </w:p>
    <w:p>
      <w:pPr>
        <w:jc w:val="both"/>
        <w:ind w:right="20" w:firstLine="360"/>
        <w:spacing w:after="0" w:line="243"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effective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portfolio may not provide us with sufficient rights to exclude others from commercializing products similar or identical to ours, which could have a material adverse effect on our business, financial condition and results of operations.</w:t>
      </w:r>
    </w:p>
    <w:p>
      <w:pPr>
        <w:spacing w:after="0" w:line="1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 which could have a material adverse effect on our business.</w:t>
      </w:r>
    </w:p>
    <w:p>
      <w:pPr>
        <w:spacing w:after="0" w:line="184"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 -U.S. governmental patent agencies require compliance with a number of procedural, documentary, fee payments and other similar provisions during the patent application process, and during the lifetime of the patent. In certain circumstances, we may rely on any future licensor, or third-party annuity payment service,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 - 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1248" w:right="1260" w:bottom="719" w:gutter="0" w:footer="0" w:header="0"/>
          <w:type w:val="continuous"/>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independent contractors or any third parties that have access to our confidential information or trade secrets have wrongfully used or disclosed confidential information of third parties or that our employees have wrongfully used or disclosed trade secrets of their former employers, which could have a material adverse effect on our business.</w:t>
      </w:r>
    </w:p>
    <w:p>
      <w:pPr>
        <w:spacing w:after="0" w:line="184" w:lineRule="exact"/>
        <w:rPr>
          <w:sz w:val="20"/>
          <w:szCs w:val="20"/>
          <w:color w:val="auto"/>
        </w:rPr>
      </w:pPr>
    </w:p>
    <w:p>
      <w:pPr>
        <w:jc w:val="both"/>
        <w:ind w:firstLine="401"/>
        <w:spacing w:after="0" w:line="242" w:lineRule="auto"/>
        <w:rPr>
          <w:sz w:val="20"/>
          <w:szCs w:val="20"/>
          <w:color w:val="auto"/>
        </w:rPr>
      </w:pPr>
      <w:r>
        <w:rPr>
          <w:rFonts w:ascii="Times New Roman" w:cs="Times New Roman" w:eastAsia="Times New Roman" w:hAnsi="Times New Roman"/>
          <w:sz w:val="20"/>
          <w:szCs w:val="20"/>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misappropriated,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 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200" w:lineRule="exact"/>
        <w:rPr>
          <w:sz w:val="20"/>
          <w:szCs w:val="20"/>
          <w:color w:val="auto"/>
        </w:rPr>
      </w:pPr>
    </w:p>
    <w:p>
      <w:pPr>
        <w:spacing w:after="0" w:line="23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 - 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 -existing or competing obligations to a third party, such as an academic institution, and thus an agreement with we may be ineffective in perfecting ownership of inventions developed by that individual, which could have a material adverse effect on our business, financial condition, results of operations, and prospects.</w:t>
      </w:r>
    </w:p>
    <w:p>
      <w:pPr>
        <w:spacing w:after="0" w:line="192" w:lineRule="exact"/>
        <w:rPr>
          <w:sz w:val="20"/>
          <w:szCs w:val="20"/>
          <w:color w:val="auto"/>
        </w:rPr>
      </w:pPr>
    </w:p>
    <w:p>
      <w:pPr>
        <w:jc w:val="both"/>
        <w:ind w:firstLine="403"/>
        <w:spacing w:after="0" w:line="245" w:lineRule="auto"/>
        <w:rPr>
          <w:sz w:val="20"/>
          <w:szCs w:val="20"/>
          <w:color w:val="auto"/>
        </w:rPr>
      </w:pPr>
      <w:r>
        <w:rPr>
          <w:rFonts w:ascii="Times New Roman" w:cs="Times New Roman" w:eastAsia="Times New Roman" w:hAnsi="Times New Roman"/>
          <w:sz w:val="20"/>
          <w:szCs w:val="20"/>
          <w:color w:val="auto"/>
        </w:rPr>
        <w:t>Furthermore, we or any future licensor may in the future be subject to claims by former or current employees, consultants or other third parties asserting an ownership right or inventorship in our owned, or any future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cannot license rights to use technologies on reasonable terms, we may not be able to commercialize new products in the futured and thus materially harm our business.</w:t>
      </w:r>
    </w:p>
    <w:p>
      <w:pPr>
        <w:spacing w:after="0" w:line="158" w:lineRule="exact"/>
        <w:rPr>
          <w:sz w:val="20"/>
          <w:szCs w:val="20"/>
          <w:color w:val="auto"/>
        </w:rPr>
      </w:pPr>
    </w:p>
    <w:p>
      <w:pPr>
        <w:jc w:val="both"/>
        <w:ind w:firstLine="401"/>
        <w:spacing w:after="0" w:line="245" w:lineRule="auto"/>
        <w:rPr>
          <w:sz w:val="20"/>
          <w:szCs w:val="20"/>
          <w:color w:val="auto"/>
        </w:rPr>
      </w:pPr>
      <w:r>
        <w:rPr>
          <w:rFonts w:ascii="Times New Roman" w:cs="Times New Roman" w:eastAsia="Times New Roman" w:hAnsi="Times New Roman"/>
          <w:sz w:val="20"/>
          <w:szCs w:val="20"/>
          <w:color w:val="auto"/>
        </w:rPr>
        <w:t>We may identify third-party technology that we may need to license or acquire in order to develop or commercialize our products or technologies, including the ULTA and PFCA products. However, we may be unable to secure such licenses or acquisitions. The licensing or acquisition of third-party intellectual property rights is a competitive area, and several more established companies may pursue strategies to license o 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720"/>
          </w:cols>
          <w:pgMar w:left="1260" w:top="1248" w:right="1260" w:bottom="719" w:gutter="0" w:footer="0" w:header="0"/>
          <w:type w:val="continuous"/>
        </w:sectPr>
      </w:pPr>
    </w:p>
    <w:bookmarkStart w:id="54" w:name="page55"/>
    <w:bookmarkEnd w:id="54"/>
    <w:p>
      <w:pPr>
        <w:jc w:val="both"/>
        <w:ind w:right="20" w:firstLine="401"/>
        <w:spacing w:after="0" w:line="244" w:lineRule="auto"/>
        <w:rPr>
          <w:sz w:val="20"/>
          <w:szCs w:val="20"/>
          <w:color w:val="auto"/>
        </w:rPr>
      </w:pPr>
      <w:r>
        <w:rPr>
          <w:rFonts w:ascii="Times New Roman" w:cs="Times New Roman" w:eastAsia="Times New Roman" w:hAnsi="Times New Roman"/>
          <w:sz w:val="20"/>
          <w:szCs w:val="20"/>
          <w:color w:val="auto"/>
        </w:rPr>
        <w:t>We also may be unable to license or acquire third -party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would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use of open-source software and failure to comply with the terms of the underlying open-source software licenses could impose limitations on our ability to commercialize our products and provide third parties access to our proprietary software, which could have a material adverse effect on our business.</w:t>
      </w:r>
    </w:p>
    <w:p>
      <w:pPr>
        <w:spacing w:after="0" w:line="17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Our products utilize open-source software that contains modules licensed for use from third-party authors under open-source licenses. In particular, some software may be provided under license arrangements that allow use of the software for research or other noncommercial purposes. Use and distribution of open -source software may entail greater risks than use of third-party commercial software, as open-source software licensors generally do not provide warranties or other contractual protections regarding infringement claims or the quality of the code. Some open-source software licenses contain requirements that the licensee make its source code publicly available if the licensee creates modifications or derivative works using the open- source software, depending on the type of open-source software the licensee uses and how the licensee uses it. If we combine our proprietary software with open - source software in a certain manner, we could, under certain open-source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materially adverse effect on our business, financial condition, results of operations and prospects. In addition, some companies that use third-party open -source software have faced claims challenging their use of such open-source software and their compliance with the terms of the applicable open-source license. We may be subject to suits by third parties claiming ownership of what we believe to be open -source software, or claiming non-compliance with the applicable open-source licensing terms. Use of open-source software may also present additional security risks because the public availability of such software may make it easier for hackers and other third parties to compromise or attempt to compromise our technology platform and sys tems.</w:t>
      </w:r>
    </w:p>
    <w:p>
      <w:pPr>
        <w:spacing w:after="0" w:line="197"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Although we review and monitor our use of open-source software to avoid subjecting our proprietary software to conditions we do not intend, the terms of many open-source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 engineering could not be accomplished on a timely basis, or to make generally available, in source code form, our proprietary code, any of which could adversely affect our business, financial condition, results of operations and prospects.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720"/>
          </w:cols>
          <w:pgMar w:left="1260" w:top="1248" w:right="1260" w:bottom="719" w:gutter="0" w:footer="0" w:header="0"/>
          <w:type w:val="continuous"/>
        </w:sectPr>
      </w:pPr>
    </w:p>
    <w:bookmarkStart w:id="55" w:name="page56"/>
    <w:bookmarkEnd w:id="55"/>
    <w:p>
      <w:pPr>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 and such risk could have a material adverse effect on our business.</w:t>
      </w:r>
    </w:p>
    <w:p>
      <w:pPr>
        <w:spacing w:after="0" w:line="180" w:lineRule="exact"/>
        <w:rPr>
          <w:sz w:val="20"/>
          <w:szCs w:val="20"/>
          <w:color w:val="auto"/>
        </w:rPr>
      </w:pPr>
    </w:p>
    <w:p>
      <w:pPr>
        <w:jc w:val="both"/>
        <w:ind w:right="20" w:firstLine="401"/>
        <w:spacing w:after="0" w:line="293"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example:</w:t>
      </w:r>
    </w:p>
    <w:p>
      <w:pPr>
        <w:spacing w:after="0" w:line="264" w:lineRule="exact"/>
        <w:rPr>
          <w:sz w:val="20"/>
          <w:szCs w:val="20"/>
          <w:color w:val="auto"/>
        </w:rPr>
      </w:pPr>
    </w:p>
    <w:p>
      <w:pPr>
        <w:ind w:left="720" w:right="100" w:hanging="352"/>
        <w:spacing w:after="0" w:line="260"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products that are similar to products and technologies we may develop or may be able to utilize similar technologies that are not covered by the claims of the patents that we own or license now or in the future;</w:t>
      </w:r>
    </w:p>
    <w:p>
      <w:pPr>
        <w:ind w:left="720" w:right="300" w:hanging="352"/>
        <w:spacing w:after="0" w:line="263"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we, or any future licensor(s), might not have been the first to make the inventions covered by the issued patent or pending patent application that we own, license or may own in the future;</w:t>
      </w:r>
    </w:p>
    <w:p>
      <w:pPr>
        <w:spacing w:after="0" w:line="1" w:lineRule="exact"/>
        <w:rPr>
          <w:rFonts w:ascii="Arial" w:cs="Arial" w:eastAsia="Arial" w:hAnsi="Arial"/>
          <w:sz w:val="20"/>
          <w:szCs w:val="20"/>
          <w:color w:val="auto"/>
        </w:rPr>
      </w:pPr>
    </w:p>
    <w:p>
      <w:pPr>
        <w:ind w:left="720" w:right="300" w:hanging="352"/>
        <w:spacing w:after="0" w:line="26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we, or any future licensor(s), might not have been the first to file patent applications covering certain of our or their inventions;</w:t>
      </w:r>
    </w:p>
    <w:p>
      <w:pPr>
        <w:ind w:left="720" w:right="140" w:hanging="352"/>
        <w:spacing w:after="0" w:line="260"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misappropriating or otherwise violating our owned or future licensed intellectual property rights;</w:t>
      </w:r>
    </w:p>
    <w:p>
      <w:pPr>
        <w:ind w:left="720" w:right="20" w:hanging="352"/>
        <w:spacing w:after="0" w:line="263"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our pending patent applications or those that we may license or own in the future will not lead to issued patents;</w:t>
      </w:r>
    </w:p>
    <w:p>
      <w:pPr>
        <w:spacing w:after="0" w:line="1" w:lineRule="exact"/>
        <w:rPr>
          <w:rFonts w:ascii="Arial" w:cs="Arial" w:eastAsia="Arial" w:hAnsi="Arial"/>
          <w:sz w:val="20"/>
          <w:szCs w:val="20"/>
          <w:color w:val="auto"/>
        </w:rPr>
      </w:pPr>
    </w:p>
    <w:p>
      <w:pPr>
        <w:ind w:left="720" w:right="320" w:hanging="352"/>
        <w:spacing w:after="0" w:line="264"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w:t>
      </w:r>
    </w:p>
    <w:p>
      <w:pPr>
        <w:spacing w:after="0" w:line="1" w:lineRule="exact"/>
        <w:rPr>
          <w:rFonts w:ascii="Arial" w:cs="Arial" w:eastAsia="Arial" w:hAnsi="Arial"/>
          <w:sz w:val="20"/>
          <w:szCs w:val="20"/>
          <w:color w:val="auto"/>
        </w:rPr>
      </w:pPr>
    </w:p>
    <w:p>
      <w:pPr>
        <w:ind w:left="720" w:right="80" w:hanging="352"/>
        <w:spacing w:after="0" w:line="259"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720" w:hanging="352"/>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harm our business; and</w:t>
      </w:r>
    </w:p>
    <w:p>
      <w:pPr>
        <w:spacing w:after="0" w:line="37" w:lineRule="exact"/>
        <w:rPr>
          <w:rFonts w:ascii="Arial" w:cs="Arial" w:eastAsia="Arial" w:hAnsi="Arial"/>
          <w:sz w:val="20"/>
          <w:szCs w:val="20"/>
          <w:color w:val="auto"/>
        </w:rPr>
      </w:pPr>
    </w:p>
    <w:p>
      <w:pPr>
        <w:ind w:left="720" w:right="1020" w:hanging="352"/>
        <w:spacing w:after="0" w:line="287"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we may choose not to file a patent for certain trade secrets or know-how, and a third party may independently derive, use, commercialize, publish or patent such intellectual property.</w:t>
      </w:r>
    </w:p>
    <w:p>
      <w:pPr>
        <w:spacing w:after="0" w:line="201" w:lineRule="exact"/>
        <w:rPr>
          <w:sz w:val="20"/>
          <w:szCs w:val="20"/>
          <w:color w:val="auto"/>
        </w:rPr>
      </w:pPr>
    </w:p>
    <w:p>
      <w:pPr>
        <w:ind w:right="20" w:firstLine="401"/>
        <w:spacing w:after="0" w:line="297" w:lineRule="auto"/>
        <w:rPr>
          <w:sz w:val="20"/>
          <w:szCs w:val="20"/>
          <w:color w:val="auto"/>
        </w:rPr>
      </w:pPr>
      <w:r>
        <w:rPr>
          <w:rFonts w:ascii="Times New Roman" w:cs="Times New Roman" w:eastAsia="Times New Roman" w:hAnsi="Times New Roman"/>
          <w:sz w:val="20"/>
          <w:szCs w:val="20"/>
          <w:color w:val="auto"/>
        </w:rPr>
        <w:t>Should any of these events occur, they could materially adversely affect our business, financial condition, results of operations and prospects.</w:t>
      </w:r>
    </w:p>
    <w:p>
      <w:pPr>
        <w:sectPr>
          <w:pgSz w:w="12240" w:h="15840" w:orient="portrait"/>
          <w:cols w:equalWidth="0" w:num="1">
            <w:col w:w="9720"/>
          </w:cols>
          <w:pgMar w:left="1260" w:top="126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720"/>
          </w:cols>
          <w:pgMar w:left="1260" w:top="1268" w:right="1260" w:bottom="719"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and Legal Compliance Matters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expect to incur substantial expenses in our pursuit of regulatory clearances and approvals for our products in the United States and can provide no assurances that we will obtain the necessary approvals from the FDA to market our products in the United States.</w:t>
      </w:r>
    </w:p>
    <w:p>
      <w:pPr>
        <w:spacing w:after="0" w:line="180" w:lineRule="exact"/>
        <w:rPr>
          <w:sz w:val="20"/>
          <w:szCs w:val="20"/>
          <w:color w:val="auto"/>
        </w:rPr>
      </w:pPr>
    </w:p>
    <w:p>
      <w:pPr>
        <w:jc w:val="both"/>
        <w:ind w:firstLine="401"/>
        <w:spacing w:after="0" w:line="244" w:lineRule="auto"/>
        <w:rPr>
          <w:sz w:val="20"/>
          <w:szCs w:val="20"/>
          <w:color w:val="auto"/>
        </w:rPr>
      </w:pPr>
      <w:r>
        <w:rPr>
          <w:rFonts w:ascii="Times New Roman" w:cs="Times New Roman" w:eastAsia="Times New Roman" w:hAnsi="Times New Roman"/>
          <w:sz w:val="20"/>
          <w:szCs w:val="20"/>
          <w:color w:val="auto"/>
        </w:rPr>
        <w:t>The United States is a key market for commercialization of our products. Before we can market our products in the United States, we must conduct and successfully complete extensive clinical trials and then receive 510(k) clearance or PMA from the FDA. The time required to obtain approval by the FDA and comparable non-U.S. regulatory authorities may be unpredictable and depends upon numerous factors, including the substantial discretion of such regulatory authorities. In addition, policies, regulations or the type and amount of preclinical and clinical data necessary to gain clearance or approval may change during the course of a product’s lifecycle. We are required to undertake and complete certain studies to generate data required to support submissions to the FDA and certain other regulatory authorities, which studies may require additional capital and time. The FDA can delay, limit or deny clearance or approval of a device for many reasons, including:</w:t>
      </w:r>
    </w:p>
    <w:p>
      <w:pPr>
        <w:spacing w:after="0" w:line="210" w:lineRule="exact"/>
        <w:rPr>
          <w:sz w:val="20"/>
          <w:szCs w:val="20"/>
          <w:color w:val="auto"/>
        </w:rPr>
      </w:pPr>
    </w:p>
    <w:p>
      <w:pPr>
        <w:ind w:left="720" w:right="20" w:hanging="352"/>
        <w:spacing w:after="0" w:line="258"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demonstrate to the satisfaction of the FDA or the applicable regulatory entity or notified body that our products are safe and effective for their intended uses;</w:t>
      </w:r>
    </w:p>
    <w:p>
      <w:pPr>
        <w:ind w:left="720" w:right="20" w:hanging="352"/>
        <w:spacing w:after="0" w:line="24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disagreement of the FDA or the applicable foreign regulatory body with the design or implementation of our clinical trials or the interpretation of data from preclinical studies or clinical trials;</w:t>
      </w:r>
    </w:p>
    <w:p>
      <w:pPr>
        <w:ind w:left="720" w:hanging="352"/>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serious and unexpected adverse device effects experienced by participants in our clinical trials;</w:t>
      </w:r>
    </w:p>
    <w:p>
      <w:pPr>
        <w:spacing w:after="0" w:line="13" w:lineRule="exact"/>
        <w:rPr>
          <w:rFonts w:ascii="Arial" w:cs="Arial" w:eastAsia="Arial" w:hAnsi="Arial"/>
          <w:sz w:val="20"/>
          <w:szCs w:val="20"/>
          <w:color w:val="auto"/>
        </w:rPr>
      </w:pPr>
    </w:p>
    <w:p>
      <w:pPr>
        <w:ind w:left="720" w:right="20" w:hanging="352"/>
        <w:spacing w:after="0" w:line="247"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data from our preclinical studies and clinical trials may be insufficient to support clearance or approval, where required;</w:t>
      </w:r>
    </w:p>
    <w:p>
      <w:pPr>
        <w:ind w:left="720" w:hanging="352"/>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demonstrate that the clinical and other benefits of the product outweigh the risks;</w:t>
      </w:r>
    </w:p>
    <w:p>
      <w:pPr>
        <w:spacing w:after="0" w:line="13" w:lineRule="exact"/>
        <w:rPr>
          <w:rFonts w:ascii="Arial" w:cs="Arial" w:eastAsia="Arial" w:hAnsi="Arial"/>
          <w:sz w:val="20"/>
          <w:szCs w:val="20"/>
          <w:color w:val="auto"/>
        </w:rPr>
      </w:pPr>
    </w:p>
    <w:p>
      <w:pPr>
        <w:ind w:left="720" w:right="20" w:hanging="352"/>
        <w:spacing w:after="0" w:line="24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manufacturing process, facilities, or third-party manufacturers or suppliers we use may not meet applicable requirements;</w:t>
      </w:r>
    </w:p>
    <w:p>
      <w:pPr>
        <w:ind w:left="720" w:right="20" w:hanging="352"/>
        <w:spacing w:after="0" w:line="247"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compliance with preclinical, clinical or other regulations by us, our clinical investigators, or clinical trial service provides (e.g., contract research organizations); and</w:t>
      </w:r>
    </w:p>
    <w:p>
      <w:pPr>
        <w:jc w:val="both"/>
        <w:ind w:left="720" w:right="20" w:hanging="352"/>
        <w:spacing w:after="0" w:line="248"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200" w:lineRule="exact"/>
        <w:rPr>
          <w:sz w:val="20"/>
          <w:szCs w:val="20"/>
          <w:color w:val="auto"/>
        </w:rPr>
      </w:pPr>
    </w:p>
    <w:p>
      <w:pPr>
        <w:spacing w:after="0" w:line="223" w:lineRule="exact"/>
        <w:rPr>
          <w:sz w:val="20"/>
          <w:szCs w:val="20"/>
          <w:color w:val="auto"/>
        </w:rPr>
      </w:pPr>
    </w:p>
    <w:p>
      <w:pPr>
        <w:jc w:val="both"/>
        <w:ind w:right="20" w:firstLine="401"/>
        <w:spacing w:after="0" w:line="243" w:lineRule="auto"/>
        <w:rPr>
          <w:sz w:val="20"/>
          <w:szCs w:val="20"/>
          <w:color w:val="auto"/>
        </w:rPr>
      </w:pPr>
      <w:r>
        <w:rPr>
          <w:rFonts w:ascii="Times New Roman" w:cs="Times New Roman" w:eastAsia="Times New Roman" w:hAnsi="Times New Roman"/>
          <w:sz w:val="20"/>
          <w:szCs w:val="20"/>
          <w:color w:val="auto"/>
        </w:rPr>
        <w:t>It is possible that none of our products or any products we may seek to develop in the future will ever be cleared or approved by the FDA. Any delays in, or failure to receive or maintain, clearance or approval for our products could prevent us from generating revenue from these products or achieve profitability. Furthermore, even if we were to obtain 510(k) clearance or PMA approval for our products, neither clearance nor approval by the FDA nor our existing CE Marks ensures approval by regulatory authorities in other countries or jurisdictions that we may target for commercialization of the vCLAS system, and approval by one regulatory authority does not ensure approval by regulatory authorities in other countries or clearance or approval by the FDA. If we do not receive or maintain regulatory clearances or approvals for our products in the United States and other jurisdictions that we target for commercialization of our products, we will not be able to successfully commercialize our products, which could substantially impair our ability to generate revenues and materially harm our business, financial condition and results of operations.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720"/>
          </w:cols>
          <w:pgMar w:left="1260" w:top="1244" w:right="1260" w:bottom="719" w:gutter="0" w:footer="0" w:header="0"/>
          <w:type w:val="continuous"/>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enforcement action if we engage in improper or off-label marketing or promotion of our products, including significant legal liability, fines, penalties, and injunctions, which could materially and adversely affect our business, financial condition, and results of operations.</w:t>
      </w:r>
    </w:p>
    <w:p>
      <w:pPr>
        <w:spacing w:after="0" w:line="18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are not permitted to promote or market our products in the United States until FDA clearance or approval is obtained. After clearance or approval, our promotional materials and user training methods must comply with the requirements of the FDA and other applicable laws and regulations, including the prohibition of the promotion of unapproved, or “off-label,” uses. Practitioners may use our products off- label, as the FDA does not restrict or regulate a practitioner’s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 cluding the issuance of an untitled letter, a warning letter, injunction, seizure, civil fine, or criminal prosecution. Other federal, state, or foreign enforcement authorities, including the U.S. Department of Justice, might also take action if they consi der our promotional or training materials to constitute promotion of an off -label use, which could result in significant fines or penalties under other statutory authorities, such as laws prohibiting false claims for reimbursement. In that event, our reputation could be damaged, which may lead to reduced or non-acceptance of our proposed product candidates by the market. In addition, the off -label use of our products may increase the risk of product liability claims. Product liability claims are expensive to defend and could divert the attention of our management, result in substantial damage awards against us, and harm our reputation.</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7"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Disruptions at the FDA and other agencies and comparable regulatory authorities may also slow the time necessary for new devices to be reviewed and/or approved by necessary government agencies and regulatory authorities, which would adversely affect our business. For example, over the last several years, including most recently from January 31, 2026 to February 3, 2026, and from October 1, 2025 to November 12, 2205,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720"/>
          </w:cols>
          <w:pgMar w:left="1260" w:top="1248" w:right="1260" w:bottom="719" w:gutter="0" w:footer="0" w:header="0"/>
          <w:type w:val="continuous"/>
        </w:sectPr>
      </w:pPr>
    </w:p>
    <w:bookmarkStart w:id="58" w:name="page59"/>
    <w:bookmarkEnd w:id="58"/>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Adverse findings in post-marketing vigilance or regulatory audits could subject us to suspension or withdrawal of our certificates of conformity, mandatory product recalls and significant legal liability, which could materially and adversely affect our business, financial condition, and results of operations.</w:t>
      </w:r>
    </w:p>
    <w:p>
      <w:pPr>
        <w:spacing w:after="0" w:line="181"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In May 2020, we received a CE Mark from our notified body (a private organization designated by the competent authorities of the European Economic Area (“EEA”), to conduct conformity assessments and verify the conformity of manufacturers and their medical devices with the Essential Requirements of the EU Medical Devices Directive and the EU Medical Devices Regulations) for our Cryoablation Console, iCLAS Cryoablation Catheter, Shaped Stylets, and Esophageal Warming Balloon Catheter allowing the CE Mark to be affixed to such products permitting such products to be placed on the market within any state in the EEA and, through mutual recognition agreements, Switzerland (subject to certain localized registration and language requirements). These are former product candidates that we are no longer pursuing. In March 2024, we received an EC certificate of conformity for the VT Cryoablation System (vCLAS™ Catheter and updated Cryoablation Console) under the EU Medical Devices Regulation (i.e., European Union Regulation 2017/745). Manufacturers of medical devices in the EEA are required to implement post-marketing vigilance procedures with respect to their CE Marked medical devices in accordance with the rules governing the Medical Device Vigilance System provided for in European Commission’s MDR Chapter VII. Such post-marketing vigilance procedures include surveillance of patient and user complaints and alleged incidents associated with the use of CE Marked medical devices. MDR Article 2(64) and (65) define incidents as any malfunction or deterioration in the characteristics and/or performance of a device made available on the market, including user error due to ergonomic features, as well as any inadequacy in information supplied by the manufacturer and any undesirable side- effects and serious incidents as any incident which, directly or indirectly, led, might lead to or might have led to (a) the death of a patient, or user or of other persons, (b) to the temporary or permanent serious deterioration in their state of health, or (c) serious public health threat. When a medical device is suspected to have a causal relationship with an incident that led or might have led to death of or the serious deterioration of the health of a patient, or user or of other person, its manufacturer or authorized representative in the EU must report it to the competent authority in whose territory the incident occurred. Serious incidents must be reported no later than 15 calendar days, and in some cases no later than 2 calendar days, after the manufacturer becomes aware of the incident. In addition to reporting the serious incidents, the manufacturer must investigate and take any corrective action required, including Field Safety Corrective Actions (“FSCAs”) . For a reportable serious incident, the manufacturer’s investigation is monitored by the competent authority, which may intervene, or initiate an independent investigation if considered appropriate. The required corrective action depends on the seriousn ess of the incident and varies from the issuance of advisory notices to the implementation of FSCAs or product recalls. FSCAs must be reported by the manufacturer or its authorized representative to the competent authorities of the countries affected by the FSCA. Customers and/or the end users of the medical device must also be notified. Incidents not requiring reporting to the competent authorities must be documented, reviewed, investigated and analyzed on a regular basis by the manufacturer to determine whether trending conclusions can be made concerning the safety or performance of the medical device and whether actions must be taken in relation to the continued marketing of medical devices currently on the market.</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720"/>
          </w:cols>
          <w:pgMar w:left="1260" w:top="1248" w:right="1260" w:bottom="719" w:gutter="0" w:footer="0" w:header="0"/>
          <w:type w:val="continuous"/>
        </w:sectPr>
      </w:pPr>
    </w:p>
    <w:bookmarkStart w:id="59" w:name="page60"/>
    <w:bookmarkEnd w:id="59"/>
    <w:p>
      <w:pPr>
        <w:jc w:val="both"/>
        <w:ind w:firstLine="403"/>
        <w:spacing w:after="0" w:line="242" w:lineRule="auto"/>
        <w:rPr>
          <w:sz w:val="20"/>
          <w:szCs w:val="20"/>
          <w:color w:val="auto"/>
        </w:rPr>
      </w:pPr>
      <w:r>
        <w:rPr>
          <w:rFonts w:ascii="Times New Roman" w:cs="Times New Roman" w:eastAsia="Times New Roman" w:hAnsi="Times New Roman"/>
          <w:sz w:val="20"/>
          <w:szCs w:val="20"/>
          <w:color w:val="auto"/>
        </w:rPr>
        <w:t>In May 2022, for example, we submitted a FSCA to the competent authorities relating to a serious adverse event that occurred in October 2021 during the U.S. pivotal IDE clinical study of the CE marked iCLAS™ Cryoablation System, a former product candidate that we are no longer pursuing. The U.S. IDE clinical study was put on a voluntary hold during the investigation of the incident, even though the iCLAS™ Cryoablation Catheter remained commercially available in the EU during such investigation. The procedure was performed with a guiding sheath that we had not authorized for use with our iCLAS™ Cryoablation Catheter in the study. After the catheter successfully completed 20 freeze cycles, it was removed from the patient for post-mapping and was subsequently re-inserted into the patient without completing the functional test freeze. After re -insertion, the freeze application was initiated followed by the receipt of a console alert of a system error. The patient’s heart rate declined rapidly and the presence of nitrogen in the left atrium was confirmed with intracardiac echocardiography. The patient subsequently died. After investigation, it was determined that the guiding sheath was damaged and therefore, severely compromised our iCLAS™ Cryoablation Catheter. During catheter removal, the force applied to retract our iCLAS™ Cryoablation Catheter caused its electrode band to cut into its freezing element and sever the two layers of high - pressure tubes containing the cryogen. This resulted in an external gas leak into the patient leading to air/gas embolism and death. The FSCA reported to the competent authorities described the corrective actions implemented by us including software and labeling update and retraining requirements, and the competent authorities accept ed the corrective actions. The patient’s death was also reported to the FDA.</w:t>
      </w:r>
    </w:p>
    <w:p>
      <w:pPr>
        <w:spacing w:after="0" w:line="199" w:lineRule="exact"/>
        <w:rPr>
          <w:sz w:val="20"/>
          <w:szCs w:val="20"/>
          <w:color w:val="auto"/>
        </w:rPr>
      </w:pPr>
    </w:p>
    <w:p>
      <w:pPr>
        <w:jc w:val="both"/>
        <w:ind w:right="20" w:firstLine="401"/>
        <w:spacing w:after="0" w:line="244" w:lineRule="auto"/>
        <w:rPr>
          <w:sz w:val="20"/>
          <w:szCs w:val="20"/>
          <w:color w:val="auto"/>
        </w:rPr>
      </w:pPr>
      <w:r>
        <w:rPr>
          <w:rFonts w:ascii="Times New Roman" w:cs="Times New Roman" w:eastAsia="Times New Roman" w:hAnsi="Times New Roman"/>
          <w:sz w:val="20"/>
          <w:szCs w:val="20"/>
          <w:color w:val="auto"/>
        </w:rPr>
        <w:t>We expect to incur ongoing costs to comply with these post-market vigilance obligations in EEA markets for so long as we continue to market and sell products in those markets. Moreover, any patient or user complaints and/or adverse events discovered during such post-market vigilance could subject us to suspension or withdrawal of our EC certificates of conformity or CE Mark, mandatory product recalls and significant legal liability, which would materially and adversely affect our business, financial condition and results of operation. In addition, a notified body or competent authority in an EEA country may perform post- marketing audits on our products and premises from time to time. Failure to comply with such requests in a timely manner, and any adverse findings in any such audit, could subject us to suspension or withdrawal of our EC certificates of conformity or CE Mark, mandatory product recalls and significant legal liability, which could materially and adversely affect our business, financial condition and results of operations.</w:t>
      </w:r>
    </w:p>
    <w:p>
      <w:pPr>
        <w:spacing w:after="0" w:line="200" w:lineRule="exact"/>
        <w:rPr>
          <w:sz w:val="20"/>
          <w:szCs w:val="20"/>
          <w:color w:val="auto"/>
        </w:rPr>
      </w:pP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enforcement action if we engage in marketing of our products pursuant to improper regulatory classifications in the EU, including suspension or withdrawal of our certificates of conformity, mandatory product recalls and significant legal liability, fines, penalties, and injunctions, which could materially and adversely affect our business, financial condition and results of operations.</w:t>
      </w:r>
    </w:p>
    <w:p>
      <w:pPr>
        <w:spacing w:after="0" w:line="184" w:lineRule="exact"/>
        <w:rPr>
          <w:sz w:val="20"/>
          <w:szCs w:val="20"/>
          <w:color w:val="auto"/>
        </w:rPr>
      </w:pPr>
    </w:p>
    <w:p>
      <w:pPr>
        <w:jc w:val="both"/>
        <w:ind w:firstLine="401"/>
        <w:spacing w:after="0" w:line="244" w:lineRule="auto"/>
        <w:rPr>
          <w:sz w:val="20"/>
          <w:szCs w:val="20"/>
          <w:color w:val="auto"/>
        </w:rPr>
      </w:pPr>
      <w:r>
        <w:rPr>
          <w:rFonts w:ascii="Times New Roman" w:cs="Times New Roman" w:eastAsia="Times New Roman" w:hAnsi="Times New Roman"/>
          <w:sz w:val="20"/>
          <w:szCs w:val="20"/>
          <w:color w:val="auto"/>
        </w:rPr>
        <w:t>To place a medical device on the market in the EU, a manufacturer must have a valid CE mark for the device, issued after the completion of a conformity assessment. For class I, II, or III medical devices, a third - party notified body must be involved in the conformity assessment procedure and issue an EC Certificate. For Class I devices, the manufacturer conducts its own conformity assessment and self-certifies the devices; the notified body is not involved. The components of our vCLAS Cryoablation system as placed on the market in the EU are individually classified and fall into different classifications. If an EU competent authority determines that one of our medical devices is marketed under improper classification and/or improper or invalid EC Certificate, the authority may initiate enforcement action, such as ordering us to recall and withdraw the respective medical device from the market and/or pursue criminal penalties under national member state law.</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720"/>
          </w:cols>
          <w:pgMar w:left="1260" w:top="1248" w:right="1260" w:bottom="719" w:gutter="0" w:footer="0" w:header="0"/>
          <w:type w:val="continuous"/>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currently subject to, and may in the future become subject to evolving, U.S. federal and state laws, regulations, contractual obligations, industry standards, and other obligations related to data privacy and security. Our (or the third parties with whom we work) actual or perceived failure to comply with such obligations could harm our business. Ensuring compliance with such laws could also impair our efforts to maintain and expand our future customer base and thereby decrease our revenue.</w:t>
      </w:r>
    </w:p>
    <w:p>
      <w:pPr>
        <w:spacing w:after="0" w:line="187" w:lineRule="exact"/>
        <w:rPr>
          <w:sz w:val="20"/>
          <w:szCs w:val="20"/>
          <w:color w:val="auto"/>
        </w:rPr>
      </w:pPr>
    </w:p>
    <w:p>
      <w:pPr>
        <w:jc w:val="both"/>
        <w:ind w:right="20" w:firstLine="360"/>
        <w:spacing w:after="0" w:line="243" w:lineRule="auto"/>
        <w:rPr>
          <w:sz w:val="20"/>
          <w:szCs w:val="20"/>
          <w:color w:val="auto"/>
        </w:rPr>
      </w:pPr>
      <w:r>
        <w:rPr>
          <w:rFonts w:ascii="Times New Roman" w:cs="Times New Roman" w:eastAsia="Times New Roman" w:hAnsi="Times New Roman"/>
          <w:sz w:val="20"/>
          <w:szCs w:val="20"/>
          <w:color w:val="auto"/>
        </w:rPr>
        <w:t>In the ordinary course of our business, we currently, and, in the future, will collect, receive, store, generate, make available, protect, secure, transfer, use or process personal data and other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27" w:lineRule="exact"/>
        <w:rPr>
          <w:sz w:val="20"/>
          <w:szCs w:val="20"/>
          <w:color w:val="auto"/>
        </w:rPr>
      </w:pPr>
    </w:p>
    <w:p>
      <w:pPr>
        <w:jc w:val="both"/>
        <w:ind w:right="20" w:firstLine="401"/>
        <w:spacing w:after="0" w:line="242" w:lineRule="auto"/>
        <w:rPr>
          <w:sz w:val="20"/>
          <w:szCs w:val="20"/>
          <w:color w:val="auto"/>
        </w:rPr>
      </w:pPr>
      <w:r>
        <w:rPr>
          <w:rFonts w:ascii="Times New Roman" w:cs="Times New Roman" w:eastAsia="Times New Roman" w:hAnsi="Times New Roman"/>
          <w:sz w:val="20"/>
          <w:szCs w:val="20"/>
          <w:color w:val="auto"/>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increases privacy rights for California residents and imposes obligations on companies that process their personal information.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230" w:lineRule="exact"/>
        <w:rPr>
          <w:sz w:val="20"/>
          <w:szCs w:val="20"/>
          <w:color w:val="auto"/>
        </w:rPr>
      </w:pPr>
    </w:p>
    <w:p>
      <w:pPr>
        <w:jc w:val="both"/>
        <w:ind w:right="20" w:firstLine="401"/>
        <w:spacing w:after="0" w:line="242" w:lineRule="auto"/>
        <w:rPr>
          <w:sz w:val="20"/>
          <w:szCs w:val="20"/>
          <w:color w:val="auto"/>
        </w:rPr>
      </w:pPr>
      <w:r>
        <w:rPr>
          <w:rFonts w:ascii="Times New Roman" w:cs="Times New Roman" w:eastAsia="Times New Roman" w:hAnsi="Times New Roman"/>
          <w:sz w:val="20"/>
          <w:szCs w:val="20"/>
          <w:color w:val="auto"/>
        </w:rPr>
        <w:t>Furthermore, regulations promulgated pursuant to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breaches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720"/>
          </w:cols>
          <w:pgMar w:left="1260" w:top="1248" w:right="1260" w:bottom="719" w:gutter="0" w:footer="0" w:header="0"/>
          <w:type w:val="continuous"/>
        </w:sectPr>
      </w:pPr>
    </w:p>
    <w:bookmarkStart w:id="61" w:name="page62"/>
    <w:bookmarkEnd w:id="61"/>
    <w:p>
      <w:pPr>
        <w:jc w:val="both"/>
        <w:ind w:firstLine="401"/>
        <w:spacing w:after="0" w:line="241"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govern data privacy and security. For example, the European Union’s General Data Protection Regulation (“EU GDPR”), the United Kingdom’s GDPR (“UK GDPR”, and together with the EU GDPR, “GDPR”), Brazil’s General Data Protection Law (Lei Geral de Proteção de Dados Pessoais, or “LGPD”) (Law No. 13,709/2018),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 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11"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201" w:lineRule="exact"/>
        <w:rPr>
          <w:sz w:val="20"/>
          <w:szCs w:val="20"/>
          <w:color w:val="auto"/>
        </w:rPr>
      </w:pPr>
    </w:p>
    <w:p>
      <w:pPr>
        <w:jc w:val="both"/>
        <w:ind w:right="20" w:firstLine="360"/>
        <w:spacing w:after="0" w:line="242" w:lineRule="auto"/>
        <w:rPr>
          <w:sz w:val="20"/>
          <w:szCs w:val="20"/>
          <w:color w:val="auto"/>
        </w:rPr>
      </w:pPr>
      <w:r>
        <w:rPr>
          <w:rFonts w:ascii="Times New Roman" w:cs="Times New Roman" w:eastAsia="Times New Roman" w:hAnsi="Times New Roman"/>
          <w:sz w:val="20"/>
          <w:szCs w:val="20"/>
          <w:color w:val="auto"/>
        </w:rPr>
        <w:t>We publish privacy policies, marketing materials, whitepapers, and other statements, such as statements related to compliance with certain certifications or self- 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the third parties with whom we work,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720"/>
          </w:cols>
          <w:pgMar w:left="1260" w:top="1248" w:right="1260" w:bottom="719" w:gutter="0" w:footer="0" w:header="0"/>
          <w:type w:val="continuous"/>
        </w:sectPr>
      </w:pPr>
    </w:p>
    <w:bookmarkStart w:id="62" w:name="page63"/>
    <w:bookmarkEnd w:id="62"/>
    <w:p>
      <w:pPr>
        <w:jc w:val="both"/>
        <w:ind w:right="20"/>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broad and complex healthcare and other laws, we could face substantial penalties and our business, operations, and financial condition could be adversely affected.</w:t>
      </w:r>
    </w:p>
    <w:p>
      <w:pPr>
        <w:spacing w:after="0" w:line="168" w:lineRule="exact"/>
        <w:rPr>
          <w:sz w:val="20"/>
          <w:szCs w:val="20"/>
          <w:color w:val="auto"/>
        </w:rPr>
      </w:pPr>
    </w:p>
    <w:p>
      <w:pPr>
        <w:jc w:val="both"/>
        <w:ind w:firstLine="401"/>
        <w:spacing w:after="0" w:line="249" w:lineRule="auto"/>
        <w:rPr>
          <w:sz w:val="20"/>
          <w:szCs w:val="20"/>
          <w:color w:val="auto"/>
        </w:rPr>
      </w:pPr>
      <w:r>
        <w:rPr>
          <w:rFonts w:ascii="Times New Roman" w:cs="Times New Roman" w:eastAsia="Times New Roman" w:hAnsi="Times New Roman"/>
          <w:sz w:val="20"/>
          <w:szCs w:val="20"/>
          <w:color w:val="auto"/>
        </w:rPr>
        <w:t>The marketing of 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Some of these laws apply to us now, while other laws may apply to us only if and when we have marketed products or have marketed products that are covered by government health benefit programs or private health care insurance. These laws include:</w:t>
      </w:r>
    </w:p>
    <w:p>
      <w:pPr>
        <w:spacing w:after="0" w:line="213" w:lineRule="exact"/>
        <w:rPr>
          <w:sz w:val="20"/>
          <w:szCs w:val="20"/>
          <w:color w:val="auto"/>
        </w:rPr>
      </w:pPr>
    </w:p>
    <w:p>
      <w:pPr>
        <w:jc w:val="both"/>
        <w:ind w:left="720" w:right="20" w:hanging="352"/>
        <w:spacing w:after="0" w:line="249"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328" w:lineRule="exact"/>
        <w:rPr>
          <w:rFonts w:ascii="Arial" w:cs="Arial" w:eastAsia="Arial" w:hAnsi="Arial"/>
          <w:sz w:val="20"/>
          <w:szCs w:val="20"/>
          <w:color w:val="auto"/>
        </w:rPr>
      </w:pPr>
    </w:p>
    <w:p>
      <w:pPr>
        <w:jc w:val="both"/>
        <w:ind w:left="720" w:right="20" w:hanging="352"/>
        <w:spacing w:after="0" w:line="251"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federal civil and criminal false claims laws, including the FCA,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w:t>
      </w:r>
    </w:p>
    <w:p>
      <w:pPr>
        <w:spacing w:after="0" w:line="91" w:lineRule="exact"/>
        <w:rPr>
          <w:rFonts w:ascii="Arial" w:cs="Arial" w:eastAsia="Arial" w:hAnsi="Arial"/>
          <w:sz w:val="20"/>
          <w:szCs w:val="20"/>
          <w:color w:val="auto"/>
        </w:rPr>
      </w:pPr>
    </w:p>
    <w:p>
      <w:pPr>
        <w:jc w:val="both"/>
        <w:ind w:left="720" w:hanging="352"/>
        <w:spacing w:after="0" w:line="252"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HIPAA,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payors with whom we interact;</w:t>
      </w:r>
    </w:p>
    <w:p>
      <w:pPr>
        <w:spacing w:after="0" w:line="86" w:lineRule="exact"/>
        <w:rPr>
          <w:rFonts w:ascii="Arial" w:cs="Arial" w:eastAsia="Arial" w:hAnsi="Arial"/>
          <w:sz w:val="20"/>
          <w:szCs w:val="20"/>
          <w:color w:val="auto"/>
        </w:rPr>
      </w:pPr>
    </w:p>
    <w:p>
      <w:pPr>
        <w:jc w:val="both"/>
        <w:ind w:left="720" w:right="20" w:hanging="352"/>
        <w:spacing w:after="0" w:line="264"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FDCA which, among other things, strictly regulates drug product and medical device marketing, prohibits manufacturers from marketing such products for off-label use, and regulates the distribution of samples;</w:t>
      </w:r>
    </w:p>
    <w:p>
      <w:pPr>
        <w:spacing w:after="0" w:line="318" w:lineRule="exact"/>
        <w:rPr>
          <w:rFonts w:ascii="Arial" w:cs="Arial" w:eastAsia="Arial" w:hAnsi="Arial"/>
          <w:sz w:val="20"/>
          <w:szCs w:val="20"/>
          <w:color w:val="auto"/>
        </w:rPr>
      </w:pPr>
    </w:p>
    <w:p>
      <w:pPr>
        <w:jc w:val="both"/>
        <w:ind w:left="720" w:right="20" w:hanging="352"/>
        <w:spacing w:after="0" w:line="251"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spacing w:after="0" w:line="90" w:lineRule="exact"/>
        <w:rPr>
          <w:rFonts w:ascii="Arial" w:cs="Arial" w:eastAsia="Arial" w:hAnsi="Arial"/>
          <w:sz w:val="20"/>
          <w:szCs w:val="20"/>
          <w:color w:val="auto"/>
        </w:rPr>
      </w:pPr>
    </w:p>
    <w:p>
      <w:pPr>
        <w:jc w:val="both"/>
        <w:ind w:left="720" w:right="20" w:hanging="352"/>
        <w:spacing w:after="0" w:line="248"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so-called federal “sunshine law” or Open Payments which requires manufacturers of drugs, devices, biologics, and medical supplies covered under certain government health benefit programs to report to the Centers for Medicare &amp; Medicaid Services, or CMS, information related to payments and other transfers of value to teaching hospitals, physicians, and other healthcare practitioners, as well as ownership and investment interests held by physicians and their immediate family members;</w:t>
      </w:r>
    </w:p>
    <w:p>
      <w:pPr>
        <w:spacing w:after="0" w:line="94" w:lineRule="exact"/>
        <w:rPr>
          <w:rFonts w:ascii="Arial" w:cs="Arial" w:eastAsia="Arial" w:hAnsi="Arial"/>
          <w:sz w:val="20"/>
          <w:szCs w:val="20"/>
          <w:color w:val="auto"/>
        </w:rPr>
      </w:pPr>
    </w:p>
    <w:p>
      <w:pPr>
        <w:ind w:left="720" w:right="20" w:hanging="352"/>
        <w:spacing w:after="0" w:line="276"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w:t>
      </w:r>
    </w:p>
    <w:p>
      <w:pPr>
        <w:spacing w:after="0" w:line="65" w:lineRule="exact"/>
        <w:rPr>
          <w:rFonts w:ascii="Arial" w:cs="Arial" w:eastAsia="Arial" w:hAnsi="Arial"/>
          <w:sz w:val="20"/>
          <w:szCs w:val="20"/>
          <w:color w:val="auto"/>
        </w:rPr>
      </w:pPr>
    </w:p>
    <w:p>
      <w:pPr>
        <w:jc w:val="both"/>
        <w:ind w:left="720" w:hanging="352"/>
        <w:spacing w:after="0" w:line="247"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state laws and regulations analogous to federal laws, including anti-kickback or related laws, some of which apply regardless of whether products or services are covered by government health benefit programs or private insurance, false claims laws, laws prohibiting consumer protection and unfair competition laws, and laws governing privacy, security, and breaches of health (and other personal) information in certain circumstances, many of which differ in significant ways from federal laws and across states and are often not preempted by federal law, thus complicating compliance efforts; and</w:t>
      </w:r>
    </w:p>
    <w:p>
      <w:pPr>
        <w:spacing w:after="0" w:line="93" w:lineRule="exact"/>
        <w:rPr>
          <w:rFonts w:ascii="Arial" w:cs="Arial" w:eastAsia="Arial" w:hAnsi="Arial"/>
          <w:sz w:val="20"/>
          <w:szCs w:val="20"/>
          <w:color w:val="auto"/>
        </w:rPr>
      </w:pPr>
    </w:p>
    <w:p>
      <w:pPr>
        <w:jc w:val="both"/>
        <w:ind w:left="720" w:hanging="352"/>
        <w:spacing w:after="0" w:line="247"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state laws that require pharmaceutical companies to obtain certain regulatory licenses to manufacture or distribute pharmaceutical products commercially and/or the registration of pharmaceutical sales representatives and state laws that require pharmaceutical companies to comply with specific compliance standards, restrict financial interactions between pharmaceutical companies and healthcare providers, and/or report drug product pricing information, financial interactions with health care providers, or mar keting expenditures.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720"/>
          </w:cols>
          <w:pgMar w:left="1260" w:top="1248" w:right="1260" w:bottom="719" w:gutter="0" w:footer="0" w:header="0"/>
          <w:type w:val="continuous"/>
        </w:sectPr>
      </w:pPr>
    </w:p>
    <w:bookmarkStart w:id="63" w:name="page64"/>
    <w:bookmarkEnd w:id="63"/>
    <w:p>
      <w:pPr>
        <w:jc w:val="both"/>
        <w:ind w:right="20" w:firstLine="401"/>
        <w:spacing w:after="0" w:line="259" w:lineRule="auto"/>
        <w:rPr>
          <w:sz w:val="20"/>
          <w:szCs w:val="20"/>
          <w:color w:val="auto"/>
        </w:rPr>
      </w:pPr>
      <w:r>
        <w:rPr>
          <w:rFonts w:ascii="Times New Roman" w:cs="Times New Roman" w:eastAsia="Times New Roman" w:hAnsi="Times New Roman"/>
          <w:sz w:val="20"/>
          <w:szCs w:val="20"/>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65" w:lineRule="exact"/>
        <w:rPr>
          <w:sz w:val="20"/>
          <w:szCs w:val="20"/>
          <w:color w:val="auto"/>
        </w:rPr>
      </w:pPr>
    </w:p>
    <w:p>
      <w:pPr>
        <w:jc w:val="both"/>
        <w:ind w:right="20" w:firstLine="401"/>
        <w:spacing w:after="0" w:line="258" w:lineRule="auto"/>
        <w:rPr>
          <w:sz w:val="20"/>
          <w:szCs w:val="20"/>
          <w:color w:val="auto"/>
        </w:rPr>
      </w:pPr>
      <w:r>
        <w:rPr>
          <w:rFonts w:ascii="Times New Roman" w:cs="Times New Roman" w:eastAsia="Times New Roman" w:hAnsi="Times New Roman"/>
          <w:sz w:val="20"/>
          <w:szCs w:val="20"/>
          <w:color w:val="auto"/>
        </w:rPr>
        <w:t>To the extent that we implement a telehealth platform, activities undertaken and arrangements implemented in connection with such a platform may implicate other laws such as state physician, pharmacy and telehealth licensure laws, corporate practice of medicine, and fee-splitting laws.</w:t>
      </w:r>
    </w:p>
    <w:p>
      <w:pPr>
        <w:spacing w:after="0" w:line="70" w:lineRule="exact"/>
        <w:rPr>
          <w:sz w:val="20"/>
          <w:szCs w:val="20"/>
          <w:color w:val="auto"/>
        </w:rPr>
      </w:pPr>
    </w:p>
    <w:p>
      <w:pPr>
        <w:jc w:val="both"/>
        <w:ind w:right="20" w:firstLine="401"/>
        <w:spacing w:after="0" w:line="242" w:lineRule="auto"/>
        <w:rPr>
          <w:sz w:val="20"/>
          <w:szCs w:val="20"/>
          <w:color w:val="auto"/>
        </w:rPr>
      </w:pPr>
      <w:r>
        <w:rPr>
          <w:rFonts w:ascii="Times New Roman" w:cs="Times New Roman" w:eastAsia="Times New Roman" w:hAnsi="Times New Roman"/>
          <w:sz w:val="20"/>
          <w:szCs w:val="20"/>
          <w:color w:val="auto"/>
        </w:rPr>
        <w:t>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For example, we have engaged physicians to serve as investigators and/or consultants, including service on advisory boards, and our commercialization plan may include significant physician outreach and education. Federal and state enforcement agencies scrutinize interactions between pharmaceutical companies and healthcare providers, which has led to a number of investigations, prosecutions, convictions, and settlements in the healthcare industry. If our operations are found to be in violation of any of these laws or any other governmental regulations that may apply to us, we may be subject to significant civil, criminal, and administrative penalties, damages, fines, exclusion from participation in federal health care programs such as Medicare and Medicaid, the curtailment or restructuring of our operations, and other actions.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or will be subject to anti-corruption and anti-bribery and anti-money laundering and similar laws, and non-compliance with such laws can subject us to administrative, civil and criminal fines and penalties, collateral consequences, remedial measures and legal expenses, all of which could adversely affect our reputation, business, financial condition and results of operations.</w:t>
      </w:r>
    </w:p>
    <w:p>
      <w:pPr>
        <w:spacing w:after="0" w:line="184" w:lineRule="exact"/>
        <w:rPr>
          <w:sz w:val="20"/>
          <w:szCs w:val="20"/>
          <w:color w:val="auto"/>
        </w:rPr>
      </w:pPr>
    </w:p>
    <w:p>
      <w:pPr>
        <w:jc w:val="both"/>
        <w:ind w:right="20" w:firstLine="401"/>
        <w:spacing w:after="0" w:line="252" w:lineRule="auto"/>
        <w:rPr>
          <w:sz w:val="20"/>
          <w:szCs w:val="20"/>
          <w:color w:val="auto"/>
        </w:rPr>
      </w:pPr>
      <w:r>
        <w:rPr>
          <w:rFonts w:ascii="Times New Roman" w:cs="Times New Roman" w:eastAsia="Times New Roman" w:hAnsi="Times New Roman"/>
          <w:sz w:val="20"/>
          <w:szCs w:val="20"/>
          <w:color w:val="auto"/>
        </w:rPr>
        <w:t>We are or will be subject to anti- corruption and anti-bribery and anti-money laundering and similar laws, which prohibit corporations and individuals from directly or indirectly paying, offering to pay, or 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84" w:lineRule="exact"/>
        <w:rPr>
          <w:sz w:val="20"/>
          <w:szCs w:val="20"/>
          <w:color w:val="auto"/>
        </w:rPr>
      </w:pPr>
    </w:p>
    <w:p>
      <w:pPr>
        <w:jc w:val="both"/>
        <w:ind w:right="20" w:firstLine="401"/>
        <w:spacing w:after="0" w:line="249" w:lineRule="auto"/>
        <w:rPr>
          <w:sz w:val="20"/>
          <w:szCs w:val="20"/>
          <w:color w:val="auto"/>
        </w:rPr>
      </w:pPr>
      <w:r>
        <w:rPr>
          <w:rFonts w:ascii="Times New Roman" w:cs="Times New Roman" w:eastAsia="Times New Roman" w:hAnsi="Times New Roman"/>
          <w:sz w:val="20"/>
          <w:szCs w:val="20"/>
          <w:color w:val="auto"/>
        </w:rPr>
        <w:t>This includes the FCPA, which prohibits corporations and individuals from paying, offering to pay, or authorizing the payment of anything of value directly or indirectly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87" w:lineRule="exact"/>
        <w:rPr>
          <w:sz w:val="20"/>
          <w:szCs w:val="20"/>
          <w:color w:val="auto"/>
        </w:rPr>
      </w:pPr>
    </w:p>
    <w:p>
      <w:pPr>
        <w:jc w:val="both"/>
        <w:ind w:firstLine="401"/>
        <w:spacing w:after="0" w:line="244" w:lineRule="auto"/>
        <w:rPr>
          <w:sz w:val="20"/>
          <w:szCs w:val="20"/>
          <w:color w:val="auto"/>
        </w:rPr>
      </w:pPr>
      <w:r>
        <w:rPr>
          <w:rFonts w:ascii="Times New Roman" w:cs="Times New Roman" w:eastAsia="Times New Roman" w:hAnsi="Times New Roman"/>
          <w:sz w:val="20"/>
          <w:szCs w:val="20"/>
          <w:color w:val="auto"/>
        </w:rPr>
        <w:t>As we expand our commercial operations outside of the United States, we will need to comply with non -U.S. regulatory requirements, will need to expand business relationships with various third parties, and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 -Bribery Act or other similar laws, we may be subject to significant civil and criminal penalties which could have a material adverse effe ct on our financial condition and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720"/>
          </w:cols>
          <w:pgMar w:left="1260" w:top="1248" w:right="1260" w:bottom="719" w:gutter="0" w:footer="0" w:header="0"/>
          <w:type w:val="continuous"/>
        </w:sectPr>
      </w:pPr>
    </w:p>
    <w:bookmarkStart w:id="64" w:name="page65"/>
    <w:bookmarkEnd w:id="64"/>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58"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commercial partners, distributors,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 -dealing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 s and the curtailment or restructuring of our operations. If any of the physicians or other health care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21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Recently enacted and future legislation may increase the difficulty and cost for us to commercialize our products and obtain marketing approval of our product candidates and may affect the prices we may obtain.</w:t>
      </w:r>
    </w:p>
    <w:p>
      <w:pPr>
        <w:spacing w:after="0" w:line="170"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94"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Changes in healthcare policy could increase our costs and subject it to additional regulatory requirements that may interrupt commercialization of our current and future solutions. Changes in healthcare policy could increase our costs, decrease our revenue and impact sales of and reimbursement for our current and future products. For example, the ACA substantially changed the way healthcare is financed by both governmental and private insurers, and significantly impacts the life sciences industry. Any changes to, or repeal of, the ACA may have a material adverse effect on our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720"/>
          </w:cols>
          <w:pgMar w:left="1260" w:top="1248" w:right="1260" w:bottom="719" w:gutter="0" w:footer="0" w:header="0"/>
          <w:type w:val="continuous"/>
        </w:sectPr>
      </w:pPr>
    </w:p>
    <w:bookmarkStart w:id="65" w:name="page66"/>
    <w:bookmarkEnd w:id="65"/>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Current and future legislative proposals to further reform healthcare or reduce healthcare costs may limit coverage of or lower reimbursement for the procedures associated with the use of our products.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 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The cost containment measures that payors and providers are instituting and the effect of any healthcare reform initiative implemented in the future could impact our revenue from the sale of our products.</w:t>
      </w:r>
    </w:p>
    <w:p>
      <w:pPr>
        <w:spacing w:after="0" w:line="20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recently called on Congress to enact “The Great Healthcare Plan,” to codify and expand Most-Favored Nation pricing, lower government subsidies to private insurance companies and increase healthcare price transparency, among other things. Other recent actions, for example, include directing agencies to reduce agency workforce and cut programs. Additionally, the current administration recently called on Congress to enact “The Great Healthcare Plan,” to codify and expand Most-Favored Nation pricing, lower government subsidies to private insurance companies and increase healthcare price transparency,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medical device approval process.</w:t>
      </w:r>
    </w:p>
    <w:p>
      <w:pPr>
        <w:spacing w:after="0" w:line="21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720"/>
          </w:cols>
          <w:pgMar w:left="1260" w:top="1248" w:right="1260" w:bottom="719"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Risks Related to Litigation and Regulation</w:t>
      </w:r>
    </w:p>
    <w:p>
      <w:pPr>
        <w:spacing w:after="0" w:line="2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are subject to extensive laws and regulations of the United States and foreign regulatory agencies that could impose substantial costs, legal prohibitions and restrictions, or unfavorable changes upon our operations, and any failure to comply with these laws and regulations, including as they evolve, could delay or entirely prevent the commercialization of our products or result in litigation and substantially harm our business and results of operations.</w:t>
      </w:r>
    </w:p>
    <w:p>
      <w:pPr>
        <w:spacing w:after="0" w:line="170" w:lineRule="exact"/>
        <w:rPr>
          <w:sz w:val="20"/>
          <w:szCs w:val="20"/>
          <w:color w:val="auto"/>
        </w:rPr>
      </w:pPr>
    </w:p>
    <w:p>
      <w:pPr>
        <w:jc w:val="both"/>
        <w:ind w:right="20" w:firstLine="403"/>
        <w:spacing w:after="0" w:line="244" w:lineRule="auto"/>
        <w:rPr>
          <w:sz w:val="20"/>
          <w:szCs w:val="20"/>
          <w:color w:val="auto"/>
        </w:rPr>
      </w:pPr>
      <w:r>
        <w:rPr>
          <w:rFonts w:ascii="Times New Roman" w:cs="Times New Roman" w:eastAsia="Times New Roman" w:hAnsi="Times New Roman"/>
          <w:sz w:val="20"/>
          <w:szCs w:val="20"/>
          <w:color w:val="auto"/>
        </w:rPr>
        <w:t>We are and will be subject to environmental, manufacturing, and health and safety laws and regulations at numerous jurisdictional levels, including laws relating to the use, handling, storage, recycling, disposal and human exposure to hazardous materials and with respect to constructing, expanding and maintaining our facilities. Any violations of these laws may result in substantial fines and penalties, remediation costs, third party damages, or a suspension or cessation of our operations. The costs of compliance, including remediating contamination if any is found on our properties, or any related changes to our operations, may be significant. We may also face unexpected delays in obtaining permits and approvals required by such laws in connection with our manufacturing facilities, which would hinder our ability to commence or continue our commercial manufacturing operations. Such costs and delays may adversely impact our business prospects and results of operations.</w:t>
      </w:r>
    </w:p>
    <w:p>
      <w:pPr>
        <w:spacing w:after="0" w:line="195"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In addition, the medical device industry is regulated extensively by governmental authorities, principally the FDA and corresponding state and foreign regulatory agencies and authorities, such as the EU legislative bodies and the EEA Member State Competent Authorities.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effectiveness; establishment registration and device listing; marketing, sales and distribution; regulatory authorization, including but not limited to pre-market clearance and approval; service operations; product traceability and record keeping procedures; advertising and promotion; recalls and field safety corrective actions; post -market surveillance, including reporting of deaths or serious injuries and malfunctions that, if they were to recur, could lead to death or serious injury; post-market studies; and product import and export. Any failures to comply with applicable laws, regulations and standards could result in significant expenses, delays, fines, or other sanctions. The laws and regulations to which we are subject are complex and change from time to time. Legal or regulatory changes, and FDA’s interpretation of regulations and guidance, could result in restrictions on our ability to carry on or expand our operations, higher than anticipated costs or lower than anticipated sales. The FDA and foreign regulatory agencies enforce these regulatory requirements through, among other means, periodic announced and unannounced inspections. We do not know whether we will be found compliant in connection with any future FDA inspections. Failure to comply with applicable regulations could jeopardize our ability to sell our products and result in enforcement actions such as: warning letters; fines; injunctions; civil penalties; termination of distribution; rec 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Regulatory enforcement or inquiries, or other increased scrutiny of us, could dissuade physicians from using our products and adversely affect our reputation and the perceived safety and effectiveness of our products.</w:t>
      </w:r>
    </w:p>
    <w:p>
      <w:pPr>
        <w:spacing w:after="0" w:line="200" w:lineRule="exact"/>
        <w:rPr>
          <w:sz w:val="20"/>
          <w:szCs w:val="20"/>
          <w:color w:val="auto"/>
        </w:rPr>
      </w:pPr>
    </w:p>
    <w:p>
      <w:pPr>
        <w:spacing w:after="0" w:line="240" w:lineRule="exact"/>
        <w:rPr>
          <w:sz w:val="20"/>
          <w:szCs w:val="20"/>
          <w:color w:val="auto"/>
        </w:rPr>
      </w:pPr>
    </w:p>
    <w:p>
      <w:pPr>
        <w:jc w:val="both"/>
        <w:ind w:right="20" w:firstLine="401"/>
        <w:spacing w:after="0" w:line="246" w:lineRule="auto"/>
        <w:rPr>
          <w:sz w:val="20"/>
          <w:szCs w:val="20"/>
          <w:color w:val="auto"/>
        </w:rPr>
      </w:pPr>
      <w:r>
        <w:rPr>
          <w:rFonts w:ascii="Times New Roman" w:cs="Times New Roman" w:eastAsia="Times New Roman" w:hAnsi="Times New Roman"/>
          <w:sz w:val="20"/>
          <w:szCs w:val="20"/>
          <w:color w:val="auto"/>
        </w:rPr>
        <w:t>We also expect to become subject to laws and regulations applicable to the supply, manufacture, import, sale, and service of our products, including in those countries and markets we intend to enter in the future. Compliance with such regulations will require additional time, effort and expense to ensure regulatory compliance in those countries.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ectPr>
          <w:pgSz w:w="12240" w:h="15840" w:orient="portrait"/>
          <w:cols w:equalWidth="0" w:num="1">
            <w:col w:w="9720"/>
          </w:cols>
          <w:pgMar w:left="1260" w:top="125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720"/>
          </w:cols>
          <w:pgMar w:left="1260" w:top="1254" w:right="1260" w:bottom="719" w:gutter="0" w:footer="0" w:header="0"/>
          <w:type w:val="continuous"/>
        </w:sectPr>
      </w:pPr>
    </w:p>
    <w:bookmarkStart w:id="67" w:name="page68"/>
    <w:bookmarkEnd w:id="67"/>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relating to disputes and other legal proceedings, product liability lawsuits, that may be time consuming and costly.</w:t>
      </w:r>
    </w:p>
    <w:p>
      <w:pPr>
        <w:spacing w:after="0" w:line="158" w:lineRule="exact"/>
        <w:rPr>
          <w:sz w:val="20"/>
          <w:szCs w:val="20"/>
          <w:color w:val="auto"/>
        </w:rPr>
      </w:pPr>
    </w:p>
    <w:p>
      <w:pPr>
        <w:jc w:val="both"/>
        <w:ind w:right="20" w:firstLine="401"/>
        <w:spacing w:after="0" w:line="245" w:lineRule="auto"/>
        <w:rPr>
          <w:sz w:val="20"/>
          <w:szCs w:val="20"/>
          <w:color w:val="auto"/>
        </w:rPr>
      </w:pPr>
      <w:r>
        <w:rPr>
          <w:rFonts w:ascii="Times New Roman" w:cs="Times New Roman" w:eastAsia="Times New Roman" w:hAnsi="Times New Roman"/>
          <w:sz w:val="20"/>
          <w:szCs w:val="20"/>
          <w:color w:val="auto"/>
        </w:rPr>
        <w:t>Our business exposes us to the risk of product liability claims that are inherent in the design, development, testing, manufacture and marketing of medical devices. This risk exists even if a device or product is cleared or approved for commercial sale or testing by FDA or other foreign regulators and manufactured in facilities registered with and regulated by FDA or an applicable foreign regulatory authority. Any manufacturing or design defects, misuse (including, but not limited to, inadequate sterilization or product cooling) by trained medical professionals or others, or abuse associated with our products could result in patient injury or death. The medical device industry has historically been subject to extensive litigation over product liability claims, and we cannot offer any assurance that we will not face product liability suits.</w:t>
      </w:r>
    </w:p>
    <w:p>
      <w:pPr>
        <w:spacing w:after="0" w:line="193" w:lineRule="exact"/>
        <w:rPr>
          <w:sz w:val="20"/>
          <w:szCs w:val="20"/>
          <w:color w:val="auto"/>
        </w:rPr>
      </w:pPr>
    </w:p>
    <w:p>
      <w:pPr>
        <w:jc w:val="both"/>
        <w:ind w:right="20" w:firstLine="401"/>
        <w:spacing w:after="0" w:line="246" w:lineRule="auto"/>
        <w:rPr>
          <w:sz w:val="20"/>
          <w:szCs w:val="20"/>
          <w:color w:val="auto"/>
        </w:rPr>
      </w:pPr>
      <w:r>
        <w:rPr>
          <w:rFonts w:ascii="Times New Roman" w:cs="Times New Roman" w:eastAsia="Times New Roman" w:hAnsi="Times New Roman"/>
          <w:sz w:val="20"/>
          <w:szCs w:val="20"/>
          <w:color w:val="auto"/>
        </w:rPr>
        <w:t>In addition, an injury that is caused by the activities of our suppliers, such as those who provide us with components and raw materials, or hired medical professional field specialists, such as third -party hospitals and medical professionals carrying out field tests, may be the basis for a claim against us. Product liability or wrongful death claims may be brought against us by patients, health care providers or others coming into contact with, or providing services using, our products. If we cannot successfully defend ourselves against these or similar claims, or if we or our suppliers have inadequate product liability insurance, we may incur substantial liabilities and reputational harm. In addition, regardless of merit or eventual outcome, product liability claims may result in:</w:t>
      </w:r>
    </w:p>
    <w:p>
      <w:pPr>
        <w:spacing w:after="0" w:line="203" w:lineRule="exact"/>
        <w:rPr>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impairment of our brand and/or business reputation;</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costly litigation;</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distraction of management’s attention from our primary business;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our products;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our products;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 or withdrawal from the market;</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 and</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patients or other claimants.</w:t>
      </w:r>
    </w:p>
    <w:p>
      <w:pPr>
        <w:spacing w:after="0" w:line="262"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While we may attempt to manage our product liability exposure and other related legal liabilities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recall or market withdrawal efforts, or adequate medical training regarding the use of our devices, that may be required in the future or that these efforts will have the intended effect of preventing product malfunctions or wrongful use and the accompanying product liability that may result. Any such recalls and market withdrawals may also be used by our competitors to harm our reputation for safety or be perceived by patients as a safety risk when considering the use of our products, either of which could have an adverse effect on our business, financial condition and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720"/>
          </w:cols>
          <w:pgMar w:left="1260" w:top="1248" w:right="1260" w:bottom="719" w:gutter="0" w:footer="0" w:header="0"/>
          <w:type w:val="continuous"/>
        </w:sectPr>
      </w:pPr>
    </w:p>
    <w:bookmarkStart w:id="68" w:name="page69"/>
    <w:bookmarkEnd w:id="68"/>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laws and regulations governing export and import controls, sanctions and embargoes. We could face liability and other serious consequences for violations which can harm our business.</w:t>
      </w:r>
    </w:p>
    <w:p>
      <w:pPr>
        <w:spacing w:after="0" w:line="15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Such laws may require us to obtain export licenses or authorizations prior to exporting, re-exporting, or transferring our products and technology, or may even restrict or prohibit the export, reexport, or transfer of our products and services to, or otherwise transact or deal with, certain countries, territories, individuals, and entities. There is no certainty that all of our employees, agents, suppliers, manufacturers, contractors or collaborators, or those of our affiliates, will comply with all applicable export and import control, and sanctions laws and regulations.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Financing Transactions</w:t>
      </w:r>
    </w:p>
    <w:p>
      <w:pPr>
        <w:spacing w:after="0" w:line="2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There are risks associated with our Convertible Securities Notes that could adversely affect our business and financial condition.</w:t>
      </w:r>
    </w:p>
    <w:p>
      <w:pPr>
        <w:spacing w:after="0" w:line="17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have an aggregate original principal amount of $20,000,000 of outstanding indebtedness under the Convertible Securities Notes, (as defined below) which have a maturity of April 30, 2028. The Convertible Securities Notes accrue interest at a rate of 13% per annum, which is due quarterly and, at our election, either payable-in-kind (in which case, such interest will accrue and remain unpaid until maturity) or payable in cash. Further, the Convertible Securities Notes are, at the option of the holders of the Convertible Securities Notes (subject to certain conditions), convertible into shares of common stock at a rate of $10.00 per share, each subject to adjustment in accordance with the terms and conditions of the Convertible Securities Notes.</w:t>
      </w:r>
    </w:p>
    <w:p>
      <w:pPr>
        <w:spacing w:after="0" w:line="194" w:lineRule="exact"/>
        <w:rPr>
          <w:sz w:val="20"/>
          <w:szCs w:val="20"/>
          <w:color w:val="auto"/>
        </w:rPr>
      </w:pPr>
    </w:p>
    <w:p>
      <w:pPr>
        <w:jc w:val="both"/>
        <w:ind w:right="20" w:firstLine="360"/>
        <w:spacing w:after="0" w:line="254" w:lineRule="auto"/>
        <w:rPr>
          <w:sz w:val="20"/>
          <w:szCs w:val="20"/>
          <w:color w:val="auto"/>
        </w:rPr>
      </w:pPr>
      <w:r>
        <w:rPr>
          <w:rFonts w:ascii="Times New Roman" w:cs="Times New Roman" w:eastAsia="Times New Roman" w:hAnsi="Times New Roman"/>
          <w:sz w:val="20"/>
          <w:szCs w:val="20"/>
          <w:color w:val="auto"/>
        </w:rPr>
        <w:t>The Convertible Securities Notes provide for certain customary events of default, including, among others, payment defaults, voluntary or involuntary bankruptcy, material misrepresentations, covenants breaches (subject to grace in certain instances), material judgements and material cross-defaults to other indebtedness. The Convertible Securities Notes also include certain customary affirmative and negative covenants, including, among others, limitations on incurring additional indebtedness, the creation of additional liens on our assets, and entering into investments, in each case subject to customary exceptions, as well as a minimum liquidity requirement and an asset sale mandatory prepayment requirement, subject to customary reinvestment rights. In addition, a Change of Control, as defined in the Convertible Securities Notes, includes, among others, certain mergers, asset sales, tender offers, business combinations and reorganizations, which would give the holders of the Convertible Securities Notes the right to redeem the outstanding Convertible Securities Notes in cash.</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720"/>
          </w:cols>
          <w:pgMar w:left="1260" w:top="1248" w:right="1260" w:bottom="719" w:gutter="0" w:footer="0" w:header="0"/>
          <w:type w:val="continuous"/>
        </w:sectPr>
      </w:pPr>
    </w:p>
    <w:bookmarkStart w:id="69" w:name="page70"/>
    <w:bookmarkEnd w:id="69"/>
    <w:p>
      <w:pPr>
        <w:jc w:val="both"/>
        <w:ind w:firstLine="401"/>
        <w:spacing w:after="0" w:line="265" w:lineRule="auto"/>
        <w:rPr>
          <w:sz w:val="20"/>
          <w:szCs w:val="20"/>
          <w:color w:val="auto"/>
        </w:rPr>
      </w:pPr>
      <w:r>
        <w:rPr>
          <w:rFonts w:ascii="Times New Roman" w:cs="Times New Roman" w:eastAsia="Times New Roman" w:hAnsi="Times New Roman"/>
          <w:sz w:val="20"/>
          <w:szCs w:val="20"/>
          <w:color w:val="auto"/>
        </w:rPr>
        <w:t>Our ability to remain in compliance with the covenants under the Convertible Securities Notes depends on, among other things, our operating performance, competitive developments and financial market conditions, all of which are significantly affected by financial, business, economic and other factors, many of which we are not able to control.</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Convertible Securities Notes could have other important consequences, including the following:</w:t>
      </w:r>
    </w:p>
    <w:p>
      <w:pPr>
        <w:spacing w:after="0" w:line="255" w:lineRule="exact"/>
        <w:rPr>
          <w:sz w:val="20"/>
          <w:szCs w:val="20"/>
          <w:color w:val="auto"/>
        </w:rPr>
      </w:pPr>
    </w:p>
    <w:p>
      <w:pPr>
        <w:jc w:val="both"/>
        <w:ind w:left="720" w:right="20" w:hanging="352"/>
        <w:spacing w:after="0" w:line="251"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limitations imposed by the Convertible Securities Notes on our ability to incur additional debt and to take other actions might significantly impair our ability to obtain other financing. This could have serious consequences to our financial condition and results of operations and could cause us to become bankrupt or insolvent;</w:t>
      </w:r>
    </w:p>
    <w:p>
      <w:pPr>
        <w:spacing w:after="0" w:line="90" w:lineRule="exact"/>
        <w:rPr>
          <w:rFonts w:ascii="Arial" w:cs="Arial" w:eastAsia="Arial" w:hAnsi="Arial"/>
          <w:sz w:val="20"/>
          <w:szCs w:val="20"/>
          <w:color w:val="auto"/>
        </w:rPr>
      </w:pPr>
    </w:p>
    <w:p>
      <w:pPr>
        <w:jc w:val="both"/>
        <w:ind w:left="720" w:right="20" w:hanging="352"/>
        <w:spacing w:after="0" w:line="258"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need to use a substantial portion of our cash flow from operations to repay the principal and accrued and unpaid interest on the Convertible Securities Notes if an event of default occurs prior to maturity, which would reduce funds available to us to fund our business plan and other general corporate purposes;</w:t>
      </w:r>
    </w:p>
    <w:p>
      <w:pPr>
        <w:spacing w:after="0" w:line="80" w:lineRule="exact"/>
        <w:rPr>
          <w:rFonts w:ascii="Arial" w:cs="Arial" w:eastAsia="Arial" w:hAnsi="Arial"/>
          <w:sz w:val="20"/>
          <w:szCs w:val="20"/>
          <w:color w:val="auto"/>
        </w:rPr>
      </w:pPr>
    </w:p>
    <w:p>
      <w:pPr>
        <w:jc w:val="both"/>
        <w:ind w:left="720" w:hanging="352"/>
        <w:spacing w:after="0" w:line="247"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refinance the Convertible Securities Notes (at all or on terms that are satisfactory) or to otherwise repay the Convertible Securities Notes at maturity, including any unpaid and accrued interest therein, and we may be unable to obtain additional financing for our business plan, working capital, capital expenditures, acquisitions or general corporate purposes. Any refinancing of the Convertible Securities Notes could be at significantly higher interest rates, incur significant transaction fees or include more restrictive covenants;</w:t>
      </w:r>
    </w:p>
    <w:p>
      <w:pPr>
        <w:spacing w:after="0" w:line="93" w:lineRule="exact"/>
        <w:rPr>
          <w:rFonts w:ascii="Arial" w:cs="Arial" w:eastAsia="Arial" w:hAnsi="Arial"/>
          <w:sz w:val="20"/>
          <w:szCs w:val="20"/>
          <w:color w:val="auto"/>
        </w:rPr>
      </w:pPr>
    </w:p>
    <w:p>
      <w:pPr>
        <w:jc w:val="both"/>
        <w:ind w:left="720" w:hanging="352"/>
        <w:spacing w:after="0" w:line="245"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comply with the covenants in the Convertible Securities Notes due to business developments or financial market conditions, which could result in an event of default that, if not cured or waived, gives the holders of the Convertible Securities Notes the right to accelerate the Convertible Securities Notes or otherwise exercise any other remedies available to them under applicable law. Among those remedies, the holders would have the right to seize any of our assets pledged to the holders of the Convertible Securities Notes and/or to convert the Convertible Securities Notes into shares of common stock. An event of default could cause a significant decline in the value of the shares of common stock and may force us into bankruptcy or liquidation;</w:t>
      </w:r>
    </w:p>
    <w:p>
      <w:pPr>
        <w:spacing w:after="0" w:line="96" w:lineRule="exact"/>
        <w:rPr>
          <w:rFonts w:ascii="Arial" w:cs="Arial" w:eastAsia="Arial" w:hAnsi="Arial"/>
          <w:sz w:val="20"/>
          <w:szCs w:val="20"/>
          <w:color w:val="auto"/>
        </w:rPr>
      </w:pPr>
    </w:p>
    <w:p>
      <w:pPr>
        <w:ind w:left="720" w:right="20" w:hanging="352"/>
        <w:spacing w:after="0" w:line="276"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conversion of the Convertible Securities Notes into shares of common stock could result in significant dilution to our existing stockholders and cause the market price of the common stock to decline; and</w:t>
      </w:r>
    </w:p>
    <w:p>
      <w:pPr>
        <w:spacing w:after="0" w:line="63" w:lineRule="exact"/>
        <w:rPr>
          <w:rFonts w:ascii="Arial" w:cs="Arial" w:eastAsia="Arial" w:hAnsi="Arial"/>
          <w:sz w:val="20"/>
          <w:szCs w:val="20"/>
          <w:color w:val="auto"/>
        </w:rPr>
      </w:pPr>
    </w:p>
    <w:p>
      <w:pPr>
        <w:ind w:left="720" w:right="20" w:hanging="352"/>
        <w:spacing w:after="0" w:line="276"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more vulnerable to an economic downturn or recession and adverse developments in our business given our lack of revenues as a development stage company.</w:t>
      </w:r>
    </w:p>
    <w:p>
      <w:pPr>
        <w:spacing w:after="0" w:line="85" w:lineRule="exact"/>
        <w:rPr>
          <w:sz w:val="20"/>
          <w:szCs w:val="20"/>
          <w:color w:val="auto"/>
        </w:rPr>
      </w:pPr>
    </w:p>
    <w:p>
      <w:pPr>
        <w:jc w:val="both"/>
        <w:ind w:right="20" w:firstLine="403"/>
        <w:spacing w:after="0" w:line="259" w:lineRule="auto"/>
        <w:rPr>
          <w:sz w:val="20"/>
          <w:szCs w:val="20"/>
          <w:color w:val="auto"/>
        </w:rPr>
      </w:pPr>
      <w:r>
        <w:rPr>
          <w:rFonts w:ascii="Times New Roman" w:cs="Times New Roman" w:eastAsia="Times New Roman" w:hAnsi="Times New Roman"/>
          <w:sz w:val="20"/>
          <w:szCs w:val="20"/>
          <w:color w:val="auto"/>
        </w:rPr>
        <w:t>There can be no assurance that we will be able to manage any of the risks described above successfully. Further, capital and credit markets, which have been disrupted by macroeconomic pressures, have experienced increased volatility. As a result, access to additional financing may be challenging and is largely dependent upon evolving market conditions and other factors, which could materially impact our business, results of operations, financial condition and prospects.</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720"/>
          </w:cols>
          <w:pgMar w:left="1260" w:top="1258" w:right="1260" w:bottom="719"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relating to increased interest rates and any adverse developments in the credit markets.</w:t>
      </w:r>
    </w:p>
    <w:p>
      <w:pPr>
        <w:spacing w:after="0" w:line="250"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20"/>
          <w:szCs w:val="20"/>
          <w:color w:val="auto"/>
        </w:rPr>
        <w:t>Adverse developments in the credit markets, including reduced liquidity or rising interest rates, could reduce the availability of funding for our projects. Volatility in the credit and equity markets could reduce our ability to raise additional capital through equity, equity-linked or debt financings, which could negatively impact our short-term and long-term liquidity and our ability to operate in accordance with our operating plan, or at all, or our ability to fund our growth. Additionally, our results of operations could be adversely affected by general conditions in the global economy and financial markets. A severe or prolonged economic downturn could result in a variety of risks to our business, including weakened demand for our products and technologies, and our ability to raise additional capital when needed on favorable terms, if at all. In addition, increased interest rates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Tax</w:t>
      </w:r>
    </w:p>
    <w:p>
      <w:pPr>
        <w:spacing w:after="0" w:line="2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 (“NOL”) carryforwards and other tax attributes may be limited as a result of the Business Combination or other ownership changes.</w:t>
      </w:r>
    </w:p>
    <w:p>
      <w:pPr>
        <w:spacing w:after="0" w:line="16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have incurred NOLs during our history that have yet to be utilized. To the extent that we continue to generate NOLs, unused losses will carry forward to offset future taxable income, if any, until such unused losses expire, if at all (depending on the tax year in which such losses were incurred). Under Sections 382 and 383 of the U.S. Internal Revenue Code of 1986, as amended (the “Code”) and similar provisions of state and local law, U.S. federal, state, and local NOL carryforwards and other tax attributes (e.g., tax credits) may become subject to an annual limitation in the event of certain cumulative changes in our ownership. An “ownership change” pursuant to Section 382 of the Code generally occurs if one or more stockholders or groups of stockholders who own at least 5% of our stock increase their ownership by more than 50 percentage points over their lowest ownership percentage within a rolling three - year period. Similar rules may apply under state or local tax laws.</w:t>
      </w:r>
    </w:p>
    <w:p>
      <w:pPr>
        <w:spacing w:after="0" w:line="207"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Our ability and/or the ability of the U.S. federal consolidated group of which we are a member to utilize NOL carryforwards and other tax attributes to offset future taxable income or tax liabilities may be limited as a result of ownership changes, including potential changes arising as a result of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NOL carryforwards and other tax attributes. In addition, U.S. federal NOLs arising in tax years beginning after December 31, 2017 may be carried forward indefinitely, but such NOL carryforwards are permitted to be utilized in any taxable year to offset no more than 80% of the taxable income in such year. If we (or the consolidated group of which we are a member) earn taxable income, such limitations could result in increased future income tax liability to us and our future cash flows could be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new 1% U.S. federal excise tax could be imposed on us in connection with redemptions by us of our stock.</w:t>
      </w:r>
    </w:p>
    <w:p>
      <w:pPr>
        <w:spacing w:after="0" w:line="250" w:lineRule="exact"/>
        <w:rPr>
          <w:sz w:val="20"/>
          <w:szCs w:val="20"/>
          <w:color w:val="auto"/>
        </w:rPr>
      </w:pPr>
    </w:p>
    <w:p>
      <w:pPr>
        <w:jc w:val="both"/>
        <w:ind w:right="20" w:firstLine="401"/>
        <w:spacing w:after="0" w:line="265" w:lineRule="auto"/>
        <w:rPr>
          <w:sz w:val="20"/>
          <w:szCs w:val="20"/>
          <w:color w:val="auto"/>
        </w:rPr>
      </w:pPr>
      <w:r>
        <w:rPr>
          <w:rFonts w:ascii="Times New Roman" w:cs="Times New Roman" w:eastAsia="Times New Roman" w:hAnsi="Times New Roman"/>
          <w:sz w:val="20"/>
          <w:szCs w:val="20"/>
          <w:color w:val="auto"/>
        </w:rPr>
        <w:t>The Inflation Reduction Act provides for, among other things, a U.S. federal 1% excise tax on certain repurchases (including certain redemptions) of stock by publicly traded U.S. corporations and certain U.S. subsidiaries of publicly traded non-U.S. corporations (each, a “covered corporation”) that occur after December 31, 2022.</w:t>
      </w:r>
    </w:p>
    <w:p>
      <w:pPr>
        <w:spacing w:after="0" w:line="200" w:lineRule="exact"/>
        <w:rPr>
          <w:sz w:val="20"/>
          <w:szCs w:val="20"/>
          <w:color w:val="auto"/>
        </w:rPr>
      </w:pPr>
    </w:p>
    <w:p>
      <w:pPr>
        <w:spacing w:after="0" w:line="239" w:lineRule="exact"/>
        <w:rPr>
          <w:sz w:val="20"/>
          <w:szCs w:val="20"/>
          <w:color w:val="auto"/>
        </w:rPr>
      </w:pPr>
    </w:p>
    <w:p>
      <w:pPr>
        <w:jc w:val="both"/>
        <w:ind w:right="40" w:firstLine="401"/>
        <w:spacing w:after="0" w:line="287" w:lineRule="auto"/>
        <w:rPr>
          <w:sz w:val="20"/>
          <w:szCs w:val="20"/>
          <w:color w:val="auto"/>
        </w:rPr>
      </w:pPr>
      <w:r>
        <w:rPr>
          <w:rFonts w:ascii="Times New Roman" w:cs="Times New Roman" w:eastAsia="Times New Roman" w:hAnsi="Times New Roman"/>
          <w:sz w:val="20"/>
          <w:szCs w:val="20"/>
          <w:color w:val="auto"/>
        </w:rPr>
        <w:t>The excise tax is imposed on the repurchasing corporation itself, not its stockholders from which shares are repurchased.</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720"/>
          </w:cols>
          <w:pgMar w:left="1260" w:top="1258" w:right="1260" w:bottom="719" w:gutter="0" w:footer="0" w:header="0"/>
          <w:type w:val="continuous"/>
        </w:sectPr>
      </w:pPr>
    </w:p>
    <w:bookmarkStart w:id="71" w:name="page72"/>
    <w:bookmarkEnd w:id="71"/>
    <w:p>
      <w:pPr>
        <w:jc w:val="both"/>
        <w:ind w:right="20" w:firstLine="360"/>
        <w:spacing w:after="0" w:line="246" w:lineRule="auto"/>
        <w:rPr>
          <w:sz w:val="20"/>
          <w:szCs w:val="20"/>
          <w:color w:val="auto"/>
        </w:rPr>
      </w:pPr>
      <w:r>
        <w:rPr>
          <w:rFonts w:ascii="Times New Roman" w:cs="Times New Roman" w:eastAsia="Times New Roman" w:hAnsi="Times New Roman"/>
          <w:sz w:val="20"/>
          <w:szCs w:val="20"/>
          <w:color w:val="auto"/>
        </w:rPr>
        <w:t>Because we are a Delaware corporation and our securities trade on Nasdaq, we are a “covered corporation.” Accordingly, any redemptions by us may be subject to the excise tax. However, certain exceptions apply to the excise tax. Whether and to what extent we would be subject to the excise tax on a redemption of our stock would depend on a number of factors. As noted above, the excise tax would be payable by us, and not by the redeeming holder. Any redemptions by us may be subject to the excise tax. Whether and to what extent we would be subject to the excise tax on a redemption of our stock would depend on a number of factors. As noted above, the excise tax would be payable by us, and not by the redeeming holder.</w:t>
      </w:r>
    </w:p>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Unanticipated tax laws or any changes in tax rates or in the application of the existing tax laws to us may adversely impact our results of operations.</w:t>
      </w:r>
    </w:p>
    <w:p>
      <w:pPr>
        <w:spacing w:after="0" w:line="16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products.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countries or subnational jurisdictions, and the other tax issues described above may materially and adversely impact our operating activities, effective tax rate, deferred tax assets, operating income, and cash flows.</w:t>
      </w:r>
    </w:p>
    <w:p>
      <w:pPr>
        <w:spacing w:after="0" w:line="200" w:lineRule="exact"/>
        <w:rPr>
          <w:sz w:val="20"/>
          <w:szCs w:val="20"/>
          <w:color w:val="auto"/>
        </w:rPr>
      </w:pPr>
    </w:p>
    <w:p>
      <w:pPr>
        <w:spacing w:after="0" w:line="23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Additionally, our tax obligations could increase as a result of international tax developments, including, for example, the work led by the Organization for Economic Cooperation and Development (“OECD”) on the Base Erosion and Profit Shifting (“BEPS”) project that has resulted in considerable new reporting obligations worldwide (and is expected to continue to introduce further changes to the international tax system) and includes, among other proposals, the imposition of a global minimum tax of 15%. The OECD continues to publish guidance pursuant to the BEPS and other projects which, where adopted by memb er countries, may increase our tax obligations and affect our tax positions in many of the countries in which we do business. Furthermore, our effective tax rate may also vary significantly from period to period, including due to changes in the relative proportions of revenues and income before taxes in the various jurisdictions in which we operate that have differing statutory tax rates, changes in overall levels of pretax earnings, the future levels of tax benefits of stock-based compensation, and settlement of income tax audits.</w:t>
      </w:r>
    </w:p>
    <w:p>
      <w:pPr>
        <w:spacing w:after="0" w:line="20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Tax authorities may disagree with our positions and conclusions regarding certain tax positions, resulting in unanticipated costs, taxes or non-realization of expected benefits.</w:t>
      </w:r>
    </w:p>
    <w:p>
      <w:pPr>
        <w:spacing w:after="0" w:line="5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may materially and adversely impact our operating activities, effective tax rate, deferred tax assets, operating income, and cash flows.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720"/>
          </w:cols>
          <w:pgMar w:left="1260" w:top="1248" w:right="1260" w:bottom="719"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23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Perceptive PIPE Investor has control over key decision making as a result of its control of a majority of the voting power of our outstanding common stock.</w:t>
      </w:r>
    </w:p>
    <w:p>
      <w:pPr>
        <w:spacing w:after="0" w:line="160" w:lineRule="exact"/>
        <w:rPr>
          <w:sz w:val="20"/>
          <w:szCs w:val="20"/>
          <w:color w:val="auto"/>
        </w:rPr>
      </w:pPr>
    </w:p>
    <w:p>
      <w:pPr>
        <w:jc w:val="both"/>
        <w:ind w:right="20" w:firstLine="401"/>
        <w:spacing w:after="0" w:line="249" w:lineRule="auto"/>
        <w:rPr>
          <w:sz w:val="20"/>
          <w:szCs w:val="20"/>
          <w:color w:val="auto"/>
        </w:rPr>
      </w:pPr>
      <w:r>
        <w:rPr>
          <w:rFonts w:ascii="Times New Roman" w:cs="Times New Roman" w:eastAsia="Times New Roman" w:hAnsi="Times New Roman"/>
          <w:sz w:val="20"/>
          <w:szCs w:val="20"/>
          <w:color w:val="auto"/>
        </w:rPr>
        <w:t>The Perceptive PIPE Investor is able to exercise voting rights with respect to a majority of the voting power of our common stock. For so long as the Perceptive PIPE Investor continues to beneficially own a majority of our issued and outstanding shares of common stock, the Perceptive PIPE Investor will continue to control or significantly influence the outcome of matters submitted to stockholders of the Company for approval. This concentrated control will limit or preclude your ability to influence corporate matters for the foreseeable future.</w:t>
      </w:r>
    </w:p>
    <w:p>
      <w:pPr>
        <w:spacing w:after="0" w:line="187"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color w:val="auto"/>
        </w:rPr>
        <w:t>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common stock and might harm the trading price of our common stock. As a stockholder, even a controlling stockholder, the Perceptive PIPE Investor is entitled to vote its shares in its own interests, which may not always be in the interests of our stockholders generally.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use our financial resources in ways with which you do not agree and in ways that may not yield a favorable return.</w:t>
      </w:r>
    </w:p>
    <w:p>
      <w:pPr>
        <w:spacing w:after="0" w:line="240" w:lineRule="exact"/>
        <w:rPr>
          <w:sz w:val="20"/>
          <w:szCs w:val="20"/>
          <w:color w:val="auto"/>
        </w:rPr>
      </w:pPr>
    </w:p>
    <w:p>
      <w:pPr>
        <w:jc w:val="both"/>
        <w:ind w:right="20" w:firstLine="401"/>
        <w:spacing w:after="0" w:line="252" w:lineRule="auto"/>
        <w:rPr>
          <w:sz w:val="20"/>
          <w:szCs w:val="20"/>
          <w:color w:val="auto"/>
        </w:rPr>
      </w:pPr>
      <w:r>
        <w:rPr>
          <w:rFonts w:ascii="Times New Roman" w:cs="Times New Roman" w:eastAsia="Times New Roman" w:hAnsi="Times New Roman"/>
          <w:sz w:val="20"/>
          <w:szCs w:val="20"/>
          <w:color w:val="auto"/>
        </w:rPr>
        <w:t>Our management has broad discretion over the use of our financial resources, including the net proceeds from all of our equity financings. Stockholders may not deem such uses desirable. Our use of our financial resources may vary substantially from our currently planned uses. We cannot assure you that we will apply such proceeds effectively or that we will invest such proceeds in a manner that will yield a favorable return or any return at all.</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97" w:lineRule="exact"/>
        <w:rPr>
          <w:sz w:val="20"/>
          <w:szCs w:val="20"/>
          <w:color w:val="auto"/>
        </w:rPr>
      </w:pPr>
    </w:p>
    <w:p>
      <w:pPr>
        <w:jc w:val="both"/>
        <w:ind w:right="20" w:firstLine="360"/>
        <w:spacing w:after="0" w:line="242" w:lineRule="auto"/>
        <w:rPr>
          <w:sz w:val="20"/>
          <w:szCs w:val="20"/>
          <w:color w:val="auto"/>
        </w:rPr>
      </w:pPr>
      <w:r>
        <w:rPr>
          <w:rFonts w:ascii="Times New Roman" w:cs="Times New Roman" w:eastAsia="Times New Roman" w:hAnsi="Times New Roman"/>
          <w:sz w:val="20"/>
          <w:szCs w:val="20"/>
          <w:color w:val="auto"/>
        </w:rPr>
        <w:t>We are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shares of common stock that are held by non-affiliates exceeds $700 million as of June 30 of that fiscal year, (ii) the last day of the fiscal year in which it has total annual gross revenue of $1.235 billion or more during such fiscal year (as indexed for inflation), (iii) the date on which we have issued more than $1 billion in non-convertible debt in the prior three-year period or (iv) December 31, 2026, which is the last day of the fiscal year following the fifth anniversary of the date of the first sale of ordinary shares in our initial public offering.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720"/>
          </w:cols>
          <w:pgMar w:left="1260" w:top="1244" w:right="1260" w:bottom="719" w:gutter="0" w:footer="0" w:header="0"/>
          <w:type w:val="continuous"/>
        </w:sectPr>
      </w:pPr>
    </w:p>
    <w:bookmarkStart w:id="73" w:name="page74"/>
    <w:bookmarkEnd w:id="73"/>
    <w:p>
      <w:pPr>
        <w:jc w:val="both"/>
        <w:ind w:right="20" w:firstLine="403"/>
        <w:spacing w:after="0" w:line="253" w:lineRule="auto"/>
        <w:rPr>
          <w:sz w:val="20"/>
          <w:szCs w:val="20"/>
          <w:color w:val="auto"/>
        </w:rPr>
      </w:pPr>
      <w:r>
        <w:rPr>
          <w:rFonts w:ascii="Times New Roman" w:cs="Times New Roman" w:eastAsia="Times New Roman" w:hAnsi="Times New Roman"/>
          <w:sz w:val="20"/>
          <w:szCs w:val="2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54"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20"/>
          <w:szCs w:val="20"/>
          <w:color w:val="auto"/>
        </w:rPr>
        <w:t>As an emerging growth company, we may also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 -Oxley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shares of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207"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20"/>
          <w:szCs w:val="20"/>
          <w:color w:val="auto"/>
        </w:rPr>
        <w:t>Additionally, we qualify as a “smaller reporting company” as defined in Item 10(f)(1) of Regulation S -K. Smaller reporting companies may take advantage of certain reduced disclosure obligations, including, among other things, providing only two years of audited financial statements. We expect that we will remain a smaller reporting company until the last day of any fiscal year for so long as either (a) the market value of the common stock held by non-affiliates does not equal or exceed $250 million as of the end of that year’s second quarter, or (b) our annual revenues did not equal or exceed $100 million during such completed fiscal year and the market value of the common stock held by non-affiliates did not equal or exceed $700 million as of the end of that year’s second quarter. To the extent we take advantage of such reduced disclosure obligations, it may also make comparison of our financial statements with other public companies difficult or impossible.</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720"/>
          </w:cols>
          <w:pgMar w:left="1260" w:top="1258" w:right="1260" w:bottom="719"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 and may decline regardless of our operating performance.</w:t>
      </w:r>
    </w:p>
    <w:p>
      <w:pPr>
        <w:spacing w:after="0" w:line="231" w:lineRule="exact"/>
        <w:rPr>
          <w:sz w:val="20"/>
          <w:szCs w:val="20"/>
          <w:color w:val="auto"/>
        </w:rPr>
      </w:pPr>
    </w:p>
    <w:p>
      <w:pPr>
        <w:jc w:val="both"/>
        <w:ind w:right="20" w:firstLine="401"/>
        <w:spacing w:after="0" w:line="252" w:lineRule="auto"/>
        <w:rPr>
          <w:sz w:val="20"/>
          <w:szCs w:val="20"/>
          <w:color w:val="auto"/>
        </w:rPr>
      </w:pPr>
      <w:r>
        <w:rPr>
          <w:rFonts w:ascii="Times New Roman" w:cs="Times New Roman" w:eastAsia="Times New Roman" w:hAnsi="Times New Roman"/>
          <w:sz w:val="20"/>
          <w:szCs w:val="20"/>
          <w:color w:val="auto"/>
        </w:rPr>
        <w:t>The market price of our common stock may fluctuate significantly in response to numerous factors and may continue to fluctuate for these and other reasons, many of which are beyond our control, including, but not limited to:</w:t>
      </w:r>
    </w:p>
    <w:p>
      <w:pPr>
        <w:spacing w:after="0" w:line="226" w:lineRule="exact"/>
        <w:rPr>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fluctuations in our revenue and results of operations;</w:t>
      </w:r>
    </w:p>
    <w:p>
      <w:pPr>
        <w:spacing w:after="0" w:line="30" w:lineRule="exact"/>
        <w:rPr>
          <w:rFonts w:ascii="Arial" w:cs="Arial" w:eastAsia="Arial" w:hAnsi="Arial"/>
          <w:sz w:val="20"/>
          <w:szCs w:val="20"/>
          <w:color w:val="auto"/>
        </w:rPr>
      </w:pPr>
    </w:p>
    <w:p>
      <w:pPr>
        <w:ind w:left="720" w:right="300" w:hanging="352"/>
        <w:spacing w:after="0" w:line="264"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any financial projections we may provide to the public in the future, any changes in these projections or our failure to meet these projections;</w:t>
      </w:r>
    </w:p>
    <w:p>
      <w:pPr>
        <w:spacing w:after="0" w:line="1" w:lineRule="exact"/>
        <w:rPr>
          <w:rFonts w:ascii="Arial" w:cs="Arial" w:eastAsia="Arial" w:hAnsi="Arial"/>
          <w:sz w:val="20"/>
          <w:szCs w:val="20"/>
          <w:color w:val="auto"/>
        </w:rPr>
      </w:pPr>
    </w:p>
    <w:p>
      <w:pPr>
        <w:ind w:left="720" w:right="40" w:hanging="352"/>
        <w:spacing w:after="0" w:line="277"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securities analysts to initiate and maintain our coverage, changes in financial estimates or ratings by any securities analysts who follow us or our failure to meet these estimates or the expectations of investors;</w:t>
      </w:r>
    </w:p>
    <w:p>
      <w:pPr>
        <w:spacing w:after="0" w:line="214" w:lineRule="exact"/>
        <w:rPr>
          <w:rFonts w:ascii="Arial" w:cs="Arial" w:eastAsia="Arial" w:hAnsi="Arial"/>
          <w:sz w:val="20"/>
          <w:szCs w:val="20"/>
          <w:color w:val="auto"/>
        </w:rPr>
      </w:pPr>
    </w:p>
    <w:p>
      <w:pPr>
        <w:ind w:left="720" w:right="660" w:hanging="352"/>
        <w:spacing w:after="0" w:line="264"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competitors of significant technical innovations, acquisitions, strategic partnerships, joint ventures, results of operations or capital commitments;</w:t>
      </w:r>
    </w:p>
    <w:p>
      <w:pPr>
        <w:spacing w:after="0" w:line="1" w:lineRule="exact"/>
        <w:rPr>
          <w:rFonts w:ascii="Arial" w:cs="Arial" w:eastAsia="Arial" w:hAnsi="Arial"/>
          <w:sz w:val="20"/>
          <w:szCs w:val="20"/>
          <w:color w:val="auto"/>
        </w:rPr>
      </w:pPr>
    </w:p>
    <w:p>
      <w:pPr>
        <w:ind w:left="720" w:right="140" w:hanging="352"/>
        <w:spacing w:after="0" w:line="264"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operating performance and stock market valuations of other life sciences companies generally, or those in the biotechnology industry in particular;</w:t>
      </w:r>
    </w:p>
    <w:p>
      <w:pPr>
        <w:ind w:left="720" w:right="60" w:hanging="352"/>
        <w:spacing w:after="0" w:line="263"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price and volume fluctuations in the overall stock market, including as a result of trends in the economy as a whole;</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inclusion, exclusion or removal of our common stock from any indices;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board of directors (the “Board”) or management;</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transactions in common stock by directors, officers, affiliates and other major investors;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lawsuits threatened or filed against us;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regulations applicable to our business;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capital structure, such as future issuances of debt or equity securities;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short sales, hedging and other derivative transactions involving our capital stock;</w:t>
      </w:r>
    </w:p>
    <w:p>
      <w:pPr>
        <w:spacing w:after="0" w:line="34"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in the United States and other markets in which we operate;</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pandemics or other public health crises;</w:t>
      </w:r>
    </w:p>
    <w:p>
      <w:pPr>
        <w:spacing w:after="0" w:line="13" w:lineRule="exact"/>
        <w:rPr>
          <w:rFonts w:ascii="Arial" w:cs="Arial" w:eastAsia="Arial" w:hAnsi="Arial"/>
          <w:sz w:val="20"/>
          <w:szCs w:val="20"/>
          <w:color w:val="auto"/>
        </w:rPr>
      </w:pPr>
    </w:p>
    <w:p>
      <w:pPr>
        <w:ind w:left="720" w:right="420" w:hanging="352"/>
        <w:spacing w:after="0" w:line="252"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other events or factors, including those resulting from war, incidents of terrorism or responses to these events; and</w:t>
      </w:r>
    </w:p>
    <w:p>
      <w:pPr>
        <w:ind w:left="720" w:hanging="352"/>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factors described in this “Risk Factors” section.</w:t>
      </w:r>
    </w:p>
    <w:p>
      <w:pPr>
        <w:spacing w:after="0" w:line="217" w:lineRule="exact"/>
        <w:rPr>
          <w:sz w:val="20"/>
          <w:szCs w:val="20"/>
          <w:color w:val="auto"/>
        </w:rPr>
      </w:pPr>
    </w:p>
    <w:p>
      <w:pPr>
        <w:jc w:val="both"/>
        <w:ind w:firstLine="401"/>
        <w:spacing w:after="0" w:line="247" w:lineRule="auto"/>
        <w:rPr>
          <w:sz w:val="20"/>
          <w:szCs w:val="20"/>
          <w:color w:val="auto"/>
        </w:rPr>
      </w:pPr>
      <w:r>
        <w:rPr>
          <w:rFonts w:ascii="Times New Roman" w:cs="Times New Roman" w:eastAsia="Times New Roman" w:hAnsi="Times New Roman"/>
          <w:sz w:val="20"/>
          <w:szCs w:val="20"/>
          <w:color w:val="auto"/>
        </w:rPr>
        <w:t>The stock market has recently experienced extreme price and volume fluctuations. The market prices of securities of companies have experienced fluctuations that often have been unrelated or disproportionate to their operating results.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720"/>
          </w:cols>
          <w:pgMar w:left="1260" w:top="1258" w:right="1260" w:bottom="719"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maintain the listing of our securities on Nasdaq in the future.</w:t>
      </w:r>
    </w:p>
    <w:p>
      <w:pPr>
        <w:spacing w:after="0" w:line="250" w:lineRule="exact"/>
        <w:rPr>
          <w:sz w:val="20"/>
          <w:szCs w:val="20"/>
          <w:color w:val="auto"/>
        </w:rPr>
      </w:pPr>
    </w:p>
    <w:p>
      <w:pPr>
        <w:jc w:val="both"/>
        <w:ind w:right="20" w:firstLine="360"/>
        <w:spacing w:after="0" w:line="253" w:lineRule="auto"/>
        <w:rPr>
          <w:sz w:val="20"/>
          <w:szCs w:val="20"/>
          <w:color w:val="auto"/>
        </w:rPr>
      </w:pPr>
      <w:r>
        <w:rPr>
          <w:rFonts w:ascii="Times New Roman" w:cs="Times New Roman" w:eastAsia="Times New Roman" w:hAnsi="Times New Roman"/>
          <w:sz w:val="20"/>
          <w:szCs w:val="20"/>
          <w:color w:val="auto"/>
        </w:rPr>
        <w:t>Our common stock is currently listed on Nasdaq. However, we cannot guarantee that our securities will continue to be listed on Nasdaq. If we fail to meet the requirements of the applicable listing rules, such failure may result in a suspension of the trading of our shares or delisting in the future.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minimum share price requirement or prevent future non-compliance with the listing requirements.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 but not limited to:</w:t>
      </w:r>
    </w:p>
    <w:p>
      <w:pPr>
        <w:spacing w:after="0" w:line="200" w:lineRule="exact"/>
        <w:rPr>
          <w:sz w:val="20"/>
          <w:szCs w:val="20"/>
          <w:color w:val="auto"/>
        </w:rPr>
      </w:pPr>
    </w:p>
    <w:p>
      <w:pPr>
        <w:spacing w:after="0" w:line="258" w:lineRule="exact"/>
        <w:rPr>
          <w:sz w:val="20"/>
          <w:szCs w:val="20"/>
          <w:color w:val="auto"/>
        </w:rPr>
      </w:pPr>
    </w:p>
    <w:p>
      <w:pPr>
        <w:ind w:left="720" w:hanging="352"/>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 limited availability of market quotations for our securities;</w:t>
      </w:r>
    </w:p>
    <w:p>
      <w:pPr>
        <w:spacing w:after="0" w:line="36" w:lineRule="exact"/>
        <w:rPr>
          <w:rFonts w:ascii="Arial" w:cs="Arial" w:eastAsia="Arial" w:hAnsi="Arial"/>
          <w:sz w:val="20"/>
          <w:szCs w:val="20"/>
          <w:color w:val="auto"/>
        </w:rPr>
      </w:pPr>
    </w:p>
    <w:p>
      <w:pPr>
        <w:ind w:left="720" w:hanging="352"/>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reduced liquidity for our securities;</w:t>
      </w:r>
    </w:p>
    <w:p>
      <w:pPr>
        <w:spacing w:after="0" w:line="37" w:lineRule="exact"/>
        <w:rPr>
          <w:rFonts w:ascii="Arial" w:cs="Arial" w:eastAsia="Arial" w:hAnsi="Arial"/>
          <w:sz w:val="20"/>
          <w:szCs w:val="20"/>
          <w:color w:val="auto"/>
        </w:rPr>
      </w:pPr>
    </w:p>
    <w:p>
      <w:pPr>
        <w:ind w:left="720" w:hanging="352"/>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 limited amount of news and analyst coverage for the Company; and</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be sustained.</w:t>
      </w:r>
    </w:p>
    <w:p>
      <w:pPr>
        <w:spacing w:after="0" w:line="250" w:lineRule="exact"/>
        <w:rPr>
          <w:sz w:val="20"/>
          <w:szCs w:val="20"/>
          <w:color w:val="auto"/>
        </w:rPr>
      </w:pPr>
    </w:p>
    <w:p>
      <w:pPr>
        <w:jc w:val="both"/>
        <w:ind w:firstLine="401"/>
        <w:spacing w:after="0" w:line="262" w:lineRule="auto"/>
        <w:rPr>
          <w:sz w:val="20"/>
          <w:szCs w:val="20"/>
          <w:color w:val="auto"/>
        </w:rPr>
      </w:pPr>
      <w:r>
        <w:rPr>
          <w:rFonts w:ascii="Times New Roman" w:cs="Times New Roman" w:eastAsia="Times New Roman" w:hAnsi="Times New Roman"/>
          <w:sz w:val="20"/>
          <w:szCs w:val="20"/>
          <w:color w:val="auto"/>
        </w:rPr>
        <w:t>Our common stock is listed on The Nasdaq Capital Market under the symbol “ADGM” and trades on that market. 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50"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97"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S- 8 are available for sale in the public market subject to vesting arrangements and exercise of options and the restrictions of Rule 144 in the case of our affiliates.</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720"/>
          </w:cols>
          <w:pgMar w:left="1260" w:top="1258" w:right="1260" w:bottom="719" w:gutter="0" w:footer="0" w:header="0"/>
          <w:type w:val="continuous"/>
        </w:sectPr>
      </w:pPr>
    </w:p>
    <w:bookmarkStart w:id="76" w:name="page77"/>
    <w:bookmarkEnd w:id="76"/>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shares of common stock or other equity securities without your approval, which would dilute your ownership interests and may depress the market price of the common stock.</w:t>
      </w:r>
    </w:p>
    <w:p>
      <w:pPr>
        <w:spacing w:after="0" w:line="158" w:lineRule="exact"/>
        <w:rPr>
          <w:sz w:val="20"/>
          <w:szCs w:val="20"/>
          <w:color w:val="auto"/>
        </w:rPr>
      </w:pPr>
    </w:p>
    <w:p>
      <w:pPr>
        <w:jc w:val="both"/>
        <w:ind w:right="20" w:firstLine="401"/>
        <w:spacing w:after="0" w:line="247" w:lineRule="auto"/>
        <w:rPr>
          <w:sz w:val="20"/>
          <w:szCs w:val="20"/>
          <w:color w:val="auto"/>
        </w:rPr>
      </w:pPr>
      <w:r>
        <w:rPr>
          <w:rFonts w:ascii="Times New Roman" w:cs="Times New Roman" w:eastAsia="Times New Roman" w:hAnsi="Times New Roman"/>
          <w:sz w:val="20"/>
          <w:szCs w:val="20"/>
          <w:color w:val="auto"/>
        </w:rPr>
        <w:t>We have the ability to issue shares of common stock pursuant to our equity incentive plans and employee stock purchase plan. We may also issue additional shares of common stock or other equity securities of equal or senior rank in the future in connection with, among other circumstances, future acquisitions or repayment of outstanding indebtedness, without stockholder approval.</w:t>
      </w:r>
    </w:p>
    <w:p>
      <w:pPr>
        <w:spacing w:after="0" w:line="3" w:lineRule="exact"/>
        <w:rPr>
          <w:sz w:val="20"/>
          <w:szCs w:val="20"/>
          <w:color w:val="auto"/>
        </w:rPr>
      </w:pPr>
    </w:p>
    <w:p>
      <w:pPr>
        <w:ind w:right="360" w:firstLine="401"/>
        <w:spacing w:after="0" w:line="245" w:lineRule="auto"/>
        <w:rPr>
          <w:sz w:val="20"/>
          <w:szCs w:val="20"/>
          <w:color w:val="auto"/>
        </w:rPr>
      </w:pPr>
      <w:r>
        <w:rPr>
          <w:rFonts w:ascii="Times New Roman" w:cs="Times New Roman" w:eastAsia="Times New Roman" w:hAnsi="Times New Roman"/>
          <w:sz w:val="20"/>
          <w:szCs w:val="20"/>
          <w:color w:val="auto"/>
        </w:rPr>
        <w:t>Our issuance of additional shares of common stock or other equity securities of equal or senior rank could, without limitation, have the following effects:</w:t>
      </w:r>
    </w:p>
    <w:p>
      <w:pPr>
        <w:spacing w:after="0" w:line="206" w:lineRule="exact"/>
        <w:rPr>
          <w:sz w:val="20"/>
          <w:szCs w:val="20"/>
          <w:color w:val="auto"/>
        </w:rPr>
      </w:pPr>
    </w:p>
    <w:p>
      <w:pPr>
        <w:ind w:left="720" w:hanging="352"/>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existing stockholders’ proportionate ownership interest in us may decrease;</w:t>
      </w:r>
    </w:p>
    <w:p>
      <w:pPr>
        <w:spacing w:after="0" w:line="35" w:lineRule="exact"/>
        <w:rPr>
          <w:rFonts w:ascii="Arial" w:cs="Arial" w:eastAsia="Arial" w:hAnsi="Arial"/>
          <w:sz w:val="20"/>
          <w:szCs w:val="20"/>
          <w:color w:val="auto"/>
        </w:rPr>
      </w:pPr>
    </w:p>
    <w:p>
      <w:pPr>
        <w:ind w:left="720" w:right="500" w:hanging="352"/>
        <w:spacing w:after="0" w:line="264"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of cash available per share, including for payment of dividends (if any) in the future, may decrease;</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relative voting strength of each previously outstanding share of common stock may be diminished; and</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price of our shares of common stock may decline.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common stock, the trading price or trading volume of our common stock could decline.</w:t>
      </w:r>
    </w:p>
    <w:p>
      <w:pPr>
        <w:spacing w:after="0" w:line="180"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20"/>
          <w:szCs w:val="20"/>
          <w:color w:val="auto"/>
        </w:rPr>
        <w:t>The trading market for our common stock is influenced in part by the research and reports that securities or industry analysts may publish about us, our business, market, or competitors. If one or more of the analysts publish research with an unfavorable rating or downgrade the common stock, provide a more favorable recommendation about our competitors, or publish inaccurate or unfavorable research about our business, the trading price of the common stock would likely decline. In addition, we currently expect that securities research analysts will establish and publish their own periodic projections for our business. These projections may vary widely and may not accurately predict the results we actually achieve. Our stock price may decline if the actual results do not match the projections of these securities research analysts. While we expect research analyst coverage, if no analysts commence coverage, the trading price and volume for the common stock could be adversely affected. If any analyst who may cover us were to cease coverage of us or fail to regularly publish reports on us, we could lose visibility in the financial markets, which in turn could cause the trading price or trading volume of common stock to decline.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720"/>
          </w:cols>
          <w:pgMar w:left="1260" w:top="1248" w:right="1260" w:bottom="719" w:gutter="0" w:footer="0" w:header="0"/>
          <w:type w:val="continuous"/>
        </w:sectPr>
      </w:pPr>
    </w:p>
    <w:bookmarkStart w:id="77" w:name="page78"/>
    <w:bookmarkEnd w:id="77"/>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Delaware law and provisions in our Charter and Bylaws could make a merger, tender offer, or proxy contest difficult, thereby depressing the trading price of our common stock.</w:t>
      </w:r>
    </w:p>
    <w:p>
      <w:pPr>
        <w:spacing w:after="0" w:line="170" w:lineRule="exact"/>
        <w:rPr>
          <w:sz w:val="20"/>
          <w:szCs w:val="20"/>
          <w:color w:val="auto"/>
        </w:rPr>
      </w:pPr>
    </w:p>
    <w:p>
      <w:pPr>
        <w:ind w:right="120" w:firstLine="401"/>
        <w:spacing w:after="0" w:line="268" w:lineRule="auto"/>
        <w:rPr>
          <w:sz w:val="20"/>
          <w:szCs w:val="20"/>
          <w:color w:val="auto"/>
        </w:rPr>
      </w:pPr>
      <w:r>
        <w:rPr>
          <w:rFonts w:ascii="Times New Roman" w:cs="Times New Roman" w:eastAsia="Times New Roman" w:hAnsi="Times New Roman"/>
          <w:sz w:val="20"/>
          <w:szCs w:val="20"/>
          <w:color w:val="auto"/>
        </w:rPr>
        <w:t>Our Charter and Bylaws contain provisions that could depress the trading price of common stock by acting to discourage, delay, or prevent a change of control of us or changes in our management that our stockholders may deem advantageous.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These provisions include, without limitation, the following:</w:t>
      </w:r>
    </w:p>
    <w:p>
      <w:pPr>
        <w:spacing w:after="0" w:line="255" w:lineRule="exact"/>
        <w:rPr>
          <w:sz w:val="20"/>
          <w:szCs w:val="20"/>
          <w:color w:val="auto"/>
        </w:rPr>
      </w:pPr>
    </w:p>
    <w:p>
      <w:pPr>
        <w:ind w:left="720" w:hanging="352"/>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 classified Board so that not all members of the Board are elected at one time;</w:t>
      </w:r>
    </w:p>
    <w:p>
      <w:pPr>
        <w:spacing w:after="0" w:line="35" w:lineRule="exact"/>
        <w:rPr>
          <w:rFonts w:ascii="Arial" w:cs="Arial" w:eastAsia="Arial" w:hAnsi="Arial"/>
          <w:sz w:val="20"/>
          <w:szCs w:val="20"/>
          <w:color w:val="auto"/>
        </w:rPr>
      </w:pPr>
    </w:p>
    <w:p>
      <w:pPr>
        <w:ind w:left="720" w:right="720" w:hanging="352"/>
        <w:spacing w:after="0" w:line="264"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right of the Board to establish the number of directors and fill any vacancies and newly created directorships;</w:t>
      </w:r>
    </w:p>
    <w:p>
      <w:pPr>
        <w:spacing w:after="0" w:line="1" w:lineRule="exact"/>
        <w:rPr>
          <w:rFonts w:ascii="Arial" w:cs="Arial" w:eastAsia="Arial" w:hAnsi="Arial"/>
          <w:sz w:val="20"/>
          <w:szCs w:val="20"/>
          <w:color w:val="auto"/>
        </w:rPr>
      </w:pPr>
    </w:p>
    <w:p>
      <w:pPr>
        <w:ind w:left="720" w:right="100" w:hanging="352"/>
        <w:spacing w:after="0" w:line="259"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director removal by stockholders solely for cause and with the affirmative vote of at least two -thirds (2/3) of the voting power of our then-outstanding shares of capital stock entitled to vote generally in the election of directors;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“blank check” preferred stock that the Board could use to implement a stockholder rights plan;</w:t>
      </w:r>
    </w:p>
    <w:p>
      <w:pPr>
        <w:spacing w:after="0" w:line="34" w:lineRule="exact"/>
        <w:rPr>
          <w:rFonts w:ascii="Arial" w:cs="Arial" w:eastAsia="Arial" w:hAnsi="Arial"/>
          <w:sz w:val="20"/>
          <w:szCs w:val="20"/>
          <w:color w:val="auto"/>
        </w:rPr>
      </w:pPr>
    </w:p>
    <w:p>
      <w:pPr>
        <w:ind w:left="720" w:right="500" w:hanging="352"/>
        <w:spacing w:after="0" w:line="252"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right of the Board to issue our authorized but unissued common stock and preferred stock without stockholder approval;</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no ability of our stockholders to call special meetings of stockholders;</w:t>
      </w:r>
    </w:p>
    <w:p>
      <w:pPr>
        <w:spacing w:after="0" w:line="35" w:lineRule="exact"/>
        <w:rPr>
          <w:rFonts w:ascii="Arial" w:cs="Arial" w:eastAsia="Arial" w:hAnsi="Arial"/>
          <w:sz w:val="20"/>
          <w:szCs w:val="20"/>
          <w:color w:val="auto"/>
        </w:rPr>
      </w:pPr>
    </w:p>
    <w:p>
      <w:pPr>
        <w:ind w:left="720" w:right="80" w:hanging="352"/>
        <w:spacing w:after="0" w:line="264"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no right of our stockholders to act by written consent, which requires all stockholder actions to be taken at a meeting of our stockholders;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on the liability of and the provision of indemnification to, our director and officers;</w:t>
      </w:r>
    </w:p>
    <w:p>
      <w:pPr>
        <w:spacing w:after="0" w:line="35" w:lineRule="exact"/>
        <w:rPr>
          <w:rFonts w:ascii="Arial" w:cs="Arial" w:eastAsia="Arial" w:hAnsi="Arial"/>
          <w:sz w:val="20"/>
          <w:szCs w:val="20"/>
          <w:color w:val="auto"/>
        </w:rPr>
      </w:pPr>
    </w:p>
    <w:p>
      <w:pPr>
        <w:ind w:left="720" w:hanging="352"/>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right of the Board to make, alter, or repeal the Bylaws; and</w:t>
      </w:r>
    </w:p>
    <w:p>
      <w:pPr>
        <w:spacing w:after="0" w:line="37" w:lineRule="exact"/>
        <w:rPr>
          <w:rFonts w:ascii="Arial" w:cs="Arial" w:eastAsia="Arial" w:hAnsi="Arial"/>
          <w:sz w:val="20"/>
          <w:szCs w:val="20"/>
          <w:color w:val="auto"/>
        </w:rPr>
      </w:pPr>
    </w:p>
    <w:p>
      <w:pPr>
        <w:ind w:left="720" w:right="80" w:hanging="352"/>
        <w:spacing w:after="0" w:line="286"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requirements for nominations for election to the Board or for proposing matters that can be acted upon by stockholders at annual stockholder meetings.</w:t>
      </w:r>
    </w:p>
    <w:p>
      <w:pPr>
        <w:spacing w:after="0" w:line="173" w:lineRule="exact"/>
        <w:rPr>
          <w:sz w:val="20"/>
          <w:szCs w:val="20"/>
          <w:color w:val="auto"/>
        </w:rPr>
      </w:pPr>
    </w:p>
    <w:p>
      <w:pPr>
        <w:jc w:val="both"/>
        <w:ind w:right="40" w:firstLine="401"/>
        <w:spacing w:after="0" w:line="258" w:lineRule="auto"/>
        <w:rPr>
          <w:sz w:val="20"/>
          <w:szCs w:val="20"/>
          <w:color w:val="auto"/>
        </w:rPr>
      </w:pPr>
      <w:r>
        <w:rPr>
          <w:rFonts w:ascii="Times New Roman" w:cs="Times New Roman" w:eastAsia="Times New Roman" w:hAnsi="Times New Roman"/>
          <w:sz w:val="20"/>
          <w:szCs w:val="20"/>
          <w:color w:val="auto"/>
        </w:rPr>
        <w:t>Any provision of our Charter or Bylaws that has the effect of delaying or deterring a change in control could limit the opportunity for our stockholders to receive a premium for their shares of common stock and could also affect the price that some investors are willing to pay for common stock.</w:t>
      </w:r>
    </w:p>
    <w:p>
      <w:pPr>
        <w:sectPr>
          <w:pgSz w:w="12240" w:h="15840" w:orient="portrait"/>
          <w:cols w:equalWidth="0" w:num="1">
            <w:col w:w="9720"/>
          </w:cols>
          <w:pgMar w:left="1260" w:top="125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720"/>
          </w:cols>
          <w:pgMar w:left="1260" w:top="1258" w:right="1260" w:bottom="719" w:gutter="0" w:footer="0" w:header="0"/>
          <w:type w:val="continuous"/>
        </w:sectPr>
      </w:pPr>
    </w:p>
    <w:bookmarkStart w:id="78" w:name="page79"/>
    <w:bookmarkEnd w:id="78"/>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Our Charter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401"/>
        <w:spacing w:after="0" w:line="241" w:lineRule="auto"/>
        <w:rPr>
          <w:sz w:val="20"/>
          <w:szCs w:val="20"/>
          <w:color w:val="auto"/>
        </w:rPr>
      </w:pPr>
      <w:r>
        <w:rPr>
          <w:rFonts w:ascii="Times New Roman" w:cs="Times New Roman" w:eastAsia="Times New Roman" w:hAnsi="Times New Roman"/>
          <w:sz w:val="20"/>
          <w:szCs w:val="20"/>
          <w:color w:val="auto"/>
        </w:rPr>
        <w:t>Our Charter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Charter or Bylaws or any action asserting a claim against us that is governed by the internal affairs doctrine. These choice of forum provisions may limit a stockholder’s ability to bring a claim in a judicial forum that it finds favorable for disputes with us or our directors, officers or other employees and may discourage these types of lawsuits. This provision would not apply to claims brought to enforce a duty or liability created by the Exchange Act or any other claim for which the federal courts have exclusive jurisdiction. Our Charter provides further that, to the fullest extent permitted by law, the federal district courts of the United States will be the exclusive forum for resolving any complain t asserting a cause of action arising under the Securities Act. However, Section 22 of the Securities Act provides that federal and state courts have concurrent jurisdiction over lawsuits brought under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exclusive-forum provision contained in our Charter to be inapplicable or unenforceable in an action, we may incur additional costs associated with resolving such action in other jurisdictions, which could harm our business.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231"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We currently intend to retain any future earnings to finance the operation and expansion of its business and we do not expect to declare or pay any dividends in the foreseeable future. Moreover, the terms of the Convertible Securities Notes restrict our ability to pay dividends and any additional debt we or any of our subsidiaries may incur in the future may include similar restrictions. As a result, stockholders must rely on sales of their common stock after price appreciation as the only way to realize any future gains on their investment.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incur increased costs and demands upon management as a result of being a public company.</w:t>
      </w:r>
    </w:p>
    <w:p>
      <w:pPr>
        <w:spacing w:after="0" w:line="24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and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continue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02"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the Board, on committees of the Board of directors or as members of senior management.</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720"/>
          </w:cols>
          <w:pgMar w:left="1260" w:top="1248" w:right="1260" w:bottom="719" w:gutter="0" w:footer="0" w:header="0"/>
          <w:type w:val="continuous"/>
        </w:sectPr>
      </w:pPr>
    </w:p>
    <w:bookmarkStart w:id="79" w:name="page80"/>
    <w:bookmarkEnd w:id="79"/>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19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become subject to securities or class action litigation, which is expensive and could divert management’s attention.</w:t>
      </w:r>
    </w:p>
    <w:p>
      <w:pPr>
        <w:spacing w:after="0" w:line="262" w:lineRule="exact"/>
        <w:rPr>
          <w:sz w:val="20"/>
          <w:szCs w:val="20"/>
          <w:color w:val="auto"/>
        </w:rPr>
      </w:pPr>
    </w:p>
    <w:p>
      <w:pPr>
        <w:jc w:val="both"/>
        <w:ind w:right="20" w:firstLine="401"/>
        <w:spacing w:after="0" w:line="257" w:lineRule="auto"/>
        <w:rPr>
          <w:sz w:val="20"/>
          <w:szCs w:val="20"/>
          <w:color w:val="auto"/>
        </w:rPr>
      </w:pPr>
      <w:r>
        <w:rPr>
          <w:rFonts w:ascii="Times New Roman" w:cs="Times New Roman" w:eastAsia="Times New Roman" w:hAnsi="Times New Roman"/>
          <w:sz w:val="20"/>
          <w:szCs w:val="20"/>
          <w:color w:val="auto"/>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720"/>
          </w:cols>
          <w:pgMar w:left="1260" w:top="1248" w:right="1260" w:bottom="719" w:gutter="0" w:footer="0" w:header="0"/>
          <w:type w:val="continuous"/>
        </w:sectPr>
      </w:pPr>
    </w:p>
    <w:bookmarkStart w:id="80" w:name="page81"/>
    <w:bookmarkEnd w:id="80"/>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31" w:lineRule="exact"/>
        <w:rPr>
          <w:sz w:val="20"/>
          <w:szCs w:val="20"/>
          <w:color w:val="auto"/>
        </w:rPr>
      </w:pPr>
    </w:p>
    <w:p>
      <w:pPr>
        <w:jc w:val="both"/>
        <w:ind w:right="20" w:firstLine="360"/>
        <w:spacing w:after="0" w:line="251"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(“Information Systems and Data”).</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leverage third-party information and technology service providers to help assess, identify, and manage the Company’s cyber risk and information security threats by monitoring and evaluating our threat environment using various methods including, for example: manual tools, automated tools, subscribing to reports and services that identify cybersecurity threats, analyzing reports of threats and actors, conducting scans of the threat environment, evaluating threats reported to us, audits, conducting threat assessments, conducting vulnerability assessments to identify vulnerabilities, use of external intelligence feeds and tabletop incident response exercises.</w:t>
      </w:r>
    </w:p>
    <w:p>
      <w:pPr>
        <w:spacing w:after="0" w:line="191"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Depending on the environment, systems, and data at issue, we implement and maintain various technical, physical, and organizational measures, processes, and policies designed to manage and mitigate material risks from cybersecurity threats to our Information Systems and Data, including, for example: an incident response policy, incident detection and response processes, a vulnerability management processes, disaster recovery/business continuity plans, risk assessments, encryption of data, network security controls, access controls, physical security, systems monitoring, vendor risk management processes, employee training, penetration testing, and cybersecurity insurance.</w:t>
      </w:r>
    </w:p>
    <w:p>
      <w:pPr>
        <w:spacing w:after="0" w:line="190"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the Company’s overall risk management processes. For example, cybersecurity risk is addressed as a component of the Company’s enterprise risk management program.</w:t>
      </w:r>
    </w:p>
    <w:p>
      <w:pPr>
        <w:spacing w:after="0" w:line="181"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We use third -party service providers to assist us to identify, assess, and manage material risks from cybersecurity threats, including for example: cybersecurity software providers, managed cybersecurity service providers, and penetration testing firms.</w:t>
      </w:r>
    </w:p>
    <w:p>
      <w:pPr>
        <w:spacing w:after="0" w:line="18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such as application providers and hosting companies. We also have vendor management processes to help manage cybersecurity risks associated with our use of these providers. Depending on the nature of the services provided, the sensitivity of the Information Systems and Data at issue, and the identity of the provider, our vendor management process may involve questionnaires to help identify cybersecurity risks associated with a provider and the use of contractual obligations related to cybersecurity on the provider.</w:t>
      </w:r>
    </w:p>
    <w:p>
      <w:pPr>
        <w:spacing w:after="0" w:line="19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For more information on our cybersecurity-related risks that may materially affect the Company and how they may do so, see our “Risk Factors” in Item 1A. of Part I. of this Annual Report on Form 10-K, including the risk factor entitled</w:t>
      </w:r>
    </w:p>
    <w:p>
      <w:pPr>
        <w:jc w:val="both"/>
        <w:ind w:right="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“If we or the third parties with whom we work experience disruption in our information technology systems, data, or security incidents, our business could be adversely affected, including our ability to operate, the loss of confidential and proprietary information, increased remediation costs, and reputational damage.”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31"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720"/>
          </w:cols>
          <w:pgMar w:left="1260" w:top="1244" w:right="1260" w:bottom="719" w:gutter="0" w:footer="0" w:header="0"/>
          <w:type w:val="continuous"/>
        </w:sectPr>
      </w:pPr>
    </w:p>
    <w:bookmarkStart w:id="81" w:name="page82"/>
    <w:bookmarkEnd w:id="81"/>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our Chief Executive Officer (CEO) and Chief Financial Officer (CFO). Our CEO and CFO are responsible for hiring appropriate personnel, helping to integrate cybersecurity risk considerations into the Company’s overall risk management strategy, and communicating key priorities to relevant personnel. Our CEO and CFO are responsible for approving budgets, helping prepare for cybersecurity incidents, approving cybersecurity processes, and reviewing security assessments and other security-related reports.</w:t>
      </w:r>
    </w:p>
    <w:p>
      <w:pPr>
        <w:spacing w:after="0" w:line="191" w:lineRule="exact"/>
        <w:rPr>
          <w:sz w:val="20"/>
          <w:szCs w:val="20"/>
          <w:color w:val="auto"/>
        </w:rPr>
      </w:pPr>
    </w:p>
    <w:p>
      <w:pPr>
        <w:jc w:val="both"/>
        <w:ind w:firstLine="451"/>
        <w:spacing w:after="0" w:line="245" w:lineRule="auto"/>
        <w:rPr>
          <w:sz w:val="20"/>
          <w:szCs w:val="20"/>
          <w:color w:val="auto"/>
        </w:rPr>
      </w:pPr>
      <w:r>
        <w:rPr>
          <w:rFonts w:ascii="Times New Roman" w:cs="Times New Roman" w:eastAsia="Times New Roman" w:hAnsi="Times New Roman"/>
          <w:sz w:val="20"/>
          <w:szCs w:val="20"/>
          <w:color w:val="auto"/>
        </w:rPr>
        <w:t>Our cybersecurity incident response and vulnerability management processes are designed to escalate certain cybersecurity incidents to members of management depending on the circumstances, including our CEO and CFO. In addition, the Company’s incident response and vulnerability management processes include reporting to the Board of Directors for certain cybersecurity incidents. The Board of Directors also has access to reports from our CEO and CFO on significant enterprise-wide cybersecurity threats and risk and the processes the Company has implemented to address them at each of its periodically scheduled meetings. Our CEO and CFO have extensive experience managing risks at our company and at similar companies in the past, including risks arising from cybersecurity threats.</w:t>
      </w:r>
    </w:p>
    <w:p>
      <w:pPr>
        <w:spacing w:after="0" w:line="19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2.</w:t>
        <w:tab/>
        <w:t>Properties.</w:t>
      </w:r>
    </w:p>
    <w:p>
      <w:pPr>
        <w:spacing w:after="0" w:line="235"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20"/>
          <w:szCs w:val="20"/>
          <w:color w:val="auto"/>
        </w:rPr>
        <w:t>Our corporate headquarters and manufacturing, storage and distribution centers for our catheters and consoles are located at Laguna Hills, California. We lease approximately 12,000 square feet, which includes clean room space, under an operating lease that expires in January 2030.</w:t>
      </w:r>
    </w:p>
    <w:p>
      <w:pPr>
        <w:spacing w:after="0" w:line="180" w:lineRule="exact"/>
        <w:rPr>
          <w:sz w:val="20"/>
          <w:szCs w:val="20"/>
          <w:color w:val="auto"/>
        </w:rPr>
      </w:pPr>
    </w:p>
    <w:p>
      <w:pPr>
        <w:jc w:val="both"/>
        <w:ind w:right="20" w:firstLine="494"/>
        <w:spacing w:after="0" w:line="277" w:lineRule="auto"/>
        <w:rPr>
          <w:sz w:val="20"/>
          <w:szCs w:val="20"/>
          <w:color w:val="auto"/>
        </w:rPr>
      </w:pPr>
      <w:r>
        <w:rPr>
          <w:rFonts w:ascii="Times New Roman" w:cs="Times New Roman" w:eastAsia="Times New Roman" w:hAnsi="Times New Roman"/>
          <w:sz w:val="20"/>
          <w:szCs w:val="20"/>
          <w:color w:val="auto"/>
        </w:rPr>
        <w:t>We do not own any real property and believe that our current facilities are sufficient to support our operations and growth plans and that, additional space, if needed, will be available on commercially reasonably terms.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2"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720"/>
          </w:cols>
          <w:pgMar w:left="1260" w:top="1248" w:right="1260" w:bottom="719" w:gutter="0" w:footer="0" w:header="0"/>
          <w:type w:val="continuous"/>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1"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common stock trades on the Nasdaq under the symbol “ADGM”.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As of March 23, 2026, there were approximately 55 holders of record of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5"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intend to retain any future earnings and do not expect to pay any dividends in the foreseeable future. Any determination to pay dividends in the future will be at the discretion of our Board and will depend on our financial condition, operating results, capital requirements and general business conditions and other factors that our Board may deem relevant.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6.</w:t>
        <w:tab/>
        <w:t>Reserved.</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720"/>
          </w:cols>
          <w:pgMar w:left="1260" w:top="1244" w:right="1260" w:bottom="719"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7"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i w:val="1"/>
          <w:iCs w:val="1"/>
          <w:color w:val="auto"/>
        </w:rPr>
        <w:t>The following discussion and analysis of financial condition and results of operations should be read together with the consolidated financial statements as of and for the years ended December 31, 2025 and 2024, together with the related notes and other financial information included elsewhere in this Annual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“Item 1A. Risk Factors” in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We are a medical device company focused on developing and commercializing products for the treatment of cardiac arrhythmias with our novel, proprietary, catheter-based Ultra-Low Temperature Ablation (“ULTA”) technology. Our initial focus is on the treatment of ventricular tachycardia (“VT”). VT is a rapid, abnormal heart rhythm, or arrhythmia, that originates in the heart’s lower chambers, or ventricles, potentially leading to impaired blood flow and, if sustained, VT can be fatal. VT- associated sudden cardiac death (“SCD”) accounts for approximately 300,000 deaths each year in the United States.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and can lead to sub-optimal outcomes, factors that have potentially led to the limited growth in the market for VT ablations.</w:t>
      </w:r>
    </w:p>
    <w:p>
      <w:pPr>
        <w:spacing w:after="0" w:line="178"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Our clinically tested, proprietary ULTA products are purpose-built to treat patients with VT and are designed to address the unique anatomy of the ventricle and the specific needs of the VT patient. Our ULTA approach is built on the hypothesis that large and durable lesions extending through the depth of both diseased and healthy muscular tissue of the ventricle of the heart (ventricular myocardium) is a foundation for improving the effectiveness of VT ablations and patient outcomes. Our differentiated catheters are designed for large, durable, titratable, deep lesions within the ventricle through an endocardial approach with no required irrigation. In October 2025, we announced completion of enrollment in our FULCRUM-VT Pivotal U.S. Food and Drug Administration (“FDA”) Investigational Device Exemption (“IDE”) study evaluating the vCLAS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Cryoablation System for ablation of monomorphic ventricular tachycardia (“MMVT”) in patients with both ischemic and non-ischemic cardiomyopathy. The vCLAS System, which was granted Breakthrough Device Designation by the FDA in April 2025, is built on our proprietary ULTA technology platform and is typically utilized with a double freeze cycle (freeze-thaw-freeze) protocol.</w:t>
      </w:r>
    </w:p>
    <w:p>
      <w:pPr>
        <w:spacing w:after="0" w:line="206"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19"/>
          <w:szCs w:val="19"/>
          <w:color w:val="auto"/>
        </w:rPr>
        <w:t>We believe that our purpose-built solution for treating the ventricle, with its differentiated design and benefits, has the potential to drive penetration and market growth in ablative treatment of the large, underserved VT patient population.</w:t>
      </w:r>
    </w:p>
    <w:p>
      <w:pPr>
        <w:spacing w:after="0" w:line="13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19"/>
          <w:szCs w:val="19"/>
          <w:color w:val="auto"/>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and pulsed field ablation (“PFA”) energy. Our first-in-human CRYOCURE-VT trial included 64 patients in nine centers in the European Union and Canada. The outcomes of this trial, which were used to support CE Mark approval, include a 0% rate of major adverse events, 94% acute procedural success, 60% freedom from sustained VT and 81% freedom from implantable cardioverter defibrillator (“ICD”) shock at six months. Our vCLAS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Cryoablation System for VT has obtained European CE Mark approval. In the United States, our 209-patient FULCRUM-VT IDE pivotal clinical trial completed enrollment in October 2025 across nineteen (19) centers in the United States and Canada. The study includes patients with both ischemic and non-ischemic (NICM) cardiomyopathies (LVEF=35+/-10%, 33% NICM, 75% with congestive heart failure). In our preliminary acute safety and efficacy results, acute clinical success, defined as non-inducibility of target ventricular arrhythmias, was 97.4%, with all clinically-relevant VTs eliminated in 96.7% of patients tested by post-ablation programmed electrical stimulation. Key safety findings included a 2.4% rate of major adverse events including four (1.9%) peri-procedural deaths, of which one (0.5%) was adjudicated by an independent Clinical Events Committee as definitely related to the investigational device. We plan to share the six-month results of the FULCRUM-VT trial in April 2026 at the Heart Rhythm 2026 Conference and to submit the results of this trial to support our application for FDA approval of our vCLAS</w:t>
      </w:r>
      <w:r>
        <w:rPr>
          <w:rFonts w:ascii="Times New Roman" w:cs="Times New Roman" w:eastAsia="Times New Roman" w:hAnsi="Times New Roman"/>
          <w:sz w:val="10"/>
          <w:szCs w:val="10"/>
          <w:color w:val="auto"/>
        </w:rPr>
        <w:t>TM</w:t>
      </w:r>
      <w:r>
        <w:rPr>
          <w:rFonts w:ascii="Times New Roman" w:cs="Times New Roman" w:eastAsia="Times New Roman" w:hAnsi="Times New Roman"/>
          <w:sz w:val="19"/>
          <w:szCs w:val="19"/>
          <w:color w:val="auto"/>
        </w:rPr>
        <w:t xml:space="preserve"> Cryoablation System in the first half of 2026.</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720"/>
          </w:cols>
          <w:pgMar w:left="1260" w:top="1244" w:right="1260" w:bottom="719" w:gutter="0" w:footer="0" w:header="0"/>
          <w:type w:val="continuous"/>
        </w:sectPr>
      </w:pPr>
    </w:p>
    <w:bookmarkStart w:id="84" w:name="page85"/>
    <w:bookmarkEnd w:id="84"/>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are also currently developing a next-generation ULTA technology for VT. This catheter, which requires only a single freeze, is being designed to improve customer usability and integration with the existing ablation laboratory workflow. The next-generation catheter features a more flexible, smaller diameter shaft that is compatible with the industry-standard size 8.5 French sheaths, and is designed to operate at lower ablation temperatures resulting in the shorter, single-freeze ablation protocol. We have completed the design phase with this device.</w:t>
      </w:r>
    </w:p>
    <w:p>
      <w:pPr>
        <w:spacing w:after="0" w:line="18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We have also developed a technology that utilizes ULTA in combination with PFA, which we call Pulsed Field Cryoablation (“PFCA”). Early demonstration of PFCA technology has been performed in the European PARALELL trial in patients with persistent atrial fibrillation and in preclinical studies targeting VT ablations.</w:t>
      </w:r>
    </w:p>
    <w:p>
      <w:pPr>
        <w:spacing w:after="0" w:line="18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have incurred net losses in each year since our inception in 2011. As of December 31, 2025 and December 31, 2024, we had an accumulated deficit of $95.6 million and $70.6 million, respectively. Our net loss was $25.1 million for the year ended December 31, 2025 (Successor), $53.8 million for the period from July 31, 2024 to December 31, 2024 (Successor), and $21.3 million for the period from January 1, 2024 to July 30, 2024 (Predecessor), respectively. The net cash used in operating activities was $19.0 million, $ 13.5 million, and $16.0 million, respectively. Substantially all of our net losses resulted from costs incurred in connection with our research and development programs and from general and administrative costs associated with our operations. As of December 31, 2025 and December 31, 2024, we had cash of $17.1 million and $20.6 million,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 and Operating Outlook</w:t>
      </w:r>
    </w:p>
    <w:p>
      <w:pPr>
        <w:spacing w:after="0" w:line="2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a basis that assumes we will continue as a going concern, which contemplates the realization of assets and liabilities in the normal course of business. We have limited revenue and have experienced recurring operating losses and negative cash flows from operations since our inception and anticipate that we will continue to do so for at least the next several years.</w:t>
      </w:r>
    </w:p>
    <w:p>
      <w:pPr>
        <w:spacing w:after="0" w:line="18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 xml:space="preserve">As of the report date, we do not believe our existing cash and cash equivalents are sufficient to fund our operating and capital expenditure requirements for at least 12 months from the date of issuance of the audited consolidated financial statements included in this Annual Report on Form 10-K. Based on our current research and development plans, we expect to have sufficient resources to fund our planned operations into the third quarter of 2026. We have based this estimate on assumptions that may prove to be wrong, and we could exhaust our capital resources sooner than expected. No assurance can be given as to whether additional needed financing will be available on terms acceptable to us, if at all. If sufficient funds on acceptable terms are not available when needed, we may be required to suspend or forego certain planned activities. Failure to manage discretionary spending or raise additional financing, as needed, could adversely impact our ability to achieve our intended business objectives and may have an adverse effect on our results of operations and future prospects. These factors raise substantial doubt about our ability to continue as a going concern for the twelve- month period from the date of this filing with the SEC. Refer to </w:t>
      </w:r>
      <w:r>
        <w:rPr>
          <w:rFonts w:ascii="Times New Roman" w:cs="Times New Roman" w:eastAsia="Times New Roman" w:hAnsi="Times New Roman"/>
          <w:sz w:val="20"/>
          <w:szCs w:val="20"/>
          <w:i w:val="1"/>
          <w:iCs w:val="1"/>
          <w:color w:val="auto"/>
        </w:rPr>
        <w:t>Note 1 - Organization and Description of Business</w:t>
      </w:r>
      <w:r>
        <w:rPr>
          <w:rFonts w:ascii="Times New Roman" w:cs="Times New Roman" w:eastAsia="Times New Roman" w:hAnsi="Times New Roman"/>
          <w:sz w:val="20"/>
          <w:szCs w:val="20"/>
          <w:color w:val="auto"/>
        </w:rPr>
        <w:t xml:space="preserve"> in our consolidated financial statements for additional information on the going concern assessment.</w:t>
      </w:r>
    </w:p>
    <w:p>
      <w:pPr>
        <w:spacing w:after="0" w:line="19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need for additional capital in the future will depend in part on the scope and costs of our development and clinical activities. To date, we have not generated significant revenue from the sale of commercialized products. Once we conduct a full commercial launch, our ability to generate product revenue will depend on the successful commercialization of our products.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Report titled “Risk Factors” for additional information.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720"/>
          </w:cols>
          <w:pgMar w:left="1260" w:top="1248" w:right="1260" w:bottom="719"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i w:val="1"/>
          <w:iCs w:val="1"/>
          <w:color w:val="auto"/>
        </w:rPr>
        <w:t>The Business Combination and 2024 PIPE Financing</w:t>
      </w:r>
    </w:p>
    <w:p>
      <w:pPr>
        <w:spacing w:after="0" w:line="2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8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became effective being referred to as the “ARYA Merger Effective Time,” the time that the Adagio Merger became effective being referred to as the “Adagio Merger Effective Time,” the time after which both Mergers became effective being referred to as the “Closing,” and the date on which the Closing occurred being referred to as the “Closing Date”), (ii) ListCo filed with the Secretary of State of the State of Delaware an amended and restated certificate of incorporation of ListCo, and the board of directors of ListCo approved and adopted amended and restated bylaws of ListCo, and (iii) ListCo changed its name to Adagio Medical Holdings, Inc.</w:t>
      </w:r>
    </w:p>
    <w:p>
      <w:pPr>
        <w:spacing w:after="0" w:line="192"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Prior to the 2024 annual general meeting, holders of 2,707,555 shares of ARYA’s redeemable Class A ordinary shares exercised their right to redeem such shares for cash at a redemption price of $11.56 per share, for an aggregate redemption amount of $31.3 million.</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Upon the consummation of the Business Combination,</w:t>
      </w:r>
    </w:p>
    <w:p>
      <w:pPr>
        <w:spacing w:after="0" w:line="228" w:lineRule="exact"/>
        <w:rPr>
          <w:sz w:val="20"/>
          <w:szCs w:val="20"/>
          <w:color w:val="auto"/>
        </w:rPr>
      </w:pPr>
    </w:p>
    <w:p>
      <w:pPr>
        <w:jc w:val="both"/>
        <w:ind w:left="720" w:hanging="352"/>
        <w:spacing w:after="0" w:line="258"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issued and outstanding Class A ordinary share of ARYA, par value $0.0001 per share, was automatically cancelled, extinguished and converted into one share of common stock, par value $0.0001 per share, of the Company (“Company’s common stock”).</w:t>
      </w:r>
    </w:p>
    <w:p>
      <w:pPr>
        <w:spacing w:after="0" w:line="177" w:lineRule="exact"/>
        <w:rPr>
          <w:rFonts w:ascii="Times New Roman" w:cs="Times New Roman" w:eastAsia="Times New Roman" w:hAnsi="Times New Roman"/>
          <w:sz w:val="20"/>
          <w:szCs w:val="20"/>
          <w:color w:val="auto"/>
        </w:rPr>
      </w:pPr>
    </w:p>
    <w:p>
      <w:pPr>
        <w:jc w:val="both"/>
        <w:ind w:left="720" w:hanging="352"/>
        <w:spacing w:after="0" w:line="245"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issued and outstanding Class B ordinary share of ARYA, par value $0.0001 per share, was automatically cancelled, extinguished and converted into the right to receive one share of our common stock, other than (i) 1,000,000 Class B ordinary shares that were forfeited by ARYA Sciences Holdings IV, a Cayman Islands exempted company (the “Sponsor”), and issued to the PIPE Investors (as defined below), including the Perceptive PIPE Investor (as defined below); (ii) 1,147,500 shares of our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93" w:lineRule="exact"/>
        <w:rPr>
          <w:rFonts w:ascii="Times New Roman" w:cs="Times New Roman" w:eastAsia="Times New Roman" w:hAnsi="Times New Roman"/>
          <w:sz w:val="20"/>
          <w:szCs w:val="20"/>
          <w:color w:val="auto"/>
        </w:rPr>
      </w:pPr>
    </w:p>
    <w:p>
      <w:pPr>
        <w:ind w:left="720" w:hanging="352"/>
        <w:spacing w:after="0" w:line="277"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warrant of Legacy Adagio (other than the Series E Pre-funded Warrants (as defined below)) was terminated in accordance with the terms of the applicable warrant agreement.</w:t>
      </w:r>
    </w:p>
    <w:p>
      <w:pPr>
        <w:spacing w:after="0" w:line="157" w:lineRule="exact"/>
        <w:rPr>
          <w:rFonts w:ascii="Times New Roman" w:cs="Times New Roman" w:eastAsia="Times New Roman" w:hAnsi="Times New Roman"/>
          <w:sz w:val="20"/>
          <w:szCs w:val="20"/>
          <w:color w:val="auto"/>
        </w:rPr>
      </w:pPr>
    </w:p>
    <w:p>
      <w:pPr>
        <w:jc w:val="both"/>
        <w:ind w:left="720" w:hanging="352"/>
        <w:spacing w:after="0" w:line="249"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issued and outstanding convertible promissory notes of Legacy Adagio (excluding the Bridge Financing Notes (as defined below) and the February 2024 Convertible Notes (as defined below)),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p>
      <w:pPr>
        <w:spacing w:after="0" w:line="187" w:lineRule="exact"/>
        <w:rPr>
          <w:rFonts w:ascii="Times New Roman" w:cs="Times New Roman" w:eastAsia="Times New Roman" w:hAnsi="Times New Roman"/>
          <w:sz w:val="20"/>
          <w:szCs w:val="20"/>
          <w:color w:val="auto"/>
        </w:rPr>
      </w:pPr>
    </w:p>
    <w:p>
      <w:pPr>
        <w:ind w:left="720" w:hanging="352"/>
        <w:spacing w:after="0" w:line="277"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Legacy Adagio preferred stock, par value $0.001 per share, that was issued and outstanding was automatically converted into shares of Legacy Adagio common stock on a one-to-one basis.</w:t>
      </w:r>
    </w:p>
    <w:p>
      <w:pPr>
        <w:sectPr>
          <w:pgSz w:w="12240" w:h="15840" w:orient="portrait"/>
          <w:cols w:equalWidth="0" w:num="1">
            <w:col w:w="9720"/>
          </w:cols>
          <w:pgMar w:left="1260" w:top="1250"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720"/>
          </w:cols>
          <w:pgMar w:left="1260" w:top="1250" w:right="1260" w:bottom="719" w:gutter="0" w:footer="0" w:header="0"/>
          <w:type w:val="continuous"/>
        </w:sectPr>
      </w:pPr>
    </w:p>
    <w:bookmarkStart w:id="86" w:name="page87"/>
    <w:bookmarkEnd w:id="86"/>
    <w:p>
      <w:pPr>
        <w:jc w:val="both"/>
        <w:ind w:left="720" w:hanging="352"/>
        <w:spacing w:after="0" w:line="257"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issued and outstanding shares of Legacy Adagio common stock, including Series E Pre-funded Warrants that had been issued and outstanding, were automatically cancelled and extinguished and converted into shares of our common stock based on the exchange ratio set forth in the Business Combination Agreement.</w:t>
      </w:r>
    </w:p>
    <w:p>
      <w:pPr>
        <w:spacing w:after="0" w:line="180" w:lineRule="exact"/>
        <w:rPr>
          <w:rFonts w:ascii="Times New Roman" w:cs="Times New Roman" w:eastAsia="Times New Roman" w:hAnsi="Times New Roman"/>
          <w:sz w:val="20"/>
          <w:szCs w:val="20"/>
          <w:color w:val="auto"/>
        </w:rPr>
      </w:pPr>
    </w:p>
    <w:p>
      <w:pPr>
        <w:jc w:val="both"/>
        <w:ind w:left="720" w:hanging="352"/>
        <w:spacing w:after="0" w:line="247"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was cancelled and extinguished in exchange for options to purchase shares of our common stock, and each issued and outstanding Legacy Adagio equity award (other than an In-the-Money Adagio Options) was automatically cancelled and extinguished for no consideration, and each holder thereof ceased to have any rights with respect thereto.</w:t>
      </w:r>
    </w:p>
    <w:p>
      <w:pPr>
        <w:spacing w:after="0" w:line="190" w:lineRule="exact"/>
        <w:rPr>
          <w:rFonts w:ascii="Times New Roman" w:cs="Times New Roman" w:eastAsia="Times New Roman" w:hAnsi="Times New Roman"/>
          <w:sz w:val="20"/>
          <w:szCs w:val="20"/>
          <w:color w:val="auto"/>
        </w:rPr>
      </w:pPr>
    </w:p>
    <w:p>
      <w:pPr>
        <w:ind w:left="720" w:right="20" w:hanging="352"/>
        <w:spacing w:after="0" w:line="277"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7.0 million of February 2024 Convertible Notes (as defined below) were converted into Convertible Securities (as defined below) Notes and Convert Warrants (as defined below).</w:t>
      </w:r>
    </w:p>
    <w:p>
      <w:pPr>
        <w:spacing w:after="0" w:line="15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720"/>
          </w:cols>
          <w:pgMar w:left="1260" w:top="1248" w:right="1260" w:bottom="719" w:gutter="0" w:footer="0" w:header="0"/>
          <w:type w:val="continuous"/>
        </w:sectPr>
      </w:pPr>
    </w:p>
    <w:bookmarkStart w:id="87" w:name="page88"/>
    <w:bookmarkEnd w:id="87"/>
    <w:p>
      <w:pPr>
        <w:ind w:right="20" w:firstLine="360"/>
        <w:spacing w:after="0" w:line="277" w:lineRule="auto"/>
        <w:rPr>
          <w:sz w:val="20"/>
          <w:szCs w:val="20"/>
          <w:color w:val="auto"/>
        </w:rPr>
      </w:pPr>
      <w:r>
        <w:rPr>
          <w:rFonts w:ascii="Times New Roman" w:cs="Times New Roman" w:eastAsia="Times New Roman" w:hAnsi="Times New Roman"/>
          <w:sz w:val="20"/>
          <w:szCs w:val="20"/>
          <w:color w:val="auto"/>
        </w:rPr>
        <w:t>Pursuant to the subscription agreements, the PIPE Investors committed financing valued at $64.5 million (the “2024 PIPE Financing”).</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2024 PIPE Financing included:</w:t>
      </w:r>
    </w:p>
    <w:p>
      <w:pPr>
        <w:spacing w:after="0" w:line="231" w:lineRule="exact"/>
        <w:rPr>
          <w:sz w:val="20"/>
          <w:szCs w:val="20"/>
          <w:color w:val="auto"/>
        </w:rPr>
      </w:pPr>
    </w:p>
    <w:p>
      <w:pPr>
        <w:jc w:val="both"/>
        <w:ind w:left="1080" w:right="20" w:hanging="712"/>
        <w:spacing w:after="0" w:line="25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our common stock (the “Base Warrants”).</w:t>
      </w:r>
    </w:p>
    <w:p>
      <w:pPr>
        <w:spacing w:after="0" w:line="187" w:lineRule="exact"/>
        <w:rPr>
          <w:rFonts w:ascii="Times New Roman" w:cs="Times New Roman" w:eastAsia="Times New Roman" w:hAnsi="Times New Roman"/>
          <w:sz w:val="20"/>
          <w:szCs w:val="20"/>
          <w:color w:val="auto"/>
        </w:rPr>
      </w:pPr>
    </w:p>
    <w:p>
      <w:pPr>
        <w:jc w:val="both"/>
        <w:ind w:left="1080" w:right="20" w:hanging="712"/>
        <w:spacing w:after="0" w:line="258"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by certain Other PIPE Investors that were shareholders of ARYA to not to redeem 247,700 Class A shares of ARYA, resulting in the issuance of 405,772 shares of Company’s common stock and 343,756 Base Warrants.</w:t>
      </w:r>
    </w:p>
    <w:p>
      <w:pPr>
        <w:spacing w:after="0" w:line="177" w:lineRule="exact"/>
        <w:rPr>
          <w:rFonts w:ascii="Times New Roman" w:cs="Times New Roman" w:eastAsia="Times New Roman" w:hAnsi="Times New Roman"/>
          <w:sz w:val="20"/>
          <w:szCs w:val="20"/>
          <w:color w:val="auto"/>
        </w:rPr>
      </w:pPr>
    </w:p>
    <w:p>
      <w:pPr>
        <w:jc w:val="both"/>
        <w:ind w:left="1080" w:hanging="712"/>
        <w:spacing w:after="0" w:line="304" w:lineRule="auto"/>
        <w:tabs>
          <w:tab w:leader="none" w:pos="108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Agreements by certain Other PIPE Investors to purchase 1,036,666 shares of our common stock, 1,440,000 Base Warrants, and 670,000 PIPE Pre-funded Warrants for a cash investment of $12 million in the Company.</w:t>
      </w:r>
    </w:p>
    <w:p>
      <w:pPr>
        <w:spacing w:after="0" w:line="138" w:lineRule="exact"/>
        <w:rPr>
          <w:rFonts w:ascii="Times New Roman" w:cs="Times New Roman" w:eastAsia="Times New Roman" w:hAnsi="Times New Roman"/>
          <w:sz w:val="19"/>
          <w:szCs w:val="19"/>
          <w:color w:val="auto"/>
        </w:rPr>
      </w:pPr>
    </w:p>
    <w:p>
      <w:pPr>
        <w:jc w:val="both"/>
        <w:ind w:left="1080" w:hanging="712"/>
        <w:spacing w:after="0" w:line="249"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 of total $29.5 million in April 2023 Convertible Notes, November 2023 Convertible Notes, May 2024 Convertible Notes, June 2024 Convertible Notes, and July 2024 Convertible Notes (each as defined below and collectively, “Bridge Financing Notes”), and accrued interest of $1.7 million by the Perceptive PIPE Investor. A total of 4,372,607 shares of our common stock and 3,540,000 units of Base Warrants were issued to settle the Bridge Financing Notes and the accrued and unpaid interest.</w:t>
      </w:r>
    </w:p>
    <w:p>
      <w:pPr>
        <w:spacing w:after="0" w:line="186" w:lineRule="exact"/>
        <w:rPr>
          <w:rFonts w:ascii="Times New Roman" w:cs="Times New Roman" w:eastAsia="Times New Roman" w:hAnsi="Times New Roman"/>
          <w:sz w:val="20"/>
          <w:szCs w:val="20"/>
          <w:color w:val="auto"/>
        </w:rPr>
      </w:pPr>
    </w:p>
    <w:p>
      <w:pPr>
        <w:ind w:left="1080" w:right="20" w:hanging="712"/>
        <w:spacing w:after="0" w:line="277"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cash investment of $15.9 million by the Perceptive PIPE Investor for a total of 2,250,352 shares of New Adagio Common Stock and 1,905,069 units of Base Warrants.</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were converted into shares of our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(as defined below) into Convertible Securities Notes and Convert Warrants at Closing.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in our consolidated financial statements for additional details.</w:t>
      </w:r>
    </w:p>
    <w:p>
      <w:pPr>
        <w:spacing w:after="0" w:line="19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As a result of the Business Combination, we became subject to the reporting requirements under the Securities Exchange Act of 1934, as amended (the “Exchange Act”),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spacing w:after="0" w:line="19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Our future results of consolidated operations and financial position may not be comparable to historical results as a result of the Business Combination.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720"/>
          </w:cols>
          <w:pgMar w:left="1260" w:top="1248" w:right="1260" w:bottom="719"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45" w:lineRule="exact"/>
        <w:rPr>
          <w:sz w:val="20"/>
          <w:szCs w:val="20"/>
          <w:color w:val="auto"/>
        </w:rPr>
      </w:pPr>
    </w:p>
    <w:p>
      <w:pPr>
        <w:ind w:right="20" w:firstLine="360"/>
        <w:spacing w:after="0" w:line="274" w:lineRule="auto"/>
        <w:rPr>
          <w:sz w:val="20"/>
          <w:szCs w:val="20"/>
          <w:color w:val="auto"/>
        </w:rPr>
      </w:pPr>
      <w:r>
        <w:rPr>
          <w:rFonts w:ascii="Times New Roman" w:cs="Times New Roman" w:eastAsia="Times New Roman" w:hAnsi="Times New Roman"/>
          <w:sz w:val="20"/>
          <w:szCs w:val="20"/>
          <w:color w:val="auto"/>
        </w:rPr>
        <w:t>We compete primarily on the basis that our products are designed to enable more physicians to treat more patients more efficiently and effectively. Our continued success depends on our ability to:</w:t>
      </w:r>
    </w:p>
    <w:p>
      <w:pPr>
        <w:spacing w:after="0" w:line="178" w:lineRule="exact"/>
        <w:rPr>
          <w:sz w:val="20"/>
          <w:szCs w:val="20"/>
          <w:color w:val="auto"/>
        </w:rPr>
      </w:pPr>
    </w:p>
    <w:p>
      <w:pPr>
        <w:ind w:left="720" w:right="20" w:hanging="352"/>
        <w:spacing w:after="0" w:line="258" w:lineRule="auto"/>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develop innovative, proprietary products that address significant clinical needs in a manner that is safe and effective for patients and easy-to-use for physicians;</w:t>
      </w:r>
    </w:p>
    <w:p>
      <w:pPr>
        <w:ind w:left="720" w:hanging="352"/>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regulatory clearances or approvals;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demonstrate safety and effectiveness in our sponsored and third-party clinical trials;</w:t>
      </w:r>
    </w:p>
    <w:p>
      <w:pPr>
        <w:spacing w:after="0" w:line="11" w:lineRule="exact"/>
        <w:rPr>
          <w:rFonts w:ascii="Arial" w:cs="Arial" w:eastAsia="Arial" w:hAnsi="Arial"/>
          <w:sz w:val="20"/>
          <w:szCs w:val="20"/>
          <w:color w:val="auto"/>
        </w:rPr>
      </w:pPr>
    </w:p>
    <w:p>
      <w:pPr>
        <w:ind w:left="720" w:hanging="352"/>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expand our sales force across key markets to increase physician awareness;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coverage and adequate reimbursement for procedures using our products;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attract and retain skilled research, development, sales and clinical personnel;</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cost-effectively manufacture, market and sell our products; and</w:t>
      </w:r>
    </w:p>
    <w:p>
      <w:pPr>
        <w:spacing w:after="0" w:line="13" w:lineRule="exact"/>
        <w:rPr>
          <w:rFonts w:ascii="Arial" w:cs="Arial" w:eastAsia="Arial" w:hAnsi="Arial"/>
          <w:sz w:val="20"/>
          <w:szCs w:val="20"/>
          <w:color w:val="auto"/>
        </w:rPr>
      </w:pPr>
    </w:p>
    <w:p>
      <w:pPr>
        <w:ind w:left="720" w:hanging="352"/>
        <w:spacing w:after="0" w:line="252" w:lineRule="auto"/>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obtain, maintain, enforce and defend our intellectual property rights and operate our business without infringing, misappropriating or otherwise violating the intellectual property rights of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Innovation</w:t>
      </w:r>
    </w:p>
    <w:p>
      <w:pPr>
        <w:spacing w:after="0" w:line="231"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w:t>
      </w:r>
    </w:p>
    <w:p>
      <w:pPr>
        <w:spacing w:after="0" w:line="23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Our Growth</w:t>
      </w:r>
    </w:p>
    <w:p>
      <w:pPr>
        <w:spacing w:after="0" w:line="228" w:lineRule="exact"/>
        <w:rPr>
          <w:sz w:val="20"/>
          <w:szCs w:val="20"/>
          <w:color w:val="auto"/>
        </w:rPr>
      </w:pPr>
    </w:p>
    <w:p>
      <w:pPr>
        <w:jc w:val="both"/>
        <w:ind w:right="20" w:firstLine="360"/>
        <w:spacing w:after="0" w:line="246" w:lineRule="auto"/>
        <w:rPr>
          <w:sz w:val="20"/>
          <w:szCs w:val="20"/>
          <w:color w:val="auto"/>
        </w:rPr>
      </w:pPr>
      <w:r>
        <w:rPr>
          <w:rFonts w:ascii="Times New Roman" w:cs="Times New Roman" w:eastAsia="Times New Roman" w:hAnsi="Times New Roman"/>
          <w:sz w:val="20"/>
          <w:szCs w:val="20"/>
          <w:color w:val="auto"/>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720"/>
          </w:cols>
          <w:pgMar w:left="1260" w:top="1244" w:right="1260" w:bottom="719"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i w:val="1"/>
          <w:iCs w:val="1"/>
          <w:color w:val="auto"/>
        </w:rPr>
        <w:t>Reimbursement and Insurance Coverage</w:t>
      </w:r>
    </w:p>
    <w:p>
      <w:pPr>
        <w:spacing w:after="0" w:line="22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 -party payors for the procedures performed using our products. Reimbursement systems in international markets vary significantly by country and by region within some countries, and reimbursement approvals must be obtained on a country- 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Historically, we have generated product revenue primarily from the sale of the catheters used with our consoles. We have sold our products directly to hospitals and medical centers. To a lesser extent, we also generated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 w:cs="Times New Roman" w:eastAsia="Times New Roman" w:hAnsi="Times New Roman"/>
          <w:sz w:val="20"/>
          <w:szCs w:val="20"/>
          <w:i w:val="1"/>
          <w:iCs w:val="1"/>
          <w:color w:val="auto"/>
        </w:rPr>
        <w:t>Note 2- Summary of Significant Accounting Policies</w:t>
      </w:r>
      <w:r>
        <w:rPr>
          <w:rFonts w:ascii="Times New Roman" w:cs="Times New Roman" w:eastAsia="Times New Roman" w:hAnsi="Times New Roman"/>
          <w:sz w:val="20"/>
          <w:szCs w:val="20"/>
          <w:color w:val="auto"/>
        </w:rPr>
        <w:t xml:space="preserve"> in our consolidated financial statements for additional details on our revenue recognition policy. Our revenue is subject to fluctuation due to the foreign currency in which our products are sold.</w:t>
      </w:r>
    </w:p>
    <w:p>
      <w:pPr>
        <w:spacing w:after="0" w:line="20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February 2025, we announced a strategic realignment of resources to prioritize the completion of our FULCRUM-VT U.S. pivotal IDE clinical trial and our product design optimization program. As part of this realignment, we paused the limited European launch of our vCLAS™ catheter and significantly reduced commercial activities. As a result, we did not generate revenue during the year ended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and Operating Expenses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1"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1"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are expensed when incurred and are related to the development of our product candidates which includes pre-clinical, clinical, quality assurance, and research and development operational activities. These costs consist of:</w:t>
      </w:r>
    </w:p>
    <w:p>
      <w:pPr>
        <w:spacing w:after="0" w:line="193" w:lineRule="exact"/>
        <w:rPr>
          <w:sz w:val="20"/>
          <w:szCs w:val="20"/>
          <w:color w:val="auto"/>
        </w:rPr>
      </w:pPr>
    </w:p>
    <w:p>
      <w:pPr>
        <w:ind w:left="720" w:hanging="352"/>
        <w:spacing w:after="0" w:line="258" w:lineRule="auto"/>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salaries, benefits, and other employee-related costs, including stock-based compensation expense for personnel engaged in research and development functions;</w:t>
      </w:r>
    </w:p>
    <w:p>
      <w:pPr>
        <w:ind w:left="720" w:hanging="352"/>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activities associated with clinical trials performed by third parties;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professional fees;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equipment, materials, and costs related to product manufacturing; and</w:t>
      </w:r>
    </w:p>
    <w:p>
      <w:pPr>
        <w:spacing w:after="0" w:line="11" w:lineRule="exact"/>
        <w:rPr>
          <w:rFonts w:ascii="Arial" w:cs="Arial" w:eastAsia="Arial" w:hAnsi="Arial"/>
          <w:sz w:val="20"/>
          <w:szCs w:val="20"/>
          <w:color w:val="auto"/>
        </w:rPr>
      </w:pPr>
    </w:p>
    <w:p>
      <w:pPr>
        <w:ind w:left="720" w:hanging="352"/>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other operational costs including rent and facilities costs, and depreciation.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720"/>
          </w:cols>
          <w:pgMar w:left="1260" w:top="1248" w:right="1260" w:bottom="719" w:gutter="0" w:footer="0" w:header="0"/>
          <w:type w:val="continuous"/>
        </w:sectPr>
      </w:pPr>
    </w:p>
    <w:bookmarkStart w:id="90" w:name="page91"/>
    <w:bookmarkEnd w:id="90"/>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We do not track research and development expenses by project or product, as we are at an earlier stage in our pre-clinical and clinical development. Our management believes that the breakdown of research and development expenses by project or product would be arbitrary and would not provide a meaningful assessment.</w:t>
      </w:r>
    </w:p>
    <w:p>
      <w:pPr>
        <w:spacing w:after="0" w:line="18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Management expects the research and development expenses to increase in future periods, as we will incur incremental expenses associated with our ULTA products that are currently under development and in pre-clinical and clinical trials. Product candidates in later stages of clinical development generally have higher development costs, primarily due to the increased size and duration of later-stage clinical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corporate matters, professional fees for accounting and consulting services, public company costs, insurance costs, and marketing costs. We expense all selling, general and administrative costs as incurred. In future periods we expect our selling, general and administrative expenses to increase as we continue to expand on our operations and grow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 fair value adjustment</w:t>
      </w:r>
    </w:p>
    <w:p>
      <w:pPr>
        <w:spacing w:after="0" w:line="22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recorded the convertible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at fair value at issuance and subsequently remeasure them to fair value at each reporting period. The change in fair value of the Convertible Securities Notes, including amounts related to interest, is recorded in “Convertible notes fair value adjustment.”</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connection with the execution of the Business Combination Agreement, the Convert Investors executed the Convertible Security Subscription Agreement, pursuant to which ListCo issued on the Closing Date to the Convert Investors the Convertible Securities Notes, which will be convertible into shares of our Common Stock at a conversion price of $10.00 per share, subject to adjustment, and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liabilities fair value adjustment</w:t>
      </w:r>
    </w:p>
    <w:p>
      <w:pPr>
        <w:spacing w:after="0" w:line="231"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31"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color w:val="auto"/>
        </w:rPr>
        <w:t>Interest expense is primarily incurred from our outstanding debt obligations, including those under the October 2022 Convertible Notes, the Bridge Financing Notes, the Convertible Securities Notes and the SVB Term Loan (as defined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Interest income consists primarily of interest earned on our cash, cash equivalents, and money market accounts.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720"/>
          </w:cols>
          <w:pgMar w:left="1260" w:top="1248" w:right="1260" w:bottom="719"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net</w:t>
      </w:r>
    </w:p>
    <w:p>
      <w:pPr>
        <w:spacing w:after="0" w:line="229"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Other (expense) income, net primarily consists of foreign currency unrealized and realized gain / loss, and other income related to our research and development (“R&amp;D”) tax credit.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7"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20"/>
          <w:szCs w:val="20"/>
          <w:i w:val="1"/>
          <w:iCs w:val="1"/>
          <w:color w:val="auto"/>
        </w:rPr>
        <w:t>Comparison for the year ended December 31, 2025 (Successor) to the periods from January 1, 2024 to July 30, 2024 (Predecessor) and from July 31, 2024 to December 31, 2024 (Successor).</w:t>
      </w:r>
    </w:p>
    <w:p>
      <w:pPr>
        <w:spacing w:after="0" w:line="16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sets forth a summary of our results of operations, expressed as percentages of net revenue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13"/>
          </w:tcPr>
          <w:p>
            <w:pPr>
              <w:jc w:val="center"/>
              <w:ind w:right="560"/>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4"/>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
              <w:spacing w:after="0" w:line="172"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
              <w:spacing w:after="0" w:line="172" w:lineRule="exact"/>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1"/>
              <w:spacing w:after="0" w:line="172" w:lineRule="exact"/>
              <w:rPr>
                <w:sz w:val="20"/>
                <w:szCs w:val="20"/>
                <w:color w:val="auto"/>
              </w:rPr>
            </w:pPr>
            <w:r>
              <w:rPr>
                <w:rFonts w:ascii="Times New Roman" w:cs="Times New Roman" w:eastAsia="Times New Roman" w:hAnsi="Times New Roman"/>
                <w:sz w:val="16"/>
                <w:szCs w:val="16"/>
                <w:b w:val="1"/>
                <w:bCs w:val="1"/>
                <w:color w:val="auto"/>
              </w:rPr>
              <w:t>Predecessor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31"/>
              <w:spacing w:after="0" w:line="157" w:lineRule="exact"/>
              <w:rPr>
                <w:sz w:val="20"/>
                <w:szCs w:val="20"/>
                <w:color w:val="auto"/>
              </w:rPr>
            </w:pPr>
            <w:r>
              <w:rPr>
                <w:rFonts w:ascii="Times New Roman" w:cs="Times New Roman" w:eastAsia="Times New Roman" w:hAnsi="Times New Roman"/>
                <w:sz w:val="16"/>
                <w:szCs w:val="16"/>
                <w:b w:val="1"/>
                <w:bCs w:val="1"/>
                <w:color w:val="auto"/>
                <w:w w:val="98"/>
              </w:rPr>
              <w:t>July 31 to</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January 1 to</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DDDDDD"/>
            </w:tcBorders>
          </w:tcPr>
          <w:p>
            <w:pPr>
              <w:spacing w:after="0"/>
              <w:rPr>
                <w:sz w:val="17"/>
                <w:szCs w:val="17"/>
                <w:color w:val="auto"/>
              </w:rPr>
            </w:pP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Borders>
              <w:bottom w:val="single" w:sz="8" w:color="DDDDDD"/>
              <w:right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July 30</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2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400" w:type="dxa"/>
            <w:vAlign w:val="bottom"/>
            <w:gridSpan w:val="3"/>
            <w:shd w:val="clear" w:color="auto" w:fill="DDDDDD"/>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40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Cost of revenue and operating expenses: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8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6"/>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40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40" w:type="dxa"/>
            <w:vAlign w:val="bottom"/>
            <w:tcBorders>
              <w:right w:val="single" w:sz="8" w:color="auto"/>
            </w:tcBorders>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6"/>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 Goodwill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6"/>
        </w:trPr>
        <w:tc>
          <w:tcPr>
            <w:tcW w:w="40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Impairment - Intangible assets, net</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180" w:type="dxa"/>
            <w:vAlign w:val="bottom"/>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DDDDDD"/>
            </w:tcBorders>
          </w:tcPr>
          <w:p>
            <w:pPr>
              <w:spacing w:after="0" w:line="196" w:lineRule="exact"/>
              <w:rPr>
                <w:sz w:val="20"/>
                <w:szCs w:val="20"/>
                <w:color w:val="auto"/>
              </w:rPr>
            </w:pPr>
            <w:r>
              <w:rPr>
                <w:rFonts w:ascii="Times New Roman" w:cs="Times New Roman" w:eastAsia="Times New Roman" w:hAnsi="Times New Roman"/>
                <w:sz w:val="18"/>
                <w:szCs w:val="18"/>
                <w:color w:val="auto"/>
              </w:rPr>
              <w:t>Total cost of revenue and operating expenses</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21,890</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62,749</w:t>
            </w:r>
          </w:p>
        </w:tc>
        <w:tc>
          <w:tcPr>
            <w:tcW w:w="140" w:type="dxa"/>
            <w:vAlign w:val="bottom"/>
            <w:tcBorders>
              <w:bottom w:val="single" w:sz="8" w:color="DDDDDD"/>
              <w:right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22,013</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(13,670)</w:t>
            </w:r>
          </w:p>
        </w:tc>
        <w:tc>
          <w:tcPr>
            <w:tcW w:w="180" w:type="dxa"/>
            <w:vAlign w:val="bottom"/>
            <w:tcBorders>
              <w:bottom w:val="single" w:sz="8" w:color="DDDDD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4080" w:type="dxa"/>
            <w:vAlign w:val="bottom"/>
            <w:shd w:val="clear" w:color="auto" w:fill="DDDDDD"/>
          </w:tcPr>
          <w:p>
            <w:pPr>
              <w:spacing w:after="0" w:line="199"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20" w:type="dxa"/>
            <w:vAlign w:val="bottom"/>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(21,890)</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(62,480)</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(21,680)</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13,068</w:t>
            </w:r>
          </w:p>
        </w:tc>
        <w:tc>
          <w:tcPr>
            <w:tcW w:w="18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8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liabilities fair value adjustment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6"/>
        </w:trPr>
        <w:tc>
          <w:tcPr>
            <w:tcW w:w="40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6"/>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6"/>
        </w:trPr>
        <w:tc>
          <w:tcPr>
            <w:tcW w:w="40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80" w:type="dxa"/>
            <w:vAlign w:val="bottom"/>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9"/>
        </w:trPr>
        <w:tc>
          <w:tcPr>
            <w:tcW w:w="4080" w:type="dxa"/>
            <w:vAlign w:val="bottom"/>
            <w:tcBorders>
              <w:bottom w:val="single" w:sz="8" w:color="DDDDDD"/>
            </w:tcBorders>
          </w:tcPr>
          <w:p>
            <w:pPr>
              <w:spacing w:after="0" w:line="199"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(3,194)</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8,717</w:t>
            </w:r>
          </w:p>
        </w:tc>
        <w:tc>
          <w:tcPr>
            <w:tcW w:w="140" w:type="dxa"/>
            <w:vAlign w:val="bottom"/>
            <w:tcBorders>
              <w:bottom w:val="single" w:sz="8" w:color="DDDDDD"/>
              <w:right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402</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(12,313)</w:t>
            </w:r>
          </w:p>
        </w:tc>
        <w:tc>
          <w:tcPr>
            <w:tcW w:w="180" w:type="dxa"/>
            <w:vAlign w:val="bottom"/>
            <w:tcBorders>
              <w:bottom w:val="single" w:sz="8" w:color="DDDDD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5"/>
        </w:trPr>
        <w:tc>
          <w:tcPr>
            <w:tcW w:w="408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82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highlight w:val="lightGray"/>
              </w:rPr>
              <w:t>(25,084)</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color w:val="auto"/>
                <w:highlight w:val="lightGray"/>
              </w:rPr>
              <w:t>$</w:t>
            </w:r>
          </w:p>
        </w:tc>
        <w:tc>
          <w:tcPr>
            <w:tcW w:w="80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highlight w:val="lightGray"/>
              </w:rPr>
              <w:t>(53,763)</w:t>
            </w: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2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(21,278)</w:t>
            </w:r>
          </w:p>
        </w:tc>
        <w:tc>
          <w:tcPr>
            <w:tcW w:w="400" w:type="dxa"/>
            <w:vAlign w:val="bottom"/>
            <w:gridSpan w:val="3"/>
            <w:shd w:val="clear" w:color="auto" w:fill="DDDDDD"/>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755</w:t>
            </w:r>
          </w:p>
        </w:tc>
        <w:tc>
          <w:tcPr>
            <w:tcW w:w="18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DDDDDD"/>
              <w:right w:val="single" w:sz="8" w:color="auto"/>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80" w:type="dxa"/>
            <w:vAlign w:val="bottom"/>
            <w:tcBorders>
              <w:bottom w:val="single" w:sz="8" w:color="auto"/>
            </w:tcBorders>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DDDDDD"/>
            </w:tcBorders>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7"/>
        </w:trPr>
        <w:tc>
          <w:tcPr>
            <w:tcW w:w="40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(25,184)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(53,762)</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(21,275)</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35"/>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651</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n.m. = not meaningful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Revenue was nil for the year ended December 31, 2025 (Successor), compared to $0.3 million and $0.3 million for the periods from July 31, 2024 to December 31, 2024 (Successor) and from January 1, 2024 to July 30, 2024 (Predecessor), respectively, representing a decrease of $0.6 million. The decrease was primarily due to the repurchase of previously sold inventory during the year ended December 31, 2025 (Successor), which offset gross sales. This inventory buyback was undertaken in connection with our pause in commercial activity in Europe.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720"/>
          </w:cols>
          <w:pgMar w:left="1260" w:top="1248" w:right="1260" w:bottom="719"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revenue and operating expenses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revenue</w:t>
      </w:r>
    </w:p>
    <w:p>
      <w:pPr>
        <w:spacing w:after="0" w:line="23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Cost of revenue was $0.7 million for the year ended December 31, 2025 (Successor), compared to $1.9 million and $1.4 million for the periods from July 31, 2024 to December 31, 2024 (Successor) and from January 1, 2024 to July 30, 2024 (Predecessor), respectively, representing a decrease of $2.6 million, or 79%. The decrease was primarily attributable to a pause in commercial activity in Europe during 2025 and the related impact of an inventory buyback conducted in connection thereto.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2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were $10.6 million for the year ended December 31, 2025 (Successor), compared to $4.6 million and $7.6 million for the period from July 31, 2024 to December 31, 2024 (Successor) and from January 1, 2024 to July 30, 2024 (Predecessor), respectively, representing a decrease of $1.6 million, or 13%. This decrease was primarily driven by a $1.0 million decrease in quality assurance costs, a $0.5 million decrease in pre-clinical trial costs and other research and development costs, and a $0.1 million decrease in operations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breakdown of our research and development costs by type of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r>
      <w:tr>
        <w:trPr>
          <w:trHeight w:val="218"/>
        </w:trPr>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760" w:type="dxa"/>
            <w:vAlign w:val="bottom"/>
            <w:tcBorders>
              <w:bottom w:val="single" w:sz="8" w:color="auto"/>
            </w:tcBorders>
          </w:tcPr>
          <w:p>
            <w:pPr>
              <w:spacing w:after="0"/>
              <w:rPr>
                <w:sz w:val="18"/>
                <w:szCs w:val="18"/>
                <w:color w:val="auto"/>
              </w:rPr>
            </w:pPr>
          </w:p>
        </w:tc>
      </w:tr>
      <w:tr>
        <w:trPr>
          <w:trHeight w:val="176"/>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line="176"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
              <w:spacing w:after="0" w:line="176"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4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54"/>
        </w:trPr>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6"/>
              <w:spacing w:after="0" w:line="154"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January 1 to</w:t>
            </w:r>
          </w:p>
        </w:tc>
      </w:tr>
      <w:tr>
        <w:trPr>
          <w:trHeight w:val="203"/>
        </w:trPr>
        <w:tc>
          <w:tcPr>
            <w:tcW w:w="62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DDDDDD"/>
              <w:right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July 30</w:t>
            </w:r>
          </w:p>
        </w:tc>
      </w:tr>
      <w:tr>
        <w:trPr>
          <w:trHeight w:val="220"/>
        </w:trPr>
        <w:tc>
          <w:tcPr>
            <w:tcW w:w="62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Pre-clinical trial costs and other research and development costs</w:t>
            </w:r>
          </w:p>
        </w:tc>
        <w:tc>
          <w:tcPr>
            <w:tcW w:w="320" w:type="dxa"/>
            <w:vAlign w:val="bottom"/>
            <w:gridSpan w:val="3"/>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2,929</w:t>
            </w:r>
          </w:p>
        </w:tc>
        <w:tc>
          <w:tcPr>
            <w:tcW w:w="24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1,677</w:t>
            </w:r>
          </w:p>
        </w:tc>
        <w:tc>
          <w:tcPr>
            <w:tcW w:w="40" w:type="dxa"/>
            <w:vAlign w:val="bottom"/>
            <w:shd w:val="clear" w:color="auto" w:fill="DDDDDD"/>
          </w:tcPr>
          <w:p>
            <w:pPr>
              <w:spacing w:after="0"/>
              <w:rPr>
                <w:sz w:val="19"/>
                <w:szCs w:val="19"/>
                <w:color w:val="auto"/>
              </w:rPr>
            </w:pPr>
          </w:p>
        </w:tc>
        <w:tc>
          <w:tcPr>
            <w:tcW w:w="140" w:type="dxa"/>
            <w:vAlign w:val="bottom"/>
            <w:tcBorders>
              <w:right w:val="single" w:sz="8" w:color="auto"/>
            </w:tcBorders>
            <w:shd w:val="clear" w:color="auto" w:fill="DDDDDD"/>
          </w:tcPr>
          <w:p>
            <w:pPr>
              <w:spacing w:after="0"/>
              <w:rPr>
                <w:sz w:val="19"/>
                <w:szCs w:val="19"/>
                <w:color w:val="auto"/>
              </w:rPr>
            </w:pPr>
          </w:p>
        </w:tc>
        <w:tc>
          <w:tcPr>
            <w:tcW w:w="320" w:type="dxa"/>
            <w:vAlign w:val="bottom"/>
            <w:gridSpan w:val="3"/>
            <w:shd w:val="clear" w:color="auto" w:fill="DDDDDD"/>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1,732</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Clinical trial costs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w:t>
            </w:r>
          </w:p>
        </w:tc>
        <w:tc>
          <w:tcPr>
            <w:tcW w:w="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w:t>
            </w:r>
          </w:p>
        </w:tc>
      </w:tr>
      <w:tr>
        <w:trPr>
          <w:trHeight w:val="230"/>
        </w:trPr>
        <w:tc>
          <w:tcPr>
            <w:tcW w:w="62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Quality assurance costs</w:t>
            </w:r>
          </w:p>
        </w:tc>
        <w:tc>
          <w:tcPr>
            <w:tcW w:w="1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1,773</w:t>
            </w: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40" w:type="dxa"/>
            <w:vAlign w:val="bottom"/>
            <w:shd w:val="clear" w:color="auto" w:fill="DDDDDD"/>
          </w:tcPr>
          <w:p>
            <w:pPr>
              <w:spacing w:after="0"/>
              <w:rPr>
                <w:sz w:val="20"/>
                <w:szCs w:val="20"/>
                <w:color w:val="auto"/>
              </w:rPr>
            </w:pPr>
          </w:p>
        </w:tc>
        <w:tc>
          <w:tcPr>
            <w:tcW w:w="140" w:type="dxa"/>
            <w:vAlign w:val="bottom"/>
            <w:tcBorders>
              <w:right w:val="single" w:sz="8" w:color="auto"/>
            </w:tcBorders>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1,764</w:t>
            </w:r>
          </w:p>
        </w:tc>
      </w:tr>
      <w:tr>
        <w:trPr>
          <w:trHeight w:val="230"/>
        </w:trPr>
        <w:tc>
          <w:tcPr>
            <w:tcW w:w="62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Operational costs</w:t>
            </w:r>
          </w:p>
        </w:tc>
        <w:tc>
          <w:tcPr>
            <w:tcW w:w="1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1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DDDDDD"/>
              <w:right w:val="single" w:sz="8" w:color="auto"/>
            </w:tcBorders>
          </w:tcPr>
          <w:p>
            <w:pPr>
              <w:spacing w:after="0"/>
              <w:rPr>
                <w:sz w:val="20"/>
                <w:szCs w:val="20"/>
                <w:color w:val="auto"/>
              </w:rPr>
            </w:pPr>
          </w:p>
        </w:tc>
        <w:tc>
          <w:tcPr>
            <w:tcW w:w="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1,470</w:t>
            </w:r>
          </w:p>
        </w:tc>
      </w:tr>
      <w:tr>
        <w:trPr>
          <w:trHeight w:val="229"/>
        </w:trPr>
        <w:tc>
          <w:tcPr>
            <w:tcW w:w="62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Total research and development expenses</w:t>
            </w:r>
          </w:p>
        </w:tc>
        <w:tc>
          <w:tcPr>
            <w:tcW w:w="180" w:type="dxa"/>
            <w:vAlign w:val="bottom"/>
            <w:shd w:val="clear" w:color="auto" w:fill="DDDDDD"/>
          </w:tcPr>
          <w:p>
            <w:pPr>
              <w:spacing w:after="0"/>
              <w:rPr>
                <w:sz w:val="19"/>
                <w:szCs w:val="19"/>
                <w:color w:val="auto"/>
              </w:rPr>
            </w:pPr>
          </w:p>
        </w:tc>
        <w:tc>
          <w:tcPr>
            <w:tcW w:w="140" w:type="dxa"/>
            <w:vAlign w:val="bottom"/>
            <w:tcBorders>
              <w:bottom w:val="single" w:sz="8" w:color="auto"/>
            </w:tcBorders>
            <w:gridSpan w:val="2"/>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10,639</w:t>
            </w:r>
          </w:p>
        </w:tc>
        <w:tc>
          <w:tcPr>
            <w:tcW w:w="100" w:type="dxa"/>
            <w:vAlign w:val="bottom"/>
            <w:shd w:val="clear" w:color="auto" w:fill="DDDDDD"/>
          </w:tcPr>
          <w:p>
            <w:pPr>
              <w:spacing w:after="0"/>
              <w:rPr>
                <w:sz w:val="19"/>
                <w:szCs w:val="19"/>
                <w:color w:val="auto"/>
              </w:rPr>
            </w:pPr>
          </w:p>
        </w:tc>
        <w:tc>
          <w:tcPr>
            <w:tcW w:w="140" w:type="dxa"/>
            <w:vAlign w:val="bottom"/>
            <w:tcBorders>
              <w:bottom w:val="single" w:sz="8" w:color="auto"/>
            </w:tcBorders>
            <w:gridSpan w:val="2"/>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4,634</w:t>
            </w:r>
          </w:p>
        </w:tc>
        <w:tc>
          <w:tcPr>
            <w:tcW w:w="40" w:type="dxa"/>
            <w:vAlign w:val="bottom"/>
            <w:tcBorders>
              <w:bottom w:val="single" w:sz="8" w:color="auto"/>
            </w:tcBorders>
            <w:shd w:val="clear" w:color="auto" w:fill="DDDDDD"/>
          </w:tcPr>
          <w:p>
            <w:pPr>
              <w:spacing w:after="0"/>
              <w:rPr>
                <w:sz w:val="19"/>
                <w:szCs w:val="19"/>
                <w:color w:val="auto"/>
              </w:rPr>
            </w:pPr>
          </w:p>
        </w:tc>
        <w:tc>
          <w:tcPr>
            <w:tcW w:w="140" w:type="dxa"/>
            <w:vAlign w:val="bottom"/>
            <w:tcBorders>
              <w:right w:val="single" w:sz="8" w:color="auto"/>
            </w:tcBorders>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tcBorders>
              <w:bottom w:val="single" w:sz="8" w:color="auto"/>
            </w:tcBorders>
            <w:gridSpan w:val="2"/>
            <w:shd w:val="clear" w:color="auto" w:fill="DDDDDD"/>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7,585</w:t>
            </w:r>
          </w:p>
        </w:tc>
      </w:tr>
    </w:tbl>
    <w:p>
      <w:pPr>
        <w:spacing w:after="0" w:line="21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clinical trial expenses relate to trials for our iCLAS atrial ULTA catheter and system (CYROCURE-2), iCLAS atrial ULTA catheter and system (iCLAS for persistent atrial fibrillation), vCLAS ventricular ULTA catheter (CYROCURE-VT), vCLAS ventricular ULTA catheter (FULCRUM-VT), and PFCA catheter. Clinical trial costs include the expenses related to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expenses related to product manufacturing.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Selling, general and administrative expenses were $10.6 million for the year ended December 31, 2025 (Successor), compared to $7.0 million and $13.0 million for the periods from July 31, 2024 to December 31, 2024 (Successor) and from January 1, 2024 to July 30, 2024 (Predecessor), respectively. The decrease in selling, general and administrative expenses of $9.5 million, or 47%, was primarily due to the absence of SPAC-related corporate expenses that were incurred in the periods from July 31, 2024 to December 31, 2024 (Successor) and from January 1, 2024 to July 30, 2024 (Predecessor) compared to the year ended December 31, 2025 (Successor) and a decrease in payroll and personnel expenses related to lower headcount during the year ended December 31, 2025.</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720"/>
          </w:cols>
          <w:pgMar w:left="1260" w:top="1248" w:right="1260" w:bottom="719"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i w:val="1"/>
          <w:iCs w:val="1"/>
          <w:color w:val="auto"/>
        </w:rPr>
        <w:t>Impairment – Goodwill</w:t>
      </w:r>
    </w:p>
    <w:p>
      <w:pPr>
        <w:spacing w:after="0" w:line="22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 xml:space="preserve">We recorded a $30.3 million Goodwill impairment charge in 2024, with no comparable charges in 2025. Refer to </w:t>
      </w: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7 – Goodwill, net and Intangible Assets, net </w:t>
      </w:r>
      <w:r>
        <w:rPr>
          <w:rFonts w:ascii="Times New Roman" w:cs="Times New Roman" w:eastAsia="Times New Roman" w:hAnsi="Times New Roman"/>
          <w:sz w:val="20"/>
          <w:szCs w:val="20"/>
          <w:color w:val="auto"/>
        </w:rPr>
        <w:t>in our consolidated financial statements for additional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 Intangible assets, net</w:t>
      </w:r>
    </w:p>
    <w:p>
      <w:pPr>
        <w:spacing w:after="0" w:line="229"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 xml:space="preserve">We recorded intangible asset impairment charges of $18.9 million in 2024, with no comparable charges in 2025. Refer to </w:t>
      </w:r>
      <w:r>
        <w:rPr>
          <w:rFonts w:ascii="Times New Roman" w:cs="Times New Roman" w:eastAsia="Times New Roman" w:hAnsi="Times New Roman"/>
          <w:sz w:val="20"/>
          <w:szCs w:val="20"/>
          <w:i w:val="1"/>
          <w:iCs w:val="1"/>
          <w:color w:val="auto"/>
        </w:rPr>
        <w:t>Note 7 – Goodwill, net and Intangible Assets, net</w:t>
      </w:r>
      <w:r>
        <w:rPr>
          <w:rFonts w:ascii="Times New Roman" w:cs="Times New Roman" w:eastAsia="Times New Roman" w:hAnsi="Times New Roman"/>
          <w:sz w:val="20"/>
          <w:szCs w:val="20"/>
          <w:color w:val="auto"/>
        </w:rPr>
        <w:t xml:space="preserve"> in our consolidated financial statements for additional details.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notes fair value adjustment</w:t>
      </w:r>
    </w:p>
    <w:p>
      <w:pPr>
        <w:spacing w:after="0" w:line="229"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change in convertible notes fair value resulted in a loss of $1.0 million for the year ended December 3, 2025. The change in convertible notes fair value resulted in a gain of $0.9 million and $2.1 million for the period from July 31, 2024 to December 31, 2024 (Successor) and from January 1, 2024 to July 30, 2024 (Predecessor), respectively. The changes in fair value were primarily driven by changes in the Company’s common stock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 liabilities fair value adjustment</w:t>
      </w:r>
    </w:p>
    <w:p>
      <w:pPr>
        <w:spacing w:after="0" w:line="22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change in fair value of warrant liabilities resulted in a gain of $20 thousand for the year ended December 31, 2025, compared to a gain of $6.6 million and $0.2 million for the periods from July 31, 2024 to December 31, 2024 (Successor) and from January 1, 2024 to July 30, 2024 (Predecessor), respectively. The changes in fair value were primarily driven by changes in the Company’s common stock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2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Interest expense was $ 2.9 million for the year ended December 31, 2025 (Successor) and $1.1 million and $1.8 million for the periods from July 31, 2024 to December 31, 2024 (Successor) and from January 1, 2024 to July 30, 2024 (Predecessor), respectively. The decrease of $17 thousand, or 1%, was related to interest incurred from the April 2023 Convertible Notes, November 2023 Convertible Notes, February 2024 Convertible Notes, May 2024 Convertible Notes, June 2024 Convertible Notes, July 2024 Convertible Notes, and the Convertible Securities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229"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Interest income was $0.5 million for the year ended December 31, 2025 (Successor) and $0.4 million and $3.0 thousand for the period from July 31, 2024 to December 31, 2024 (Successor) and from January 1, 2024 to July 30, 2024 (Predecessor), respectively. The increase in interest income of $54 thousand was primarily due to the increase of cash balances in an asset management account.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r>
        <w:rPr>
          <w:rFonts w:ascii="PMingLiU" w:cs="PMingLiU" w:eastAsia="PMingLiU" w:hAnsi="PMingLiU"/>
          <w:sz w:val="20"/>
          <w:szCs w:val="20"/>
          <w:color w:val="auto"/>
        </w:rPr>
        <w:t/>
      </w:r>
    </w:p>
    <w:p>
      <w:pPr>
        <w:spacing w:after="0" w:line="4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r>
    </w:p>
    <w:p>
      <w:pPr>
        <w:spacing w:after="0" w:line="2"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Other income, net was $0.2 million for the year ended December 31, 2025 (Successor). Other income, net was $1.9 million and other expense, net was $33.0 thousand for the periods from July 31, 2024 to December 31, 2024 (Successor) and from January 1, 2024 to July 30, 2024 (Predecessor), respectively. This net decrease in other income of $1.7 million was primarily attributable to a tax benefit in the prior period of $1.9 million as a result of the reversal of a portion of the deferred tax liability associated with the impairment of certain of our indefinite -lived intangibles in the period from July 31, 2024 to December 31, 2024 (Successor), partially offset by foreign currency unrealized and realized gains/losses.</w:t>
      </w:r>
    </w:p>
    <w:p>
      <w:pPr>
        <w:sectPr>
          <w:pgSz w:w="12240" w:h="15840" w:orient="portrait"/>
          <w:cols w:equalWidth="0" w:num="1">
            <w:col w:w="9720"/>
          </w:cols>
          <w:pgMar w:left="1260" w:top="1250"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720"/>
          </w:cols>
          <w:pgMar w:left="1260" w:top="1250" w:right="1260" w:bottom="719"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28"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To date, we have financed our operations primarily through the sale of equity securities, convertible promissory notes and the SVB Term Loan (as defined below). In connection with the closing of the Business Combination on July 31, 2024, we received net proceeds of $84.2 million. Since inception we have incurred operating losses and negative cash flows and anticipate continuing to do so for at least the next several years.</w:t>
      </w:r>
    </w:p>
    <w:p>
      <w:pPr>
        <w:spacing w:after="0" w:line="18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As of December 31, 2025, and December 31, 2024, we had cash and cash equivalents of $ 17.1 million and $20.6 million, respectively. For the year ended December 31, 2025 (Successor), net losses were $25.1 million. For the period from July 31, 2024 to December 31, 2024 (Successor) and from January 1, 2024 to July 30, 2024 (Predecessor), net losses were $53.8 million and $21.3 million, respectively. For the year ended December 31, 2025 (Successor) and the period from July 31, 2024 to December 31, 2024 (Successor) and the period from January 1, 2024 to July 30, 2024 (Predecessor), net cash used in operating activities was $19.0 million, $13.5 million, and $16.0 million, respectively.</w:t>
      </w:r>
    </w:p>
    <w:p>
      <w:pPr>
        <w:spacing w:after="0" w:line="19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On October 20, 2025, we announced the closing of the Private Placement (as defined below) which resulted in up front, aggregate gross proceeds of approximately $19 million.</w:t>
      </w:r>
    </w:p>
    <w:p>
      <w:pPr>
        <w:spacing w:after="0" w:line="16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As of December 31, 2025 (Successor), we had current obligations consisting primarily of $1.1 million of accounts payable, $7.0 million of accrued liabilities, $0.2 million of operating lease liabilities, current, and cash and cash equivalents of $17.1 million. We do not believe our existing cash and cash equivalents will be sufficient to fund operations for at least the next twelve months from the issuance date of the consolidated financial statements included elsewhere in this Annual Report on Form 10 -K. We believe that this raises substantial doubt about our ability to continue as a going concern. See “—</w:t>
      </w:r>
      <w:r>
        <w:rPr>
          <w:rFonts w:ascii="Times New Roman" w:cs="Times New Roman" w:eastAsia="Times New Roman" w:hAnsi="Times New Roman"/>
          <w:sz w:val="20"/>
          <w:szCs w:val="20"/>
          <w:i w:val="1"/>
          <w:iCs w:val="1"/>
          <w:color w:val="auto"/>
        </w:rPr>
        <w:t>Going Concern and Operating Outlook</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intend to mitigate the conditions and events that raise substantial doubt about our ability to continue as a going concern entity by (i) negotiating other cash equity or debt financing in the short- term, (ii) continuing to pursue the necessary regulatory approvals to launch commercially in the U.S. market, and (iii) executing cost-cutting measures to manage cash burn. However, there can be no assurances that the current plans will generate any liquidity to us or be available on terms acceptable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PIPE Offering</w:t>
      </w:r>
    </w:p>
    <w:p>
      <w:pPr>
        <w:spacing w:after="0" w:line="2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On October 14, 2025, we entered into a Securities Purchase Agreement (the “Securities Purchase Agreement”) with certain accredited healthcare investors (the “Purchasers”) pursuant to which we issued and sold to the Purchasers in a private placement (the “Private Placement”): (i) 9,792,506 shares (the “Shares”) of our common stock, par value $0.0001 per share (the “Common Stock”), or pre-funded warrants (the “Pre-Funded Warrants”) to purchase shares of Common Stock in lieu thereof, and (ii) accompanying (a) Tranche A Warrants to purchase an aggregate of 6,012,943 shares of Common Stock (or pre-funded warrants in lieu thereof) (the “Tranche A Warrants”), (b) Tranche B Warrants to purchase an aggregate of 6,012,943 shares of Common Stock (or pre-funded warrants in lieu thereof) (the “Tranche B Warrants”) and (c) Tranche C Warrants to purchase an aggregate of 6,012,943 shares of Common Stock (or pre-funded warrants in lieu thereof) (the “Tranche C Warrants” and, together with the Tranche A and Tranche B Warrants, the “Milestone Warrants”), for aggregate gross proceeds of approximately $ 19 million (excluding up to approximately $31 million of additional aggregate gross proceeds that may be received in the future upon the cash exercise in full of the Milestone Warrants issued in the Private Placement), before deducting placement agent fees and other expenses payable by us. Each Share and each Pre-Funded Warrant sold pursuant to the Securities Purchase Agreement was accompanied by one Tranche A Warrant, one Tranche B Warrant and one Tranche C Warrant. The combined purchase price of each Share and accompanying Milestone Warrants is $1.9403 and (which includes $0.2303 for the Milestone Warrants sold with each Share in accordance with the rules and regulations of The Nasdaq Stock Market LLC) . The combined purchase price of each Pre-Funded Warrant and accompanying Milestone Warrant is $1.9402 (equal to the combined purchase price per Share and accompanying Milestone Warrants, minus $0.001). Entities affiliated with Perceptive Advisors LLC, an affiliate of ours, purchased Pre-Funded Warrants and Milestone Warrants for an aggregate purchase price of $4,250,000.</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720"/>
          </w:cols>
          <w:pgMar w:left="1260" w:top="1244" w:right="1260" w:bottom="719" w:gutter="0" w:footer="0" w:header="0"/>
          <w:type w:val="continuous"/>
        </w:sectPr>
      </w:pPr>
    </w:p>
    <w:bookmarkStart w:id="95" w:name="page96"/>
    <w:bookmarkEnd w:id="95"/>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Each Milestone Warrant is exercisable for one share of Common Stock at an exercise price of $1.71 per share. The Milestone Warrants will expire upon the earlier of (i) five years from the date of issuance or (ii) (a) for the Tranche A Warrants, the date that is thirty (30) days following our announcement of results from our FULCRUM -VT IDE pivotal clinical trial, (b) for the Tranche B Warrants, the date that is thirty (30) days following our announcement of FDA approval of our vCLAS Cryoablation System, and (c) for the Tranche C Warrants, the date that is thirty (30) days following our announcement of FDA approval of our second generation vCLAS catheter system. The Pre-Funded Warrants are exercisable for one share of Common Stock at an exercise price of $0.0001 per share. The Pre -Funded Warrants are immediately exercisable and may be exercised at any time until all of the Pre-Funded Warrants are exercised in full.</w:t>
      </w:r>
    </w:p>
    <w:p>
      <w:pPr>
        <w:spacing w:after="0" w:line="17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A holder (together with its affiliates) of the Pre -Funded Warrants or Milestone Warrants, as the case may be, may not exercise any portion of the Pre-Funded Warrants or Milestone Warrants to the extent that the holder would own more than 4.99% (or, at the holder’s option upon issuance, 9.99%) of our outstanding Common Stock immediately after exercise, which percentage may be changed at the holder’s election to a lower or higher percentage not in excess of 19.99% upon 61 days’ notice to us subject to the terms of the Pre-Funded Warrants or the Milestone Warrants. In lieu of making the cash payment otherwise contemplated to be made to us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spacing w:after="0" w:line="184"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 lieu of making the cash payment otherwise contemplated to be made to us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Note 10 – Warrants</w:t>
      </w:r>
      <w:r>
        <w:rPr>
          <w:rFonts w:ascii="Times New Roman" w:cs="Times New Roman" w:eastAsia="Times New Roman" w:hAnsi="Times New Roman"/>
          <w:sz w:val="20"/>
          <w:szCs w:val="20"/>
          <w:color w:val="auto"/>
        </w:rPr>
        <w:t xml:space="preserve"> in our consolidated financial statements for additional details.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229"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Our primary uses of capital are, and we expect will continue to be, investment in clinical research and development, marketing and physician education, legal and other regulatory expenses, commercial activities, general administrative costs and working capital.</w:t>
      </w:r>
    </w:p>
    <w:p>
      <w:pPr>
        <w:spacing w:after="0" w:line="19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will require additional capital to fund continued clinical activities for our next-generation product,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9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720"/>
          </w:cols>
          <w:pgMar w:left="1260" w:top="1248" w:right="1260" w:bottom="719" w:gutter="0" w:footer="0" w:header="0"/>
          <w:type w:val="continuous"/>
        </w:sectPr>
      </w:pPr>
    </w:p>
    <w:bookmarkStart w:id="96" w:name="page97"/>
    <w:bookmarkEnd w:id="96"/>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research, development and commercialization of medical products, we are unable to estimate the exact amount of our operating capital requirements. Our future funding requirements will depend on many factors, including, but not limited to:</w:t>
      </w:r>
    </w:p>
    <w:p>
      <w:pPr>
        <w:spacing w:after="0" w:line="195" w:lineRule="exact"/>
        <w:rPr>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 growth;</w:t>
      </w:r>
    </w:p>
    <w:p>
      <w:pPr>
        <w:spacing w:after="0" w:line="34"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research and development efforts;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sales and marketing activities;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raise additional funds to finance our operations;</w:t>
      </w:r>
    </w:p>
    <w:p>
      <w:pPr>
        <w:spacing w:after="0" w:line="11"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costs and timing of any clinical trial results for our current or future products;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emergence and effect of competing or complementary products;</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and amount of reimbursement for procedures using our products;</w:t>
      </w:r>
    </w:p>
    <w:p>
      <w:pPr>
        <w:spacing w:after="0" w:line="13" w:lineRule="exact"/>
        <w:rPr>
          <w:rFonts w:ascii="Arial" w:cs="Arial" w:eastAsia="Arial" w:hAnsi="Arial"/>
          <w:sz w:val="20"/>
          <w:szCs w:val="20"/>
          <w:color w:val="auto"/>
        </w:rPr>
      </w:pPr>
    </w:p>
    <w:p>
      <w:pPr>
        <w:jc w:val="both"/>
        <w:ind w:left="720" w:hanging="352"/>
        <w:spacing w:after="0" w:line="244"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ind w:left="720" w:right="20" w:hanging="352"/>
        <w:spacing w:after="0" w:line="247"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retain our current employees and the need and ability to hire additional management and sales, scientific and medical personnel;</w:t>
      </w: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and timing of any collaborative, licensing or other arrangements that we have or may establish;</w:t>
      </w:r>
    </w:p>
    <w:p>
      <w:pPr>
        <w:spacing w:after="0" w:line="14"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debt service requirements; and</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invest in businesses, products or technologies.</w:t>
      </w:r>
    </w:p>
    <w:p>
      <w:pPr>
        <w:spacing w:after="0" w:line="207"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See the section of this Report 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for additional risks associated with our substantial capital requirements.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720"/>
          </w:cols>
          <w:pgMar w:left="1260" w:top="1248" w:right="1260" w:bottom="719" w:gutter="0" w:footer="0" w:header="0"/>
          <w:type w:val="continuous"/>
        </w:sectPr>
      </w:pPr>
    </w:p>
    <w:bookmarkStart w:id="97" w:name="page98"/>
    <w:bookmarkEnd w:id="97"/>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Obligations (Predecessor)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October 2022 Convertible Notes</w:t>
      </w:r>
    </w:p>
    <w:p>
      <w:pPr>
        <w:spacing w:after="0" w:line="238"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In October 2022, we entered into a Note Purchase Agreement with investors for the issuance and sale of the October 2022 Convertible Notes with an aggregate principal amount of $9.5 million at an interest rate of eight percent (8.0%) per year. The October 2022 Convertible Notes had an original maturity date of October 27, 2023, which was subsequently extended to the latest of (i) January 5, 2024, (ii) termination of agreements between Legacy Adagio and ARYA in connection with a non-binding summary of certain proposed terms and conditions of the Business Combination, or (iii) the termination or lapse of the exclusivity period as defined in the non-binding term sheet as mentioned above.</w:t>
      </w:r>
    </w:p>
    <w:p>
      <w:pPr>
        <w:spacing w:after="0" w:line="190" w:lineRule="exact"/>
        <w:rPr>
          <w:sz w:val="20"/>
          <w:szCs w:val="20"/>
          <w:color w:val="auto"/>
        </w:rPr>
      </w:pPr>
    </w:p>
    <w:p>
      <w:pPr>
        <w:jc w:val="both"/>
        <w:ind w:right="20" w:firstLine="360"/>
        <w:spacing w:after="0" w:line="251" w:lineRule="auto"/>
        <w:rPr>
          <w:sz w:val="20"/>
          <w:szCs w:val="20"/>
          <w:color w:val="auto"/>
        </w:rPr>
      </w:pPr>
      <w:r>
        <w:rPr>
          <w:rFonts w:ascii="Times New Roman" w:cs="Times New Roman" w:eastAsia="Times New Roman" w:hAnsi="Times New Roman"/>
          <w:sz w:val="20"/>
          <w:szCs w:val="20"/>
          <w:color w:val="auto"/>
        </w:rPr>
        <w:t xml:space="preserve">The October 2022 Convertible Notes were also amended to be subordinate to the April 2023 Convertible Notes (as described below) and provide for the conversion of all principal and accrued interest in respect of all the October 2022 Convertible Notes into shares of Series E Preferred Stock of Legacy Adagio in connection with the Business Combination.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in our consolidated financial statements for additional details).</w:t>
      </w:r>
    </w:p>
    <w:p>
      <w:pPr>
        <w:spacing w:after="0" w:line="18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November 2023 and February 2024, the October 2022 Convertible Notes were further amended to also subordinate the November 2023 Convertible Notes and the 2024 Bridge Financing Note. Upon the consummation of the Business Combination, all principal and accrued interest in respect of the October 2022 Convertible Notes were converted into shares of Legacy Adagio common stock when multiplied by the exchange ratio applicable to the Legacy Adagio common stock in the Business Combination, which entitled the holder of this note to receive a number of shares of the same class of common stock that were issued in the 2024 PIPE Financing equal to the then outstanding principal amount and any accrued and unpaid interest under this note, divided by 75% of the effective price of each share of common stock sold in the 2024 PIPE Financing. Further, on the Closing Date, Legacy Adagio common stocks were converted to our common stock based on the exchange ratio set forth in the Business Combination Agreement.</w:t>
      </w:r>
    </w:p>
    <w:p>
      <w:pPr>
        <w:spacing w:after="0" w:line="195"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Upon the consummation of the Business Combination, the October 2022 Convertible Notes automatically converted into 1,444,899 shares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Bridge Financing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April 2023 Convertible Notes</w:t>
      </w:r>
    </w:p>
    <w:p>
      <w:pPr>
        <w:spacing w:after="0" w:line="22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April 2023, we issued a $5.0 million convertible promissory note that would mature on the latest of (i) January 5, 2024, (ii) termination of agreements between Legacy Adagio and ARYA in connection with the Business Combination, or (iii) the termination or lapse of the exclusivity period as defined in the non-binding term sheet as mentioned above, and accrued simple interest at eight percent (8.0%) per annum. Additionally, we obtained the right to issue up to $10.0 million in additional convertible promissory notes available beginning one month after April 4, 2023, through the occurrence of an ARYA stockholder vote with regard to the Business Combination.</w:t>
      </w:r>
    </w:p>
    <w:p>
      <w:pPr>
        <w:spacing w:after="0" w:line="19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 xml:space="preserve">In November 2023, the April 2023 Notes were amended to align certain terms to the November 2023 Notes (refer to </w:t>
      </w:r>
      <w:r>
        <w:rPr>
          <w:rFonts w:ascii="Times New Roman" w:cs="Times New Roman" w:eastAsia="Times New Roman" w:hAnsi="Times New Roman"/>
          <w:sz w:val="20"/>
          <w:szCs w:val="20"/>
          <w:i w:val="1"/>
          <w:iCs w:val="1"/>
          <w:color w:val="auto"/>
        </w:rPr>
        <w:t xml:space="preserve">Note 9 - Debt </w:t>
      </w:r>
      <w:r>
        <w:rPr>
          <w:rFonts w:ascii="Times New Roman" w:cs="Times New Roman" w:eastAsia="Times New Roman" w:hAnsi="Times New Roman"/>
          <w:sz w:val="20"/>
          <w:szCs w:val="20"/>
          <w:color w:val="auto"/>
        </w:rPr>
        <w:t>in our consolidated financial statements for additional details).</w:t>
      </w:r>
    </w:p>
    <w:p>
      <w:pPr>
        <w:spacing w:after="0" w:line="158" w:lineRule="exact"/>
        <w:rPr>
          <w:sz w:val="20"/>
          <w:szCs w:val="20"/>
          <w:color w:val="auto"/>
        </w:rPr>
      </w:pPr>
    </w:p>
    <w:p>
      <w:pPr>
        <w:jc w:val="both"/>
        <w:ind w:right="20" w:firstLine="360"/>
        <w:spacing w:after="0" w:line="279" w:lineRule="auto"/>
        <w:rPr>
          <w:sz w:val="20"/>
          <w:szCs w:val="20"/>
          <w:color w:val="auto"/>
        </w:rPr>
      </w:pPr>
      <w:r>
        <w:rPr>
          <w:rFonts w:ascii="Times New Roman" w:cs="Times New Roman" w:eastAsia="Times New Roman" w:hAnsi="Times New Roman"/>
          <w:sz w:val="19"/>
          <w:szCs w:val="19"/>
          <w:color w:val="auto"/>
        </w:rPr>
        <w:t>Upon the consummation of the Business Combination, the April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720"/>
          </w:cols>
          <w:pgMar w:left="1260" w:top="1440" w:right="1260" w:bottom="719"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i w:val="1"/>
          <w:iCs w:val="1"/>
          <w:color w:val="auto"/>
        </w:rPr>
        <w:t>November 2023 Convertible Notes</w:t>
      </w:r>
    </w:p>
    <w:p>
      <w:pPr>
        <w:spacing w:after="0" w:line="227" w:lineRule="exact"/>
        <w:rPr>
          <w:sz w:val="20"/>
          <w:szCs w:val="20"/>
          <w:color w:val="auto"/>
        </w:rPr>
      </w:pPr>
    </w:p>
    <w:p>
      <w:pPr>
        <w:jc w:val="both"/>
        <w:ind w:right="20" w:firstLine="360"/>
        <w:spacing w:after="0" w:line="246" w:lineRule="auto"/>
        <w:rPr>
          <w:sz w:val="20"/>
          <w:szCs w:val="20"/>
          <w:color w:val="auto"/>
        </w:rPr>
      </w:pPr>
      <w:r>
        <w:rPr>
          <w:rFonts w:ascii="Times New Roman" w:cs="Times New Roman" w:eastAsia="Times New Roman" w:hAnsi="Times New Roman"/>
          <w:sz w:val="20"/>
          <w:szCs w:val="20"/>
          <w:color w:val="auto"/>
        </w:rPr>
        <w:t>On November 28, 2023, Legacy Adagio issued the Perceptive PIPE Investor a $2.0 million convertible promissory note that would mature on the latest of (i) January 5, 2024, (ii) termination of agreements between Legacy Adagio and ARYA in connection with a non -binding summary of the Business Combination, or (iii) the termination or lapse of the exclusivity period as defined in the non-binding term sheet as mentioned above (the “November 2023 Notes”). The November 2023 Notes accrued simple interest at eight percent (8.0%) per annum. Additionally, Legacy Adagio obtained the right to issue up to $6.0 million of Delayed Draw Commitment available beginning one month after November 28, 2023, through the occurrence of an ARYA stockholder vote with regard to the Business Combination.</w:t>
      </w:r>
    </w:p>
    <w:p>
      <w:pPr>
        <w:spacing w:after="0" w:line="191"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 xml:space="preserve">In December 2023, the November 2023 Notes were amended to permit the issuance of a delayed draw commitment in the original amount of $6.0 million. On December 13, 2023, and December 28, 2023, Legacy Adagio drew the principal amount of $1.0 million and $2.0 million, respectively. As of July 30, 2024, $8.0 million of the convertible promissory note had been drawn. The combined $6.0 million convertible promissory notes were issued pursuant to the clause and terms in the November 2023 Notes agreement (refer to </w:t>
      </w:r>
      <w:r>
        <w:rPr>
          <w:rFonts w:ascii="Times New Roman" w:cs="Times New Roman" w:eastAsia="Times New Roman" w:hAnsi="Times New Roman"/>
          <w:sz w:val="19"/>
          <w:szCs w:val="19"/>
          <w:i w:val="1"/>
          <w:iCs w:val="1"/>
          <w:color w:val="auto"/>
        </w:rPr>
        <w:t>Note 9 - Debt</w:t>
      </w:r>
      <w:r>
        <w:rPr>
          <w:rFonts w:ascii="Times New Roman" w:cs="Times New Roman" w:eastAsia="Times New Roman" w:hAnsi="Times New Roman"/>
          <w:sz w:val="19"/>
          <w:szCs w:val="19"/>
          <w:color w:val="auto"/>
        </w:rPr>
        <w:t xml:space="preserve"> in our consolidated financial statements for additional details).</w:t>
      </w:r>
    </w:p>
    <w:p>
      <w:pPr>
        <w:spacing w:after="0" w:line="174" w:lineRule="exact"/>
        <w:rPr>
          <w:sz w:val="20"/>
          <w:szCs w:val="20"/>
          <w:color w:val="auto"/>
        </w:rPr>
      </w:pPr>
    </w:p>
    <w:p>
      <w:pPr>
        <w:jc w:val="both"/>
        <w:ind w:right="20" w:firstLine="360"/>
        <w:spacing w:after="0" w:line="251" w:lineRule="auto"/>
        <w:rPr>
          <w:sz w:val="20"/>
          <w:szCs w:val="20"/>
          <w:color w:val="auto"/>
        </w:rPr>
      </w:pPr>
      <w:r>
        <w:rPr>
          <w:rFonts w:ascii="Times New Roman" w:cs="Times New Roman" w:eastAsia="Times New Roman" w:hAnsi="Times New Roman"/>
          <w:sz w:val="20"/>
          <w:szCs w:val="20"/>
          <w:color w:val="auto"/>
        </w:rPr>
        <w:t>Upon the consummation of the Business Combination, the November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May 2024 Convertible Notes</w:t>
      </w:r>
    </w:p>
    <w:p>
      <w:pPr>
        <w:spacing w:after="0" w:line="238"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On May 21, 2024, Legacy Adagio issued a $3.0 million convertible promissory note to Perceptive PIPE Investor, referred to herein as the May 2024 Convertible Notes, that matured upon the termination of the Business Combination Agreement in accordance with its terms. It accrued simple interest at eight percent (8.0%) per annum.</w:t>
      </w:r>
    </w:p>
    <w:p>
      <w:pPr>
        <w:spacing w:after="0" w:line="178"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19"/>
          <w:szCs w:val="19"/>
          <w:color w:val="auto"/>
        </w:rPr>
        <w:t>Upon the consummation of the Business Combination, the May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2024 Convertible Notes</w:t>
      </w:r>
    </w:p>
    <w:p>
      <w:pPr>
        <w:spacing w:after="0" w:line="229"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On June 25, 2024, Legacy Adagio issued a $2.5 million convertible promissory note to Perceptive PIPE Investor, referred to herein as the June 2024 Convertible Notes, that matured upon the termination of the Business Combination Agreement in accordance with its terms. It accrued simple interest at eight percent (8.0%) per annum.</w:t>
      </w:r>
    </w:p>
    <w:p>
      <w:pPr>
        <w:spacing w:after="0" w:line="178"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19"/>
          <w:szCs w:val="19"/>
          <w:color w:val="auto"/>
        </w:rPr>
        <w:t>Upon the consummation of the Business Combination, the June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July 2024 Convertible Notes</w:t>
      </w:r>
    </w:p>
    <w:p>
      <w:pPr>
        <w:spacing w:after="0" w:line="238"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On July 23, 2024, Legacy Adagio issued a $1.0 million convertible promissory note to Perceptive PIPE Investor, referred to herein as the July 2024 Convertible Notes, that matured upon the termination of the Business Combination Agreement in accordance with its terms. It accrued simple interest at eight percent (8.0%) per annum.</w:t>
      </w:r>
    </w:p>
    <w:p>
      <w:pPr>
        <w:spacing w:after="0" w:line="181" w:lineRule="exact"/>
        <w:rPr>
          <w:sz w:val="20"/>
          <w:szCs w:val="20"/>
          <w:color w:val="auto"/>
        </w:rPr>
      </w:pPr>
    </w:p>
    <w:p>
      <w:pPr>
        <w:jc w:val="both"/>
        <w:ind w:right="20" w:firstLine="360"/>
        <w:spacing w:after="0" w:line="279" w:lineRule="auto"/>
        <w:rPr>
          <w:sz w:val="20"/>
          <w:szCs w:val="20"/>
          <w:color w:val="auto"/>
        </w:rPr>
      </w:pPr>
      <w:r>
        <w:rPr>
          <w:rFonts w:ascii="Times New Roman" w:cs="Times New Roman" w:eastAsia="Times New Roman" w:hAnsi="Times New Roman"/>
          <w:sz w:val="19"/>
          <w:szCs w:val="19"/>
          <w:color w:val="auto"/>
        </w:rPr>
        <w:t>Upon the consummation of the Business Combination, the July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5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Pursuant to the Business Combination Agreement, the outstanding $29.5 million principal along with the accrued but unpaid interest of the Bridge Financing Notes was converted in exchange for 4,372,607 shares of our common stock and 3,540,000 Base Warrants as part of the 2024 PIPE Financing.</w:t>
      </w:r>
    </w:p>
    <w:p>
      <w:pPr>
        <w:sectPr>
          <w:pgSz w:w="12240" w:h="15840" w:orient="portrait"/>
          <w:cols w:equalWidth="0" w:num="1">
            <w:col w:w="9720"/>
          </w:cols>
          <w:pgMar w:left="1260" w:top="1250" w:right="1260" w:bottom="719"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720"/>
          </w:cols>
          <w:pgMar w:left="1260" w:top="1250" w:right="1260" w:bottom="719" w:gutter="0" w:footer="0" w:header="0"/>
          <w:type w:val="continuous"/>
        </w:sectPr>
      </w:pPr>
    </w:p>
    <w:bookmarkStart w:id="99" w:name="page100"/>
    <w:bookmarkEnd w:id="99"/>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February 2024 Convertible Notes</w:t>
      </w:r>
    </w:p>
    <w:p>
      <w:pPr>
        <w:spacing w:after="0" w:line="236"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On February 13, 2024, Legacy Adagio issued to the Perceptive PIPE Investor a principal of $ 7.0 million convertible promissory note, referred to herein as the February 2024 Convertible Notes, that matured upon the termination of the Business Combination Agreement in accordance with its terms. The February 2024 Convertible Notes accrued simple interest at eight percent (8.0%) per annum.</w:t>
      </w:r>
    </w:p>
    <w:p>
      <w:pPr>
        <w:spacing w:after="0" w:line="18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Upon the consummation of the Business Combination, the February 2024 Convertible Notes were automatically transferred to us in connection with the issuance of the Convertible Securities Notes to Perceptive PIPE Investor, pursuant to, and in accordance with, the note purchase agreement and the Convertible Security Subscription Agreement. Any interest accrued on the principal amount of the February 2024 Convertible Notes was forfeited in connection with the transfer of the notes to us.</w:t>
      </w:r>
    </w:p>
    <w:p>
      <w:pPr>
        <w:spacing w:after="0" w:line="18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On the Closing Date, $7.0 million of the February 2024 Convertible Notes was converted into $7.0 million Convertible Securities Notes and 525,000 Convert Warrants.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SVB Term Loan</w:t>
      </w:r>
    </w:p>
    <w:p>
      <w:pPr>
        <w:spacing w:after="0" w:line="23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In February 2023, Legacy Adagio entered into an agreement with Silicon Valley Bank to borrow an initial term loan advance of $3.0 million and a right to borrow a subsequent term loan advance of $2.0 million (“SVB Term Loan”). The loans matured on January 1, 2025. In conjunction with the SVB Term Loan, Legacy Adagio issued Silicon Valley Bank warrants to acquire 32,720 shares of common stock in February 2023 and distributed additional warrants to acquire 16,360 shares of common stock as of December 31, 2023 (“SVB Warrants”). Prior to the Closing of the Business Combination, the existing SVB Term Loan of Legacy Adagio as of July 30, 2024, had a net balance of $ 1.0 million, including $1.0 million of principal payment due within twelve months with an unamortized debt discount of $9.7 thousand. The unpaid principal and accrued interest were carried as assumed liabilities to us and paid at the Closing.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in our consolidated financial statements for additional details).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Obligations (Successor)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Securities Notes</w:t>
      </w:r>
    </w:p>
    <w:p>
      <w:pPr>
        <w:spacing w:after="0" w:line="22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$ 20.0 million Convertible Securities Notes are convertible into shares of our common stock at a conversion price of $10.00 per share, subject to adjustment per the terms of the agreement, and the 1,500,000 warrants, each of which are exercisable on a cashless basis or for one share of our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720"/>
          </w:cols>
          <w:pgMar w:left="1260" w:top="1440" w:right="1260" w:bottom="719"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shows a summary of our cash flows for each of the periods shown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20"/>
                <w:szCs w:val="20"/>
                <w:color w:val="auto"/>
              </w:rPr>
            </w:pPr>
            <w:r>
              <w:rPr>
                <w:rFonts w:ascii="PMingLiU" w:cs="PMingLiU" w:eastAsia="PMingLiU" w:hAnsi="PMingLiU"/>
                <w:sz w:val="16"/>
                <w:szCs w:val="16"/>
                <w:color w:val="3F3F3F"/>
              </w:rPr>
              <w:t/>
            </w:r>
          </w:p>
        </w:tc>
        <w:tc>
          <w:tcPr>
            <w:tcW w:w="1480" w:type="dxa"/>
            <w:vAlign w:val="bottom"/>
          </w:tcPr>
          <w:p>
            <w:pPr>
              <w:ind w:left="1280"/>
              <w:spacing w:after="0"/>
              <w:rPr>
                <w:sz w:val="20"/>
                <w:szCs w:val="20"/>
                <w:color w:val="auto"/>
              </w:rPr>
            </w:pPr>
            <w:r>
              <w:rPr>
                <w:rFonts w:ascii="PMingLiU" w:cs="PMingLiU" w:eastAsia="PMingLiU" w:hAnsi="PMingLiU"/>
                <w:sz w:val="16"/>
                <w:szCs w:val="16"/>
                <w:color w:val="auto"/>
              </w:rPr>
              <w:t/>
            </w: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jc w:val="center"/>
              <w:ind w:left="44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c>
          <w:tcPr>
            <w:tcW w:w="180" w:type="dxa"/>
            <w:vAlign w:val="bottom"/>
          </w:tcPr>
          <w:p>
            <w:pPr>
              <w:jc w:val="right"/>
              <w:ind w:right="155"/>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86"/>
        </w:trPr>
        <w:tc>
          <w:tcPr>
            <w:tcW w:w="4920" w:type="dxa"/>
            <w:vAlign w:val="bottom"/>
          </w:tcPr>
          <w:p>
            <w:pPr>
              <w:spacing w:after="0" w:line="187" w:lineRule="exact"/>
              <w:rPr>
                <w:sz w:val="20"/>
                <w:szCs w:val="20"/>
                <w:color w:val="auto"/>
              </w:rPr>
            </w:pPr>
            <w:r>
              <w:rPr>
                <w:rFonts w:ascii="PMingLiU" w:cs="PMingLiU" w:eastAsia="PMingLiU" w:hAnsi="PMingLiU"/>
                <w:sz w:val="16"/>
                <w:szCs w:val="16"/>
                <w:color w:val="3F3F3F"/>
              </w:rPr>
              <w:t/>
            </w:r>
          </w:p>
        </w:tc>
        <w:tc>
          <w:tcPr>
            <w:tcW w:w="1480" w:type="dxa"/>
            <w:vAlign w:val="bottom"/>
          </w:tcPr>
          <w:p>
            <w:pPr>
              <w:ind w:left="1280"/>
              <w:spacing w:after="0" w:line="187"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6"/>
                <w:szCs w:val="16"/>
                <w:color w:val="auto"/>
              </w:rPr>
            </w:pPr>
          </w:p>
        </w:tc>
        <w:tc>
          <w:tcPr>
            <w:tcW w:w="78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6"/>
                <w:szCs w:val="16"/>
                <w:color w:val="auto"/>
              </w:rPr>
            </w:pPr>
          </w:p>
        </w:tc>
        <w:tc>
          <w:tcPr>
            <w:tcW w:w="180" w:type="dxa"/>
            <w:vAlign w:val="bottom"/>
          </w:tcPr>
          <w:p>
            <w:pPr>
              <w:jc w:val="right"/>
              <w:ind w:right="155"/>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84"/>
        </w:trPr>
        <w:tc>
          <w:tcPr>
            <w:tcW w:w="4920" w:type="dxa"/>
            <w:vAlign w:val="bottom"/>
          </w:tcPr>
          <w:p>
            <w:pPr>
              <w:spacing w:after="0" w:line="184" w:lineRule="exact"/>
              <w:rPr>
                <w:sz w:val="20"/>
                <w:szCs w:val="20"/>
                <w:color w:val="auto"/>
              </w:rPr>
            </w:pPr>
            <w:r>
              <w:rPr>
                <w:rFonts w:ascii="PMingLiU" w:cs="PMingLiU" w:eastAsia="PMingLiU" w:hAnsi="PMingLiU"/>
                <w:sz w:val="16"/>
                <w:szCs w:val="16"/>
                <w:color w:val="3F3F3F"/>
              </w:rPr>
              <w:t/>
            </w:r>
          </w:p>
        </w:tc>
        <w:tc>
          <w:tcPr>
            <w:tcW w:w="1480" w:type="dxa"/>
            <w:vAlign w:val="bottom"/>
          </w:tcPr>
          <w:p>
            <w:pPr>
              <w:ind w:left="1280"/>
              <w:spacing w:after="0" w:line="184" w:lineRule="exact"/>
              <w:rPr>
                <w:sz w:val="20"/>
                <w:szCs w:val="20"/>
                <w:color w:val="auto"/>
              </w:rPr>
            </w:pPr>
            <w:r>
              <w:rPr>
                <w:rFonts w:ascii="PMingLiU" w:cs="PMingLiU" w:eastAsia="PMingLiU" w:hAnsi="PMingLiU"/>
                <w:sz w:val="16"/>
                <w:szCs w:val="16"/>
                <w:color w:val="auto"/>
              </w:rPr>
              <w:t/>
            </w: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80" w:type="dxa"/>
            <w:vAlign w:val="bottom"/>
          </w:tcPr>
          <w:p>
            <w:pPr>
              <w:jc w:val="right"/>
              <w:ind w:right="155"/>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9"/>
              <w:spacing w:after="0" w:line="156"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January 1 to</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49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restart"/>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w:t>
            </w: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920" w:type="dxa"/>
            <w:vAlign w:val="bottom"/>
            <w:vMerge w:val="restart"/>
          </w:tcPr>
          <w:p>
            <w:pPr>
              <w:spacing w:after="0"/>
              <w:rPr>
                <w:sz w:val="20"/>
                <w:szCs w:val="20"/>
                <w:color w:val="auto"/>
              </w:rPr>
            </w:pPr>
            <w:r>
              <w:rPr>
                <w:rFonts w:ascii="PMingLiU" w:cs="PMingLiU" w:eastAsia="PMingLiU" w:hAnsi="PMingLiU"/>
                <w:sz w:val="16"/>
                <w:szCs w:val="16"/>
                <w:color w:val="auto"/>
              </w:rPr>
              <w:t/>
            </w:r>
          </w:p>
        </w:tc>
        <w:tc>
          <w:tcPr>
            <w:tcW w:w="1480" w:type="dxa"/>
            <w:vAlign w:val="bottom"/>
            <w:vMerge w:val="restart"/>
          </w:tcPr>
          <w:p>
            <w:pPr>
              <w:ind w:left="1280"/>
              <w:spacing w:after="0"/>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July 30</w:t>
            </w:r>
          </w:p>
        </w:tc>
        <w:tc>
          <w:tcPr>
            <w:tcW w:w="180" w:type="dxa"/>
            <w:vAlign w:val="bottom"/>
            <w:vMerge w:val="restart"/>
          </w:tcPr>
          <w:p>
            <w:pPr>
              <w:jc w:val="right"/>
              <w:ind w:right="155"/>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30"/>
        </w:trPr>
        <w:tc>
          <w:tcPr>
            <w:tcW w:w="49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9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DDDDDD"/>
          </w:tcPr>
          <w:p>
            <w:pPr>
              <w:spacing w:after="0" w:line="20" w:lineRule="exact"/>
              <w:rPr>
                <w:sz w:val="1"/>
                <w:szCs w:val="1"/>
                <w:color w:val="auto"/>
              </w:rPr>
            </w:pPr>
          </w:p>
        </w:tc>
        <w:tc>
          <w:tcPr>
            <w:tcW w:w="148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480" w:type="dxa"/>
            <w:vAlign w:val="bottom"/>
            <w:tcBorders>
              <w:right w:val="single" w:sz="8" w:color="DDDDDD"/>
            </w:tcBorders>
            <w:shd w:val="clear" w:color="auto" w:fill="DDDDDD"/>
          </w:tcPr>
          <w:p>
            <w:pPr>
              <w:ind w:left="1280"/>
              <w:spacing w:after="0" w:line="234"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(19,014)</w:t>
            </w:r>
          </w:p>
        </w:tc>
        <w:tc>
          <w:tcPr>
            <w:tcW w:w="3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(13,469)</w:t>
            </w:r>
          </w:p>
        </w:tc>
        <w:tc>
          <w:tcPr>
            <w:tcW w:w="140" w:type="dxa"/>
            <w:vAlign w:val="bottom"/>
            <w:tcBorders>
              <w:right w:val="single" w:sz="8" w:color="auto"/>
            </w:tcBorders>
            <w:shd w:val="clear" w:color="auto" w:fill="DDDDDD"/>
          </w:tcPr>
          <w:p>
            <w:pPr>
              <w:spacing w:after="0"/>
              <w:rPr>
                <w:sz w:val="20"/>
                <w:szCs w:val="20"/>
                <w:color w:val="auto"/>
              </w:rPr>
            </w:pPr>
          </w:p>
        </w:tc>
        <w:tc>
          <w:tcPr>
            <w:tcW w:w="300" w:type="dxa"/>
            <w:vAlign w:val="bottom"/>
            <w:gridSpan w:val="2"/>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DDDDD"/>
          </w:tcPr>
          <w:p>
            <w:pPr>
              <w:jc w:val="right"/>
              <w:ind w:right="135"/>
              <w:spacing w:after="0" w:line="235" w:lineRule="exact"/>
              <w:rPr>
                <w:sz w:val="20"/>
                <w:szCs w:val="20"/>
                <w:color w:val="auto"/>
              </w:rPr>
            </w:pPr>
            <w:r>
              <w:rPr>
                <w:rFonts w:ascii="Times New Roman" w:cs="Times New Roman" w:eastAsia="Times New Roman" w:hAnsi="Times New Roman"/>
                <w:sz w:val="20"/>
                <w:szCs w:val="20"/>
                <w:color w:val="auto"/>
              </w:rPr>
              <w:t>(15,990)</w:t>
            </w: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480" w:type="dxa"/>
            <w:vAlign w:val="bottom"/>
          </w:tcPr>
          <w:p>
            <w:pPr>
              <w:ind w:left="128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35"/>
              <w:spacing w:after="0"/>
              <w:rPr>
                <w:sz w:val="20"/>
                <w:szCs w:val="20"/>
                <w:color w:val="auto"/>
              </w:rPr>
            </w:pPr>
            <w:r>
              <w:rPr>
                <w:rFonts w:ascii="Times New Roman" w:cs="Times New Roman" w:eastAsia="Times New Roman" w:hAnsi="Times New Roman"/>
                <w:sz w:val="20"/>
                <w:szCs w:val="20"/>
                <w:color w:val="auto"/>
              </w:rPr>
              <w:t>(368)</w:t>
            </w: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480" w:type="dxa"/>
            <w:vAlign w:val="bottom"/>
            <w:tcBorders>
              <w:right w:val="single" w:sz="8" w:color="DDDDDD"/>
            </w:tcBorders>
            <w:shd w:val="clear" w:color="auto" w:fill="DDDDDD"/>
          </w:tcPr>
          <w:p>
            <w:pPr>
              <w:ind w:left="1280"/>
              <w:spacing w:after="0"/>
              <w:rPr>
                <w:sz w:val="20"/>
                <w:szCs w:val="20"/>
                <w:color w:val="auto"/>
              </w:rPr>
            </w:pPr>
            <w:r>
              <w:rPr>
                <w:rFonts w:ascii="PMingLiU" w:cs="PMingLiU" w:eastAsia="PMingLiU" w:hAnsi="PMingLiU"/>
                <w:sz w:val="20"/>
                <w:szCs w:val="20"/>
                <w:color w:val="auto"/>
              </w:rPr>
              <w:t/>
            </w:r>
          </w:p>
        </w:tc>
        <w:tc>
          <w:tcPr>
            <w:tcW w:w="100" w:type="dxa"/>
            <w:vAlign w:val="bottom"/>
            <w:shd w:val="clear" w:color="auto" w:fill="DDDDDD"/>
          </w:tcPr>
          <w:p>
            <w:pPr>
              <w:spacing w:after="0"/>
              <w:rPr>
                <w:sz w:val="21"/>
                <w:szCs w:val="21"/>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16,134</w:t>
            </w:r>
          </w:p>
        </w:tc>
        <w:tc>
          <w:tcPr>
            <w:tcW w:w="240" w:type="dxa"/>
            <w:vAlign w:val="bottom"/>
            <w:tcBorders>
              <w:right w:val="single" w:sz="8" w:color="DDDDDD"/>
            </w:tcBorders>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right w:val="single" w:sz="8" w:color="auto"/>
            </w:tcBorders>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880" w:type="dxa"/>
            <w:vAlign w:val="bottom"/>
            <w:gridSpan w:val="2"/>
            <w:shd w:val="clear" w:color="auto" w:fill="DDDDDD"/>
          </w:tcPr>
          <w:p>
            <w:pPr>
              <w:jc w:val="right"/>
              <w:ind w:right="135"/>
              <w:spacing w:after="0"/>
              <w:rPr>
                <w:sz w:val="20"/>
                <w:szCs w:val="20"/>
                <w:color w:val="auto"/>
              </w:rPr>
            </w:pPr>
            <w:r>
              <w:rPr>
                <w:rFonts w:ascii="Times New Roman" w:cs="Times New Roman" w:eastAsia="Times New Roman" w:hAnsi="Times New Roman"/>
                <w:sz w:val="20"/>
                <w:szCs w:val="20"/>
                <w:color w:val="auto"/>
              </w:rPr>
              <w:t xml:space="preserve">15,633 </w:t>
            </w: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currency translation on cash</w:t>
            </w:r>
          </w:p>
        </w:tc>
        <w:tc>
          <w:tcPr>
            <w:tcW w:w="1480" w:type="dxa"/>
            <w:vAlign w:val="bottom"/>
          </w:tcPr>
          <w:p>
            <w:pPr>
              <w:ind w:left="1280"/>
              <w:spacing w:after="0"/>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35"/>
              <w:spacing w:after="0"/>
              <w:rPr>
                <w:sz w:val="20"/>
                <w:szCs w:val="20"/>
                <w:color w:val="auto"/>
              </w:rPr>
            </w:pPr>
            <w:r>
              <w:rPr>
                <w:rFonts w:ascii="Times New Roman" w:cs="Times New Roman" w:eastAsia="Times New Roman" w:hAnsi="Times New Roman"/>
                <w:sz w:val="20"/>
                <w:szCs w:val="20"/>
                <w:color w:val="auto"/>
              </w:rPr>
              <w:t xml:space="preserve">24 </w:t>
            </w: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920" w:type="dxa"/>
            <w:vAlign w:val="bottom"/>
            <w:shd w:val="clear" w:color="auto" w:fill="DDDDDD"/>
          </w:tcPr>
          <w:p>
            <w:pPr>
              <w:spacing w:after="0" w:line="20" w:lineRule="exact"/>
              <w:rPr>
                <w:sz w:val="1"/>
                <w:szCs w:val="1"/>
                <w:color w:val="auto"/>
              </w:rPr>
            </w:pPr>
          </w:p>
        </w:tc>
        <w:tc>
          <w:tcPr>
            <w:tcW w:w="148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change in cash and cash equivalents</w:t>
            </w:r>
          </w:p>
        </w:tc>
        <w:tc>
          <w:tcPr>
            <w:tcW w:w="1480" w:type="dxa"/>
            <w:vAlign w:val="bottom"/>
            <w:tcBorders>
              <w:right w:val="single" w:sz="8" w:color="DDDDDD"/>
            </w:tcBorders>
            <w:shd w:val="clear" w:color="auto" w:fill="DDDDDD"/>
          </w:tcPr>
          <w:p>
            <w:pPr>
              <w:ind w:left="1280"/>
              <w:spacing w:after="0" w:line="235"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(3,481)</w:t>
            </w:r>
          </w:p>
        </w:tc>
        <w:tc>
          <w:tcPr>
            <w:tcW w:w="240" w:type="dxa"/>
            <w:vAlign w:val="bottom"/>
            <w:tcBorders>
              <w:right w:val="single" w:sz="8" w:color="DDDDDD"/>
            </w:tcBorders>
            <w:shd w:val="clear" w:color="auto" w:fill="DDDDDD"/>
          </w:tcPr>
          <w:p>
            <w:pPr>
              <w:spacing w:after="0"/>
              <w:rPr>
                <w:sz w:val="20"/>
                <w:szCs w:val="20"/>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(14,568)</w:t>
            </w:r>
          </w:p>
        </w:tc>
        <w:tc>
          <w:tcPr>
            <w:tcW w:w="140" w:type="dxa"/>
            <w:vAlign w:val="bottom"/>
            <w:tcBorders>
              <w:right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DDDDDD"/>
          </w:tcPr>
          <w:p>
            <w:pPr>
              <w:jc w:val="right"/>
              <w:ind w:right="135"/>
              <w:spacing w:after="0" w:line="236" w:lineRule="exact"/>
              <w:rPr>
                <w:sz w:val="20"/>
                <w:szCs w:val="20"/>
                <w:color w:val="auto"/>
              </w:rPr>
            </w:pPr>
            <w:r>
              <w:rPr>
                <w:rFonts w:ascii="Times New Roman" w:cs="Times New Roman" w:eastAsia="Times New Roman" w:hAnsi="Times New Roman"/>
                <w:sz w:val="20"/>
                <w:szCs w:val="20"/>
                <w:color w:val="auto"/>
              </w:rPr>
              <w:t>(701)</w:t>
            </w: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0" w:firstLine="360"/>
        <w:spacing w:after="0" w:line="276" w:lineRule="auto"/>
        <w:rPr>
          <w:sz w:val="20"/>
          <w:szCs w:val="20"/>
          <w:color w:val="auto"/>
        </w:rPr>
      </w:pPr>
      <w:r>
        <w:rPr>
          <w:rFonts w:ascii="Times New Roman" w:cs="Times New Roman" w:eastAsia="Times New Roman" w:hAnsi="Times New Roman"/>
          <w:sz w:val="20"/>
          <w:szCs w:val="20"/>
          <w:i w:val="1"/>
          <w:iCs w:val="1"/>
          <w:color w:val="auto"/>
        </w:rPr>
        <w:t>Comparison of the Year Ended December 31, 2025 (Successor) to the Periods from January 1, 2024 to July 30, 2024 (Predecessor) and from July 31, 2024 to December 31, 2024 (Successor)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Operating Activities</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2025 (Successor) was $19.0 million, consisting primarily of a net loss of $25.1 million, adjusted for certain non-cash items of $3.4 million and net changes in operating assets and liabilities of $2.7 million. Non-cash items primarily consisted of $1.0 million in depreciation, $1.5 million in stock-based compensation, a change in fair value of convertible notes payable of $1.0 million, and a change in fair value of warrant liabilities of $20 thousand. Changes in operating assets and liabilities were primarily driven by a $3.3 million increase in accrued liabilities, a $2.9 million increase in other accrued liabilities, a $0.9 million decrease in inventory, and a $0.9 million decrease in prepaid expenses and other current assets, partially offset by a $3.6 million decrease in other long-term liabilities and a $1.8 million decrease in accounts payable.</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Net cash used in operating activities for the period from July 31, 2024 to December 31, 2024 (Successor) was $13.5 million, consisting primarily of a net loss of $53.8 million, adjusted for certain non-cash items of $42.5 million, and net by change in our net operating assets and liabilities of $2.2 million. Non-cash items primarily consisted of a $30.3 million impairment charge to goodwill, a $18.9 million impairment charge to intangible assets and $0.7 million in depreciation and amortization; offset by offset by a gain of $0.9 million from the change in fair value of convertible notes payable, and a gain of $6.6 million from the change in fair value of warrant liabilities. Changes in our net operating assets and liabilities were primarily due to a $1.4 million increase in inventory, offset by $1.9 million decrease in accounts payable, a $0.9 million increase in prepaid expenses and other current assets.</w:t>
      </w:r>
    </w:p>
    <w:p>
      <w:pPr>
        <w:spacing w:after="0" w:line="19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Net cash used in operating activities for the period from January 1, 2024 to July 30, 2024 (Predecessor) was $16.0 million consisting primarily of a net loss of $21.3 million, adjusted for certain non-cash items of $0.8 million, and net changes in our operating assets and liabilities of $6.1 million. Non-cash items primarily consisted of $0.6 million in depreciation and amortization, $0.6 million in stock -based compensation, noncash operating lease expense of $0.1 million, and loss on disposal of property and equipment of $0.1 million; offset by a gain of $2.1 million from the change in fair value of convertible notes payable, and a gain of $0.2 million from the change in fair value of warrant liabilities. Changes in our net operating assets and liabilities were primarily due to a $7.4 million increase in accrued transaction costs, the increase in accrued liabilities of $0.5 million and a $1.7 million increase in other accrued liabilities, which were primarily driven by the increase in transaction costs related to the Business Combination, the increase in accrued variable compensation related to the Business Combination, and the increase in interest related the convertible notes; offset by a $2.6 million decrease in accounts payable, $0.8 million increase in inventory, which were primarily driven by the payment of accounts payable related to the Business combination and an increase in inventory purchases.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720"/>
          </w:cols>
          <w:pgMar w:left="1260" w:top="1244" w:right="1260" w:bottom="719"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Used in Investing Activities</w:t>
      </w:r>
    </w:p>
    <w:p>
      <w:pPr>
        <w:spacing w:after="0" w:line="229"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2025 (Successor) was $0.4 million. Net cash used in investing activities for the periods from July 31, 2024 to December 31 2024 (Successor) and January 1, 2024 to July 30, 2024 (Predecessor) was $1.3 million and $0.4 million, respectively. The decrease was primarily due to lower purchases of property and equipment during the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Provided by Financing Activities</w:t>
      </w:r>
    </w:p>
    <w:p>
      <w:pPr>
        <w:spacing w:after="0" w:line="22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2025 (Successor) was $16.1 million, primarily due to proceeds from the 2025 PIPE Financing, net of $2.9 million of issuance costs.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cash provided by financing activities for the period from July 31, 2024 to December 31, 2024 (Successor) was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nil.</w:t>
      </w:r>
    </w:p>
    <w:p>
      <w:pPr>
        <w:spacing w:after="0" w:line="203"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Net cash provided by financing activities for the period from January 1, 2024 to July 30, 2024 (Predecessor) was $15.6 million, primarily due to proceeds of $ 16.5 million from the issuance of the $7.0 million 2024 Bridge Financing Note, the $3.0 million May 2024 Convertible Notes, the $2.5 million June 2024 Convertible Notes, the $ 1.0 million July 2024 Convertible Notes, and the $3.0 million draw under the November 2023 Convertible Notes, partially offset by a $0.9 million repayment of the SVB Term Loan.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3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us to make estimates and assumptions that affect the amounts reported in our audited consolidated financial statements and accompanying notes included elsewhere in this Annual Report on Form 10-K.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w:t>
      </w:r>
    </w:p>
    <w:p>
      <w:pPr>
        <w:spacing w:after="0" w:line="17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Accordingly, the accounting estimates used in the preparation of our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audited consolidated financial statements.</w:t>
      </w:r>
    </w:p>
    <w:p>
      <w:pPr>
        <w:spacing w:after="0" w:line="187"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20"/>
          <w:szCs w:val="20"/>
          <w:color w:val="auto"/>
        </w:rPr>
        <w:t>On an ongoing basis, we evaluate our estimates and assumptions. Our actual results may differ from these estimates under different assumptions or conditions.</w:t>
      </w:r>
    </w:p>
    <w:p>
      <w:pPr>
        <w:spacing w:after="0" w:line="15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Our significant accounting policies are described in </w:t>
      </w:r>
      <w:r>
        <w:rPr>
          <w:rFonts w:ascii="Times New Roman" w:cs="Times New Roman" w:eastAsia="Times New Roman" w:hAnsi="Times New Roman"/>
          <w:sz w:val="20"/>
          <w:szCs w:val="20"/>
          <w:i w:val="1"/>
          <w:iCs w:val="1"/>
          <w:color w:val="auto"/>
        </w:rPr>
        <w:t>Note 2 - Summary of Significant Accounting Policies</w:t>
      </w:r>
      <w:r>
        <w:rPr>
          <w:rFonts w:ascii="Times New Roman" w:cs="Times New Roman" w:eastAsia="Times New Roman" w:hAnsi="Times New Roman"/>
          <w:sz w:val="20"/>
          <w:szCs w:val="20"/>
          <w:color w:val="auto"/>
        </w:rPr>
        <w:t xml:space="preserve"> to our consolidated financial statements. These are the policies that we believe are the most critical to aid in fully understanding and evaluating our consolidated financial condition and results of operations.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720"/>
          </w:cols>
          <w:pgMar w:left="1260" w:top="1248" w:right="1260" w:bottom="719"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2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We recognize compensation expense for all stock-based awards issued to employees and non -employees based on the estimated grant-date fair value, which is recognized as expense on a straight-line basis over the requisite service period. We have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our common stock valuation. Refer to </w:t>
      </w:r>
      <w:r>
        <w:rPr>
          <w:rFonts w:ascii="Times New Roman" w:cs="Times New Roman" w:eastAsia="Times New Roman" w:hAnsi="Times New Roman"/>
          <w:sz w:val="20"/>
          <w:szCs w:val="20"/>
          <w:i w:val="1"/>
          <w:iCs w:val="1"/>
          <w:color w:val="auto"/>
        </w:rPr>
        <w:t>Note 14 - Stock-Based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do not have sufficient historical exercise and post -vesting termination activity to provide accurate data for estimating the expected term of options and have opted to use the “simplified method,” whereby the expected term equals the arithmetic average of the vesting term and the original contractual term of the option. Based on the lack of historical data of volatility for our common stock, we base our estimate of expected volatility on an average of the historical volatility of comparable public medical technology companies that reflect volatility characteristics relevant to our expected volatility analysis. The dividend yield is based upon the assumption that we will not declare a dividend over the life of the options. The risk-free interest rate is based on the U.S. Treasury yield curve in effect at the time of grant for bonds with maturities consistent with the expected term of the related award.</w:t>
      </w:r>
    </w:p>
    <w:p>
      <w:pPr>
        <w:spacing w:after="0" w:line="19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Due to the absence of an active market for Legacy Adagio common stock, we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we considered the fair value of the common stock as of the grant date. The fair value of the common stock is determined based upon a variety of factors, including our financial position, historical performance and operating results, our stage of development, the progress of our research and development programs, the prices at which we sold our convertible preferred stock, the superior rights, preferences and privileges of our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Intangible Assets</w:t>
      </w:r>
    </w:p>
    <w:p>
      <w:pPr>
        <w:spacing w:after="0" w:line="35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Intangible assets with finite useful lives are amortized on a straight-line basis over their estimated useful lives. In determining the estimated useful lives of definite-lived intangibles, we consider the nature, competitive position, life cycle position and expected future operating cash flows of the acquired asset, as well as its commitment to support these assets through continued investment and legal infringement protection.</w:t>
      </w:r>
    </w:p>
    <w:p>
      <w:pPr>
        <w:spacing w:after="0" w:line="18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Our intangible assets subject to amortization and other long-lived assets, are reviewed for impairment in accordance with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which requires that companies consider whether events or changes in facts and circumstances, both internally and externally, may indicate that an impairment of long-lived assets held for use are present. We review definite lived intangible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values and the loss is recognized in the consolidated statements of operations and comprehensive loss.</w:t>
      </w:r>
    </w:p>
    <w:p>
      <w:pPr>
        <w:spacing w:after="0" w:line="19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period from January 1, 2024 to July 30, 2024 (Predecessor) and for the year ended December 31, 2025 (Successor), we determined that there was no impairment of definite-lived intangible assets. We determined that as of December 31, 2024, the fair value of our definite lived intangible assets was less than the carrying amount. As a result, we recorded a $3.8 million impairment charge during the period from July 31, 2024 to December 31, 2024 (Successor). The impairment was driven by a sustained decline in our share price and market capitalization.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720"/>
          </w:cols>
          <w:pgMar w:left="1260" w:top="1248" w:right="1260" w:bottom="719" w:gutter="0" w:footer="0" w:header="0"/>
          <w:type w:val="continuous"/>
        </w:sectPr>
      </w:pPr>
    </w:p>
    <w:bookmarkStart w:id="103" w:name="page104"/>
    <w:bookmarkEnd w:id="103"/>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Indefinite-lived intangible assets consist of In-Process Research and Development (“IPR&amp;D”). In accordance with ASC 350, Intangibles – Goodwill and Other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 -lived intangible asset’s fair value is less than its carrying amount. Otherwise, no further impairment testing is required. The indefinite-lived intangible asset impairment test consists of a one- step analysis that compares the fair value of the intangible asset with its carrying amount. If the carrying amount of an intangible asset exceeds its fair value, an impairment loss is recognized in an amount equal to that excess.</w:t>
      </w:r>
    </w:p>
    <w:p>
      <w:pPr>
        <w:spacing w:after="0" w:line="19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period from January 1, 2024 to July 30, 2024 (Predecessor) and for the year ended December 31, 2025 (Successor), we determined that there was no impairment of indefinite-lived intangible assets. We determined that as of December 31, 2024, the fair value of our indefinite-lived intangible assets was less than the carrying amount. As a result, we recorded a $15.1 million impairment charge during the period from July 31, 2024 to December 31, 2024 (Successor). The impairment was driven by a sustained decline in our share price and market capitalization.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Goodwill</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accordance with ASC 350, Intangibles – Goodwill and Other, we test goodwill for impairment at the reporting unit level. We have one reporting unit for the goodwill impairment testing purposes. 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period from January 1, 2024 to July 30, 2024 (Predecessor) and for the year ended December 31, 2025 (Successor), we determined that there was no goodwill impairment. We determined that as of December 31, 2024, our fair value was less than our carrying amount. As a result, we recorded a $30.3 million goodwill impairment charge during the period from July 31, 2024 to December 31, 2024 (Successor). The impairment was driven by a sustained decline in our share price and market capitalization.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(Predecessor)</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 xml:space="preserve">Legacy Adagio accounts for the Predecessor term loan at residual value on the date of issuance. The expected life of the term loan is the contractual term ending on the maturity date. Legacy Adagio classifies the term loan as current liabilities within twelve months of the maturity date or when otherwise due. Interest expense is recognized in the consolidated statements of operations and comprehensive loss over the contractual term of the loan.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in our consolidated financial statements for additional information related to the term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We have Milestone Warrants (as defined below) issued along with the 2025 PIPE Pre-funded Warrants (as defined below) issued in the 2025 PIPE Financing (as defined below), which are classified as equity. We have Convert Warrants (as defined below) issued along with the Convertible Securities Notes, and PIPE Pre-funded Warrants (as defined below) issued in the 2024 PIPE Financing (as defined below), which are classified as liabilities. We also have PIPE Base Warrants (as defined below) issued in the 2024 PIPE Financing, which are classified as equity. Legacy Adagio had certain common stock warrants (“SVB Warrants”) issued along with the SVB Term Loan (as defined below) and pre-funded warrants to purchase Series E preferred stock (“Series E Pre-funded Warrants”), which were both classified as liabilities.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720"/>
          </w:cols>
          <w:pgMar w:left="1260" w:top="1248" w:right="1260" w:bottom="719" w:gutter="0" w:footer="0" w:header="0"/>
          <w:type w:val="continuous"/>
        </w:sectPr>
      </w:pPr>
    </w:p>
    <w:bookmarkStart w:id="104" w:name="page105"/>
    <w:bookmarkEnd w:id="104"/>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We determine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our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consolidated statements of operations and comprehensive loss.</w:t>
      </w:r>
    </w:p>
    <w:p>
      <w:pPr>
        <w:spacing w:after="0" w:line="19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consolidated balance sheets as current or non- current based on whether or not net- cash settlement of the derivative instrument could be required within twelve months of the consolidated balance sheet date.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Note 10 - Warrants</w:t>
      </w:r>
      <w:r>
        <w:rPr>
          <w:rFonts w:ascii="Times New Roman" w:cs="Times New Roman" w:eastAsia="Times New Roman" w:hAnsi="Times New Roman"/>
          <w:sz w:val="20"/>
          <w:szCs w:val="20"/>
          <w:color w:val="auto"/>
        </w:rPr>
        <w:t xml:space="preserve"> for additional information related to the warrants.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Preferred Stock (Predecessor)</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record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spacing w:after="0" w:line="192"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As the Legacy Adagio preferred stock was considered to be contingently redeemable, the Legacy Adagio preferred stock was classified outside of permanent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Option for Convertible Notes</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As permitted under ASC 825, Financial Instruments (“ASC 825”), Legacy Adagio elected the fair value option to account for the October 2022 Convertible Notes, the April 2023 Convertible Notes, the November 2023 Convertible Notes, the February 2024 Convertible Notes, the May 2024 Convertible Notes, the June 2024 Convertible Notes, and the July 2024 Convertible Notes (collectively, “Legacy Adagio Convertible Notes”), and we elected the fair value option to account for the Convertible Securities Notes, in order to measure those liabilities at amounts that more accurately reflect the current economic environment in which the we and Legacy Adagio operated.</w:t>
      </w:r>
    </w:p>
    <w:p>
      <w:pPr>
        <w:spacing w:after="0" w:line="191"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The Convertible Securities Notes mentioned above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As a result of applying the fair value option, direct costs and fees related to the issuance of the Convertible Securities Notes were expensed as incurred (i.e., not recognized as deferred costs). Refer to </w:t>
      </w:r>
      <w:r>
        <w:rPr>
          <w:rFonts w:ascii="Times New Roman" w:cs="Times New Roman" w:eastAsia="Times New Roman" w:hAnsi="Times New Roman"/>
          <w:sz w:val="20"/>
          <w:szCs w:val="20"/>
          <w:i w:val="1"/>
          <w:iCs w:val="1"/>
          <w:color w:val="auto"/>
        </w:rPr>
        <w:t>Note 4 - Fair Value Measurements</w:t>
      </w:r>
      <w:r>
        <w:rPr>
          <w:rFonts w:ascii="Times New Roman" w:cs="Times New Roman" w:eastAsia="Times New Roman" w:hAnsi="Times New Roman"/>
          <w:sz w:val="20"/>
          <w:szCs w:val="20"/>
          <w:color w:val="auto"/>
        </w:rPr>
        <w:t xml:space="preserve"> for further detail.</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720"/>
          </w:cols>
          <w:pgMar w:left="1260" w:top="1248" w:right="1260" w:bottom="719"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229"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19"/>
          <w:szCs w:val="19"/>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w:t>
      </w:r>
    </w:p>
    <w:p>
      <w:pPr>
        <w:spacing w:after="0" w:line="1" w:lineRule="exact"/>
        <w:rPr>
          <w:sz w:val="20"/>
          <w:szCs w:val="20"/>
          <w:color w:val="auto"/>
        </w:rPr>
      </w:pPr>
    </w:p>
    <w:p>
      <w:pPr>
        <w:jc w:val="both"/>
        <w:ind w:firstLine="8"/>
        <w:spacing w:after="0" w:line="243" w:lineRule="auto"/>
        <w:tabs>
          <w:tab w:leader="none" w:pos="31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9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 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will remain an EGC under the JOBS Act until the earliest of (i) the last date of our fiscal year in which we have total annual gross revenue of at least $1.235 billion, (ii) the date on which we are deemed to be a “large accelerated filer” under the rules of the SEC with at least $700.0 million of outstanding securities held by non-affiliates, or (iii) the date on which we have issued more than $1.0 billion in non-convertible debt securities during the previous three-years.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5"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Note 2 - Summary of Significant Accounting Policies</w:t>
      </w:r>
      <w:r>
        <w:rPr>
          <w:rFonts w:ascii="Times New Roman" w:cs="Times New Roman" w:eastAsia="Times New Roman" w:hAnsi="Times New Roman"/>
          <w:sz w:val="20"/>
          <w:szCs w:val="20"/>
          <w:color w:val="auto"/>
        </w:rPr>
        <w:t xml:space="preserve"> in our consolidated financial statements for a description of recent accounting pronouncements applicable to our financial statements.</w:t>
      </w:r>
    </w:p>
    <w:p>
      <w:pPr>
        <w:spacing w:after="0" w:line="1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tab/>
        <w:t>Quantitative and Qualitative Disclosures About Market Risk.</w:t>
      </w:r>
    </w:p>
    <w:p>
      <w:pPr>
        <w:spacing w:after="0" w:line="244"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8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Firms (WithumSmith+Brown, PC, PCAOB ID 100)</w:t>
            </w: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198"/>
        </w:trPr>
        <w:tc>
          <w:tcPr>
            <w:tcW w:w="8820" w:type="dxa"/>
            <w:vAlign w:val="bottom"/>
            <w:vMerge w:val="continue"/>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31"/>
        </w:trPr>
        <w:tc>
          <w:tcPr>
            <w:tcW w:w="88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30"/>
        </w:trPr>
        <w:tc>
          <w:tcPr>
            <w:tcW w:w="88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Consolidated Statements of Convertible Preferred Stock and Stockholders’ Equity (Deficit)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28"/>
        </w:trPr>
        <w:tc>
          <w:tcPr>
            <w:tcW w:w="8820" w:type="dxa"/>
            <w:vAlign w:val="bottom"/>
          </w:tcPr>
          <w:p>
            <w:pPr>
              <w:ind w:left="480"/>
              <w:spacing w:after="0" w:line="228" w:lineRule="exact"/>
              <w:rPr>
                <w:sz w:val="20"/>
                <w:szCs w:val="20"/>
                <w:color w:val="auto"/>
              </w:rPr>
            </w:pPr>
            <w:r>
              <w:rPr>
                <w:rFonts w:ascii="Times New Roman" w:cs="Times New Roman" w:eastAsia="Times New Roman" w:hAnsi="Times New Roman"/>
                <w:sz w:val="20"/>
                <w:szCs w:val="20"/>
                <w:color w:val="auto"/>
              </w:rPr>
              <w:t>Consolidated Statements of Cash Flows</w:t>
            </w: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65"/>
        </w:trPr>
        <w:tc>
          <w:tcPr>
            <w:tcW w:w="88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720"/>
          </w:cols>
          <w:pgMar w:left="1260" w:top="1248" w:right="1260" w:bottom="719" w:gutter="0" w:footer="0" w:header="0"/>
          <w:type w:val="continuous"/>
        </w:sectPr>
      </w:pPr>
    </w:p>
    <w:bookmarkStart w:id="106" w:name="page107"/>
    <w:bookmarkEnd w:id="106"/>
    <w:p>
      <w:pPr>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Shareholders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Adagio Medical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2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Adagio Medical Holdings, Inc. (the “Company”) as of December 31, 2025 and 2024, and the related consolidated statements of operations and comprehensive loss, consolidated statements of convertible preferred stock and stockholders’ equity (deficit), and consolidated statements of cash flows for the periods January 1 to December 2025 and July 31 to December 31, 2024 (Successor), January 1 to July 30, 2024 (Predecessor),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periods January 1 to December 2025 and July 31 to December 31, 2024 (Successor), January 1 to July 30, 2024 (Predecessor),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entity will continue as a going concern. As discussed in Note 1 to the financial statements, the entity has suffered recurring losses from operations and has a net capital deficiency that raise substantial doubt about its ability to continue as a going concern. Management’s plans regarding these matters are also described in Note 1. The financial statements do not include any adjustments that might result from the outcome of this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9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WithumSmith+Brown,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Company’s auditor since 2023.</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Whippany, New Jersey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 ID No. 100</w:t>
      </w:r>
    </w:p>
    <w:p>
      <w:pPr>
        <w:sectPr>
          <w:pgSz w:w="12240" w:h="15840" w:orient="portrait"/>
          <w:cols w:equalWidth="0" w:num="1">
            <w:col w:w="9720"/>
          </w:cols>
          <w:pgMar w:left="1260" w:top="1239" w:right="1260" w:bottom="719"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720"/>
          </w:cols>
          <w:pgMar w:left="1260" w:top="1239" w:right="1260" w:bottom="719"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Successor</w:t>
            </w:r>
          </w:p>
        </w:tc>
      </w:tr>
      <w:tr>
        <w:trPr>
          <w:trHeight w:val="156"/>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60"/>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60"/>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8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74"/>
        </w:trPr>
        <w:tc>
          <w:tcPr>
            <w:tcW w:w="6800" w:type="dxa"/>
            <w:vAlign w:val="bottom"/>
            <w:shd w:val="clear" w:color="auto" w:fill="DDDDDD"/>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r>
      <w:tr>
        <w:trPr>
          <w:trHeight w:val="182"/>
        </w:trPr>
        <w:tc>
          <w:tcPr>
            <w:tcW w:w="68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680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3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20,586</w:t>
            </w:r>
          </w:p>
        </w:tc>
      </w:tr>
      <w:tr>
        <w:trPr>
          <w:trHeight w:val="185"/>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82"/>
        </w:trPr>
        <w:tc>
          <w:tcPr>
            <w:tcW w:w="6800" w:type="dxa"/>
            <w:vAlign w:val="bottom"/>
            <w:shd w:val="clear" w:color="auto" w:fill="DDDDDD"/>
          </w:tcPr>
          <w:p>
            <w:pPr>
              <w:ind w:left="240"/>
              <w:spacing w:after="0" w:line="182" w:lineRule="exact"/>
              <w:rPr>
                <w:sz w:val="20"/>
                <w:szCs w:val="20"/>
                <w:color w:val="auto"/>
              </w:rPr>
            </w:pPr>
            <w:r>
              <w:rPr>
                <w:rFonts w:ascii="Times New Roman" w:cs="Times New Roman" w:eastAsia="Times New Roman" w:hAnsi="Times New Roman"/>
                <w:sz w:val="16"/>
                <w:szCs w:val="16"/>
                <w:color w:val="auto"/>
              </w:rPr>
              <w:t>Inventory, net</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1,672</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2,566</w:t>
            </w:r>
          </w:p>
        </w:tc>
      </w:tr>
      <w:tr>
        <w:trPr>
          <w:trHeight w:val="185"/>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182"/>
        </w:trPr>
        <w:tc>
          <w:tcPr>
            <w:tcW w:w="6800" w:type="dxa"/>
            <w:vAlign w:val="bottom"/>
            <w:shd w:val="clear" w:color="auto" w:fill="DDDDDD"/>
          </w:tcPr>
          <w:p>
            <w:pPr>
              <w:ind w:left="240"/>
              <w:spacing w:after="0" w:line="182" w:lineRule="exact"/>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316</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222</w:t>
            </w:r>
          </w:p>
        </w:tc>
      </w:tr>
      <w:tr>
        <w:trPr>
          <w:trHeight w:val="174"/>
        </w:trPr>
        <w:tc>
          <w:tcPr>
            <w:tcW w:w="6800" w:type="dxa"/>
            <w:vAlign w:val="bottom"/>
          </w:tcPr>
          <w:p>
            <w:pPr>
              <w:ind w:left="480"/>
              <w:spacing w:after="0" w:line="175" w:lineRule="exact"/>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20,082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25,349</w:t>
            </w:r>
          </w:p>
        </w:tc>
      </w:tr>
      <w:tr>
        <w:trPr>
          <w:trHeight w:val="185"/>
        </w:trPr>
        <w:tc>
          <w:tcPr>
            <w:tcW w:w="6800" w:type="dxa"/>
            <w:vAlign w:val="bottom"/>
            <w:shd w:val="clear" w:color="auto" w:fill="DDDDDD"/>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2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1,961</w:t>
            </w:r>
          </w:p>
        </w:tc>
      </w:tr>
      <w:tr>
        <w:trPr>
          <w:trHeight w:val="185"/>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net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82"/>
        </w:trPr>
        <w:tc>
          <w:tcPr>
            <w:tcW w:w="6800" w:type="dxa"/>
            <w:vAlign w:val="bottom"/>
            <w:shd w:val="clear" w:color="auto" w:fill="DDDDDD"/>
          </w:tcPr>
          <w:p>
            <w:pPr>
              <w:spacing w:after="0" w:line="182" w:lineRule="exact"/>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6,969</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6,969</w:t>
            </w:r>
          </w:p>
        </w:tc>
      </w:tr>
      <w:tr>
        <w:trPr>
          <w:trHeight w:val="185"/>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Goodwill, net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13,967</w:t>
            </w:r>
          </w:p>
        </w:tc>
      </w:tr>
      <w:tr>
        <w:trPr>
          <w:trHeight w:val="205"/>
        </w:trPr>
        <w:tc>
          <w:tcPr>
            <w:tcW w:w="68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61"/>
        </w:trPr>
        <w:tc>
          <w:tcPr>
            <w:tcW w:w="6800" w:type="dxa"/>
            <w:vAlign w:val="bottom"/>
            <w:tcBorders>
              <w:bottom w:val="single" w:sz="8" w:color="DDDDDD"/>
            </w:tcBorders>
          </w:tcPr>
          <w:p>
            <w:pPr>
              <w:ind w:left="480"/>
              <w:spacing w:after="0" w:line="152" w:lineRule="exact"/>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43,253</w:t>
            </w:r>
          </w:p>
        </w:tc>
        <w:tc>
          <w:tcPr>
            <w:tcW w:w="240" w:type="dxa"/>
            <w:vAlign w:val="bottom"/>
            <w:tcBorders>
              <w:bottom w:val="single" w:sz="8" w:color="DDDDDD"/>
            </w:tcBorders>
          </w:tcPr>
          <w:p>
            <w:pPr>
              <w:spacing w:after="0"/>
              <w:rPr>
                <w:sz w:val="13"/>
                <w:szCs w:val="13"/>
                <w:color w:val="auto"/>
              </w:rPr>
            </w:pPr>
          </w:p>
        </w:tc>
        <w:tc>
          <w:tcPr>
            <w:tcW w:w="20" w:type="dxa"/>
            <w:vAlign w:val="bottom"/>
            <w:tcBorders>
              <w:bottom w:val="single" w:sz="8" w:color="DDDDDD"/>
            </w:tcBorders>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48,448</w:t>
            </w:r>
          </w:p>
        </w:tc>
      </w:tr>
      <w:tr>
        <w:trPr>
          <w:trHeight w:val="187"/>
        </w:trPr>
        <w:tc>
          <w:tcPr>
            <w:tcW w:w="6800" w:type="dxa"/>
            <w:vAlign w:val="bottom"/>
            <w:shd w:val="clear" w:color="auto" w:fill="DDDDDD"/>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r>
      <w:tr>
        <w:trPr>
          <w:trHeight w:val="182"/>
        </w:trPr>
        <w:tc>
          <w:tcPr>
            <w:tcW w:w="68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680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3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2,840</w:t>
            </w:r>
          </w:p>
        </w:tc>
      </w:tr>
      <w:tr>
        <w:trPr>
          <w:trHeight w:val="185"/>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r>
      <w:tr>
        <w:trPr>
          <w:trHeight w:val="182"/>
        </w:trPr>
        <w:tc>
          <w:tcPr>
            <w:tcW w:w="6800" w:type="dxa"/>
            <w:vAlign w:val="bottom"/>
            <w:shd w:val="clear" w:color="auto" w:fill="DDDDDD"/>
          </w:tcPr>
          <w:p>
            <w:pPr>
              <w:ind w:left="240"/>
              <w:spacing w:after="0" w:line="182" w:lineRule="exact"/>
              <w:rPr>
                <w:sz w:val="20"/>
                <w:szCs w:val="20"/>
                <w:color w:val="auto"/>
              </w:rPr>
            </w:pPr>
            <w:r>
              <w:rPr>
                <w:rFonts w:ascii="Times New Roman" w:cs="Times New Roman" w:eastAsia="Times New Roman" w:hAnsi="Times New Roman"/>
                <w:sz w:val="16"/>
                <w:szCs w:val="16"/>
                <w:color w:val="auto"/>
              </w:rPr>
              <w:t>Operating lease liabilities, current</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155</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143</w:t>
            </w:r>
          </w:p>
        </w:tc>
      </w:tr>
      <w:tr>
        <w:trPr>
          <w:trHeight w:val="185"/>
        </w:trPr>
        <w:tc>
          <w:tcPr>
            <w:tcW w:w="6800" w:type="dxa"/>
            <w:vAlign w:val="bottom"/>
            <w:tcBorders>
              <w:bottom w:val="single" w:sz="8" w:color="DDDDDD"/>
            </w:tcBorders>
          </w:tcPr>
          <w:p>
            <w:pPr>
              <w:ind w:left="2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174"/>
        </w:trPr>
        <w:tc>
          <w:tcPr>
            <w:tcW w:w="6800" w:type="dxa"/>
            <w:vAlign w:val="bottom"/>
            <w:shd w:val="clear" w:color="auto" w:fill="DDDDDD"/>
          </w:tcPr>
          <w:p>
            <w:pPr>
              <w:ind w:left="480"/>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8,233</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7,763</w:t>
            </w:r>
          </w:p>
        </w:tc>
      </w:tr>
      <w:tr>
        <w:trPr>
          <w:trHeight w:val="182"/>
        </w:trPr>
        <w:tc>
          <w:tcPr>
            <w:tcW w:w="68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Operating lease liabilities, long-term</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563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46</w:t>
            </w:r>
          </w:p>
        </w:tc>
      </w:tr>
      <w:tr>
        <w:trPr>
          <w:trHeight w:val="185"/>
        </w:trPr>
        <w:tc>
          <w:tcPr>
            <w:tcW w:w="6800" w:type="dxa"/>
            <w:vAlign w:val="bottom"/>
            <w:shd w:val="clear" w:color="auto" w:fill="DDDDDD"/>
          </w:tcPr>
          <w:p>
            <w:pPr>
              <w:spacing w:after="0"/>
              <w:rPr>
                <w:sz w:val="20"/>
                <w:szCs w:val="20"/>
                <w:color w:val="auto"/>
              </w:rPr>
            </w:pPr>
            <w:r>
              <w:rPr>
                <w:rFonts w:ascii="Times New Roman" w:cs="Times New Roman" w:eastAsia="Times New Roman" w:hAnsi="Times New Roman"/>
                <w:sz w:val="16"/>
                <w:szCs w:val="16"/>
                <w:color w:val="auto"/>
              </w:rPr>
              <w:t>Convertible notes payable, net</w:t>
            </w: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21,040</w:t>
            </w:r>
          </w:p>
        </w:tc>
        <w:tc>
          <w:tcPr>
            <w:tcW w:w="2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16,076</w:t>
            </w:r>
          </w:p>
        </w:tc>
      </w:tr>
      <w:tr>
        <w:trPr>
          <w:trHeight w:val="185"/>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182"/>
        </w:trPr>
        <w:tc>
          <w:tcPr>
            <w:tcW w:w="6800" w:type="dxa"/>
            <w:vAlign w:val="bottom"/>
            <w:shd w:val="clear" w:color="auto" w:fill="DDDDDD"/>
          </w:tcPr>
          <w:p>
            <w:pPr>
              <w:spacing w:after="0" w:line="182" w:lineRule="exact"/>
              <w:rPr>
                <w:sz w:val="20"/>
                <w:szCs w:val="20"/>
                <w:color w:val="auto"/>
              </w:rPr>
            </w:pPr>
            <w:r>
              <w:rPr>
                <w:rFonts w:ascii="Times New Roman" w:cs="Times New Roman" w:eastAsia="Times New Roman" w:hAnsi="Times New Roman"/>
                <w:sz w:val="16"/>
                <w:szCs w:val="16"/>
                <w:color w:val="auto"/>
              </w:rPr>
              <w:t>Deferred tax liabilities, net</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883</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883</w:t>
            </w:r>
          </w:p>
        </w:tc>
      </w:tr>
      <w:tr>
        <w:trPr>
          <w:trHeight w:val="185"/>
        </w:trPr>
        <w:tc>
          <w:tcPr>
            <w:tcW w:w="68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r>
      <w:tr>
        <w:trPr>
          <w:trHeight w:val="174"/>
        </w:trPr>
        <w:tc>
          <w:tcPr>
            <w:tcW w:w="6800" w:type="dxa"/>
            <w:vAlign w:val="bottom"/>
            <w:shd w:val="clear" w:color="auto" w:fill="DDDDDD"/>
          </w:tcPr>
          <w:p>
            <w:pPr>
              <w:ind w:left="480"/>
              <w:spacing w:after="0" w:line="175" w:lineRule="exact"/>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30,851</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28,536</w:t>
            </w:r>
          </w:p>
        </w:tc>
      </w:tr>
      <w:tr>
        <w:trPr>
          <w:trHeight w:val="174"/>
        </w:trPr>
        <w:tc>
          <w:tcPr>
            <w:tcW w:w="68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Commitments and contingencies (Note 12)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6800" w:type="dxa"/>
            <w:vAlign w:val="bottom"/>
            <w:shd w:val="clear" w:color="auto" w:fill="DDDDDD"/>
          </w:tcPr>
          <w:p>
            <w:pPr>
              <w:spacing w:after="0" w:line="182" w:lineRule="exact"/>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r>
      <w:tr>
        <w:trPr>
          <w:trHeight w:val="171"/>
        </w:trPr>
        <w:tc>
          <w:tcPr>
            <w:tcW w:w="6800" w:type="dxa"/>
            <w:vAlign w:val="bottom"/>
          </w:tcPr>
          <w:p>
            <w:pPr>
              <w:ind w:left="480"/>
              <w:spacing w:after="0" w:line="171" w:lineRule="exact"/>
              <w:rPr>
                <w:sz w:val="20"/>
                <w:szCs w:val="20"/>
                <w:color w:val="auto"/>
              </w:rPr>
            </w:pPr>
            <w:r>
              <w:rPr>
                <w:rFonts w:ascii="Times New Roman" w:cs="Times New Roman" w:eastAsia="Times New Roman" w:hAnsi="Times New Roman"/>
                <w:sz w:val="16"/>
                <w:szCs w:val="16"/>
                <w:color w:val="auto"/>
              </w:rPr>
              <w:t>Common stock, $0.0001 par value; 210,000,000 shares authorized at December 31, 2025 and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3"/>
        </w:trPr>
        <w:tc>
          <w:tcPr>
            <w:tcW w:w="6800" w:type="dxa"/>
            <w:vAlign w:val="bottom"/>
          </w:tcPr>
          <w:p>
            <w:pPr>
              <w:ind w:left="480"/>
              <w:spacing w:after="0" w:line="183" w:lineRule="exact"/>
              <w:rPr>
                <w:sz w:val="20"/>
                <w:szCs w:val="20"/>
                <w:color w:val="auto"/>
              </w:rPr>
            </w:pPr>
            <w:r>
              <w:rPr>
                <w:rFonts w:ascii="Times New Roman" w:cs="Times New Roman" w:eastAsia="Times New Roman" w:hAnsi="Times New Roman"/>
                <w:sz w:val="16"/>
                <w:szCs w:val="16"/>
                <w:color w:val="auto"/>
              </w:rPr>
              <w:t>December 31, 2024; 22,210,459 and 15,198,232 shares issued and outstanding at December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9"/>
        </w:trPr>
        <w:tc>
          <w:tcPr>
            <w:tcW w:w="6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2025 and December 31, 2024, respectively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85"/>
        </w:trPr>
        <w:tc>
          <w:tcPr>
            <w:tcW w:w="680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108,108</w:t>
            </w:r>
          </w:p>
        </w:tc>
        <w:tc>
          <w:tcPr>
            <w:tcW w:w="2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90,495</w:t>
            </w:r>
          </w:p>
        </w:tc>
      </w:tr>
      <w:tr>
        <w:trPr>
          <w:trHeight w:val="185"/>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82"/>
        </w:trPr>
        <w:tc>
          <w:tcPr>
            <w:tcW w:w="6800" w:type="dxa"/>
            <w:vAlign w:val="bottom"/>
            <w:shd w:val="clear" w:color="auto" w:fill="DDDDDD"/>
          </w:tcPr>
          <w:p>
            <w:pPr>
              <w:ind w:left="240"/>
              <w:spacing w:after="0" w:line="182" w:lineRule="exact"/>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(95,609)</w:t>
            </w:r>
          </w:p>
        </w:tc>
        <w:tc>
          <w:tcPr>
            <w:tcW w:w="2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(70,586)</w:t>
            </w:r>
          </w:p>
        </w:tc>
      </w:tr>
      <w:tr>
        <w:trPr>
          <w:trHeight w:val="174"/>
        </w:trPr>
        <w:tc>
          <w:tcPr>
            <w:tcW w:w="6800" w:type="dxa"/>
            <w:vAlign w:val="bottom"/>
            <w:tcBorders>
              <w:bottom w:val="single" w:sz="8" w:color="DDDDDD"/>
            </w:tcBorders>
          </w:tcPr>
          <w:p>
            <w:pPr>
              <w:ind w:left="480"/>
              <w:spacing w:after="0" w:line="175" w:lineRule="exact"/>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12,402</w:t>
            </w:r>
          </w:p>
        </w:tc>
        <w:tc>
          <w:tcPr>
            <w:tcW w:w="24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19,912</w:t>
            </w:r>
          </w:p>
        </w:tc>
      </w:tr>
      <w:tr>
        <w:trPr>
          <w:trHeight w:val="183"/>
        </w:trPr>
        <w:tc>
          <w:tcPr>
            <w:tcW w:w="6800" w:type="dxa"/>
            <w:vAlign w:val="bottom"/>
            <w:shd w:val="clear" w:color="auto" w:fill="DDDDDD"/>
          </w:tcPr>
          <w:p>
            <w:pPr>
              <w:ind w:left="480"/>
              <w:spacing w:after="0" w:line="175"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shd w:val="clear" w:color="auto" w:fill="DDDDDD"/>
          </w:tcPr>
          <w:p>
            <w:pPr>
              <w:spacing w:after="0"/>
              <w:rPr>
                <w:sz w:val="15"/>
                <w:szCs w:val="15"/>
                <w:color w:val="auto"/>
              </w:rPr>
            </w:pPr>
          </w:p>
        </w:tc>
        <w:tc>
          <w:tcPr>
            <w:tcW w:w="120" w:type="dxa"/>
            <w:vAlign w:val="bottom"/>
            <w:tcBorders>
              <w:bottom w:val="single" w:sz="8" w:color="auto"/>
            </w:tcBorders>
            <w:gridSpan w:val="2"/>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43,253</w:t>
            </w:r>
          </w:p>
        </w:tc>
        <w:tc>
          <w:tcPr>
            <w:tcW w:w="240" w:type="dxa"/>
            <w:vAlign w:val="bottom"/>
            <w:shd w:val="clear" w:color="auto" w:fill="DDDDDD"/>
          </w:tcPr>
          <w:p>
            <w:pPr>
              <w:spacing w:after="0"/>
              <w:rPr>
                <w:sz w:val="15"/>
                <w:szCs w:val="15"/>
                <w:color w:val="auto"/>
              </w:rPr>
            </w:pPr>
          </w:p>
        </w:tc>
        <w:tc>
          <w:tcPr>
            <w:tcW w:w="120" w:type="dxa"/>
            <w:vAlign w:val="bottom"/>
            <w:tcBorders>
              <w:bottom w:val="single" w:sz="8" w:color="auto"/>
            </w:tcBorders>
            <w:gridSpan w:val="2"/>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48,448</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720"/>
          </w:cols>
          <w:pgMar w:left="1260" w:top="1244" w:right="1260" w:bottom="719"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7"/>
                <w:szCs w:val="17"/>
                <w:color w:val="auto"/>
              </w:rPr>
            </w:pPr>
          </w:p>
        </w:tc>
      </w:tr>
      <w:tr>
        <w:trPr>
          <w:trHeight w:val="174"/>
        </w:trPr>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4"/>
        </w:trPr>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54"/>
        </w:trPr>
        <w:tc>
          <w:tcPr>
            <w:tcW w:w="5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60"/>
              <w:spacing w:after="0" w:line="154"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rPr>
              <w:t>January 1 to</w:t>
            </w:r>
          </w:p>
        </w:tc>
      </w:tr>
      <w:tr>
        <w:trPr>
          <w:trHeight w:val="203"/>
        </w:trPr>
        <w:tc>
          <w:tcPr>
            <w:tcW w:w="58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DDDDDD"/>
              <w:right w:val="single" w:sz="8" w:color="auto"/>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July 30</w:t>
            </w:r>
          </w:p>
        </w:tc>
      </w:tr>
      <w:tr>
        <w:trPr>
          <w:trHeight w:val="174"/>
        </w:trPr>
        <w:tc>
          <w:tcPr>
            <w:tcW w:w="5900" w:type="dxa"/>
            <w:vAlign w:val="bottom"/>
            <w:gridSpan w:val="2"/>
            <w:shd w:val="clear" w:color="auto" w:fill="DDDDDD"/>
          </w:tcPr>
          <w:p>
            <w:pPr>
              <w:spacing w:after="0" w:line="175" w:lineRule="exact"/>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269</w:t>
            </w:r>
          </w:p>
        </w:tc>
        <w:tc>
          <w:tcPr>
            <w:tcW w:w="240" w:type="dxa"/>
            <w:vAlign w:val="bottom"/>
            <w:tcBorders>
              <w:right w:val="single" w:sz="8" w:color="auto"/>
            </w:tcBorders>
            <w:shd w:val="clear" w:color="auto" w:fill="DDDDDD"/>
          </w:tcPr>
          <w:p>
            <w:pPr>
              <w:spacing w:after="0"/>
              <w:rPr>
                <w:sz w:val="15"/>
                <w:szCs w:val="15"/>
                <w:color w:val="auto"/>
              </w:rPr>
            </w:pPr>
          </w:p>
        </w:tc>
        <w:tc>
          <w:tcPr>
            <w:tcW w:w="360" w:type="dxa"/>
            <w:vAlign w:val="bottom"/>
            <w:gridSpan w:val="3"/>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333</w:t>
            </w:r>
          </w:p>
        </w:tc>
      </w:tr>
      <w:tr>
        <w:trPr>
          <w:trHeight w:val="174"/>
        </w:trPr>
        <w:tc>
          <w:tcPr>
            <w:tcW w:w="59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Cost of revenue and operating expenses:</w:t>
            </w: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185"/>
        </w:trPr>
        <w:tc>
          <w:tcPr>
            <w:tcW w:w="5900" w:type="dxa"/>
            <w:vAlign w:val="bottom"/>
            <w:gridSpan w:val="2"/>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shd w:val="clear" w:color="auto" w:fill="DDDDDD"/>
          </w:tcPr>
          <w:p>
            <w:pPr>
              <w:spacing w:after="0"/>
              <w:rPr>
                <w:sz w:val="16"/>
                <w:szCs w:val="16"/>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2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40" w:type="dxa"/>
            <w:vAlign w:val="bottom"/>
            <w:tcBorders>
              <w:right w:val="single" w:sz="8" w:color="auto"/>
            </w:tcBorders>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182"/>
        </w:trPr>
        <w:tc>
          <w:tcPr>
            <w:tcW w:w="590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10,639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4,634</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7,585</w:t>
            </w:r>
          </w:p>
        </w:tc>
      </w:tr>
      <w:tr>
        <w:trPr>
          <w:trHeight w:val="185"/>
        </w:trPr>
        <w:tc>
          <w:tcPr>
            <w:tcW w:w="5900" w:type="dxa"/>
            <w:vAlign w:val="bottom"/>
            <w:gridSpan w:val="2"/>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DDDDDD"/>
          </w:tcPr>
          <w:p>
            <w:pPr>
              <w:spacing w:after="0"/>
              <w:rPr>
                <w:sz w:val="16"/>
                <w:szCs w:val="16"/>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22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40" w:type="dxa"/>
            <w:vAlign w:val="bottom"/>
            <w:tcBorders>
              <w:right w:val="single" w:sz="8" w:color="auto"/>
            </w:tcBorders>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13,047</w:t>
            </w:r>
          </w:p>
        </w:tc>
      </w:tr>
      <w:tr>
        <w:trPr>
          <w:trHeight w:val="185"/>
        </w:trPr>
        <w:tc>
          <w:tcPr>
            <w:tcW w:w="5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Impairment - Goodwill</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5900" w:type="dxa"/>
            <w:vAlign w:val="bottom"/>
            <w:gridSpan w:val="2"/>
            <w:shd w:val="clear" w:color="auto" w:fill="DDDDDD"/>
          </w:tcPr>
          <w:p>
            <w:pPr>
              <w:ind w:left="240"/>
              <w:spacing w:after="0" w:line="182" w:lineRule="exact"/>
              <w:rPr>
                <w:sz w:val="20"/>
                <w:szCs w:val="20"/>
                <w:color w:val="auto"/>
              </w:rPr>
            </w:pPr>
            <w:r>
              <w:rPr>
                <w:rFonts w:ascii="Times New Roman" w:cs="Times New Roman" w:eastAsia="Times New Roman" w:hAnsi="Times New Roman"/>
                <w:sz w:val="16"/>
                <w:szCs w:val="16"/>
                <w:color w:val="auto"/>
              </w:rPr>
              <w:t>Impairment - Intangible assets, net</w:t>
            </w:r>
          </w:p>
        </w:tc>
        <w:tc>
          <w:tcPr>
            <w:tcW w:w="18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4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18,878</w:t>
            </w:r>
          </w:p>
        </w:tc>
        <w:tc>
          <w:tcPr>
            <w:tcW w:w="240" w:type="dxa"/>
            <w:vAlign w:val="bottom"/>
            <w:tcBorders>
              <w:right w:val="single" w:sz="8" w:color="auto"/>
            </w:tcBorders>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5900" w:type="dxa"/>
            <w:vAlign w:val="bottom"/>
            <w:tcBorders>
              <w:bottom w:val="single" w:sz="8" w:color="DDDDDD"/>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 and operating expenses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21,890</w:t>
            </w:r>
          </w:p>
        </w:tc>
        <w:tc>
          <w:tcPr>
            <w:tcW w:w="22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62,749</w:t>
            </w:r>
          </w:p>
        </w:tc>
        <w:tc>
          <w:tcPr>
            <w:tcW w:w="240" w:type="dxa"/>
            <w:vAlign w:val="bottom"/>
            <w:tcBorders>
              <w:bottom w:val="single" w:sz="8" w:color="DDDDDD"/>
              <w:right w:val="single" w:sz="8" w:color="auto"/>
            </w:tcBorders>
          </w:tcPr>
          <w:p>
            <w:pPr>
              <w:spacing w:after="0"/>
              <w:rPr>
                <w:sz w:val="15"/>
                <w:szCs w:val="15"/>
                <w:color w:val="auto"/>
              </w:rPr>
            </w:pPr>
          </w:p>
        </w:tc>
        <w:tc>
          <w:tcPr>
            <w:tcW w:w="20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22,013</w:t>
            </w:r>
          </w:p>
        </w:tc>
      </w:tr>
      <w:tr>
        <w:trPr>
          <w:trHeight w:val="175"/>
        </w:trPr>
        <w:tc>
          <w:tcPr>
            <w:tcW w:w="5900" w:type="dxa"/>
            <w:vAlign w:val="bottom"/>
            <w:gridSpan w:val="2"/>
            <w:shd w:val="clear" w:color="auto" w:fill="DDDDDD"/>
          </w:tcPr>
          <w:p>
            <w:pPr>
              <w:spacing w:after="0" w:line="175" w:lineRule="exact"/>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DDDDDD"/>
          </w:tcPr>
          <w:p>
            <w:pPr>
              <w:spacing w:after="0"/>
              <w:rPr>
                <w:sz w:val="15"/>
                <w:szCs w:val="15"/>
                <w:color w:val="auto"/>
              </w:rPr>
            </w:pPr>
          </w:p>
        </w:tc>
        <w:tc>
          <w:tcPr>
            <w:tcW w:w="92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(21,890)</w:t>
            </w:r>
          </w:p>
        </w:tc>
        <w:tc>
          <w:tcPr>
            <w:tcW w:w="22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94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(62,480)</w:t>
            </w:r>
          </w:p>
        </w:tc>
        <w:tc>
          <w:tcPr>
            <w:tcW w:w="240" w:type="dxa"/>
            <w:vAlign w:val="bottom"/>
            <w:tcBorders>
              <w:right w:val="single" w:sz="8" w:color="auto"/>
            </w:tcBorders>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96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(21,680)</w:t>
            </w:r>
          </w:p>
        </w:tc>
      </w:tr>
      <w:tr>
        <w:trPr>
          <w:trHeight w:val="185"/>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2"/>
        </w:trPr>
        <w:tc>
          <w:tcPr>
            <w:tcW w:w="5900" w:type="dxa"/>
            <w:vAlign w:val="bottom"/>
            <w:gridSpan w:val="2"/>
            <w:shd w:val="clear" w:color="auto" w:fill="DDDDDD"/>
          </w:tcPr>
          <w:p>
            <w:pPr>
              <w:ind w:left="240"/>
              <w:spacing w:after="0" w:line="182" w:lineRule="exact"/>
              <w:rPr>
                <w:sz w:val="20"/>
                <w:szCs w:val="20"/>
                <w:color w:val="auto"/>
              </w:rPr>
            </w:pPr>
            <w:r>
              <w:rPr>
                <w:rFonts w:ascii="Times New Roman" w:cs="Times New Roman" w:eastAsia="Times New Roman" w:hAnsi="Times New Roman"/>
                <w:sz w:val="16"/>
                <w:szCs w:val="16"/>
                <w:color w:val="auto"/>
              </w:rPr>
              <w:t>Convertible notes fair value adjustment</w:t>
            </w:r>
          </w:p>
        </w:tc>
        <w:tc>
          <w:tcPr>
            <w:tcW w:w="180" w:type="dxa"/>
            <w:vAlign w:val="bottom"/>
            <w:shd w:val="clear" w:color="auto" w:fill="DDDDDD"/>
          </w:tcPr>
          <w:p>
            <w:pPr>
              <w:spacing w:after="0"/>
              <w:rPr>
                <w:sz w:val="15"/>
                <w:szCs w:val="15"/>
                <w:color w:val="auto"/>
              </w:rPr>
            </w:pPr>
          </w:p>
        </w:tc>
        <w:tc>
          <w:tcPr>
            <w:tcW w:w="92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(980)</w:t>
            </w:r>
          </w:p>
        </w:tc>
        <w:tc>
          <w:tcPr>
            <w:tcW w:w="22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94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929</w:t>
            </w:r>
          </w:p>
        </w:tc>
        <w:tc>
          <w:tcPr>
            <w:tcW w:w="240" w:type="dxa"/>
            <w:vAlign w:val="bottom"/>
            <w:tcBorders>
              <w:right w:val="single" w:sz="8" w:color="auto"/>
            </w:tcBorders>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960" w:type="dxa"/>
            <w:vAlign w:val="bottom"/>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2,059</w:t>
            </w:r>
          </w:p>
        </w:tc>
      </w:tr>
      <w:tr>
        <w:trPr>
          <w:trHeight w:val="185"/>
        </w:trPr>
        <w:tc>
          <w:tcPr>
            <w:tcW w:w="5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Warrant liabilities fair value adjustment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185"/>
        </w:trPr>
        <w:tc>
          <w:tcPr>
            <w:tcW w:w="5900" w:type="dxa"/>
            <w:vAlign w:val="bottom"/>
            <w:gridSpan w:val="2"/>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DDDDDD"/>
          </w:tcPr>
          <w:p>
            <w:pPr>
              <w:spacing w:after="0"/>
              <w:rPr>
                <w:sz w:val="16"/>
                <w:szCs w:val="16"/>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22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240" w:type="dxa"/>
            <w:vAlign w:val="bottom"/>
            <w:tcBorders>
              <w:right w:val="single" w:sz="8" w:color="auto"/>
            </w:tcBorders>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(1,818)</w:t>
            </w:r>
          </w:p>
        </w:tc>
      </w:tr>
      <w:tr>
        <w:trPr>
          <w:trHeight w:val="182"/>
        </w:trPr>
        <w:tc>
          <w:tcPr>
            <w:tcW w:w="590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477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420</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w:t>
            </w:r>
          </w:p>
        </w:tc>
      </w:tr>
      <w:tr>
        <w:trPr>
          <w:trHeight w:val="185"/>
        </w:trPr>
        <w:tc>
          <w:tcPr>
            <w:tcW w:w="5900" w:type="dxa"/>
            <w:vAlign w:val="bottom"/>
            <w:gridSpan w:val="2"/>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auto"/>
            </w:tcBorders>
            <w:shd w:val="clear" w:color="auto" w:fill="DDDDDD"/>
          </w:tcPr>
          <w:p>
            <w:pPr>
              <w:spacing w:after="0"/>
              <w:rPr>
                <w:sz w:val="16"/>
                <w:szCs w:val="16"/>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240" w:type="dxa"/>
            <w:vAlign w:val="bottom"/>
            <w:tcBorders>
              <w:right w:val="single" w:sz="8" w:color="auto"/>
            </w:tcBorders>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74"/>
        </w:trPr>
        <w:tc>
          <w:tcPr>
            <w:tcW w:w="5900" w:type="dxa"/>
            <w:vAlign w:val="bottom"/>
            <w:tcBorders>
              <w:bottom w:val="single" w:sz="8" w:color="DDDDDD"/>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other (loss) income, net</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(3,194)</w:t>
            </w:r>
          </w:p>
        </w:tc>
        <w:tc>
          <w:tcPr>
            <w:tcW w:w="22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8,717</w:t>
            </w:r>
          </w:p>
        </w:tc>
        <w:tc>
          <w:tcPr>
            <w:tcW w:w="240" w:type="dxa"/>
            <w:vAlign w:val="bottom"/>
            <w:tcBorders>
              <w:bottom w:val="single" w:sz="8" w:color="DDDDDD"/>
              <w:right w:val="single" w:sz="8" w:color="auto"/>
            </w:tcBorders>
          </w:tcPr>
          <w:p>
            <w:pPr>
              <w:spacing w:after="0"/>
              <w:rPr>
                <w:sz w:val="15"/>
                <w:szCs w:val="15"/>
                <w:color w:val="auto"/>
              </w:rPr>
            </w:pPr>
          </w:p>
        </w:tc>
        <w:tc>
          <w:tcPr>
            <w:tcW w:w="20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402</w:t>
            </w:r>
          </w:p>
        </w:tc>
      </w:tr>
      <w:tr>
        <w:trPr>
          <w:trHeight w:val="183"/>
        </w:trPr>
        <w:tc>
          <w:tcPr>
            <w:tcW w:w="5900" w:type="dxa"/>
            <w:vAlign w:val="bottom"/>
            <w:gridSpan w:val="2"/>
            <w:shd w:val="clear" w:color="auto" w:fill="DDDDDD"/>
          </w:tcPr>
          <w:p>
            <w:pPr>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(25,084)</w:t>
            </w:r>
          </w:p>
        </w:tc>
        <w:tc>
          <w:tcPr>
            <w:tcW w:w="420" w:type="dxa"/>
            <w:vAlign w:val="bottom"/>
            <w:gridSpan w:val="3"/>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(53,763)</w:t>
            </w:r>
          </w:p>
        </w:tc>
        <w:tc>
          <w:tcPr>
            <w:tcW w:w="240" w:type="dxa"/>
            <w:vAlign w:val="bottom"/>
            <w:tcBorders>
              <w:right w:val="single" w:sz="8" w:color="auto"/>
            </w:tcBorders>
            <w:shd w:val="clear" w:color="auto" w:fill="DDDDDD"/>
          </w:tcPr>
          <w:p>
            <w:pPr>
              <w:spacing w:after="0"/>
              <w:rPr>
                <w:sz w:val="15"/>
                <w:szCs w:val="15"/>
                <w:color w:val="auto"/>
              </w:rPr>
            </w:pPr>
          </w:p>
        </w:tc>
        <w:tc>
          <w:tcPr>
            <w:tcW w:w="360" w:type="dxa"/>
            <w:vAlign w:val="bottom"/>
            <w:gridSpan w:val="3"/>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DDDDDD"/>
          </w:tcPr>
          <w:p>
            <w:pPr>
              <w:jc w:val="right"/>
              <w:spacing w:after="0" w:line="175" w:lineRule="exact"/>
              <w:rPr>
                <w:sz w:val="20"/>
                <w:szCs w:val="20"/>
                <w:color w:val="auto"/>
              </w:rPr>
            </w:pPr>
            <w:r>
              <w:rPr>
                <w:rFonts w:ascii="Times New Roman" w:cs="Times New Roman" w:eastAsia="Times New Roman" w:hAnsi="Times New Roman"/>
                <w:sz w:val="16"/>
                <w:szCs w:val="16"/>
                <w:color w:val="auto"/>
              </w:rPr>
              <w:t>(21,278)</w:t>
            </w:r>
          </w:p>
        </w:tc>
      </w:tr>
      <w:tr>
        <w:trPr>
          <w:trHeight w:val="185"/>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182"/>
        </w:trPr>
        <w:tc>
          <w:tcPr>
            <w:tcW w:w="5900" w:type="dxa"/>
            <w:vAlign w:val="bottom"/>
            <w:gridSpan w:val="2"/>
            <w:shd w:val="clear" w:color="auto" w:fill="DDDDDD"/>
          </w:tcPr>
          <w:p>
            <w:pPr>
              <w:spacing w:after="0" w:line="182"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4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right w:val="single" w:sz="8" w:color="auto"/>
            </w:tcBorders>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jc w:val="right"/>
              <w:spacing w:after="0" w:line="182" w:lineRule="exact"/>
              <w:rPr>
                <w:sz w:val="20"/>
                <w:szCs w:val="20"/>
                <w:color w:val="auto"/>
              </w:rPr>
            </w:pPr>
            <w:r>
              <w:rPr>
                <w:rFonts w:ascii="Times New Roman" w:cs="Times New Roman" w:eastAsia="Times New Roman" w:hAnsi="Times New Roman"/>
                <w:sz w:val="16"/>
                <w:szCs w:val="16"/>
                <w:color w:val="auto"/>
              </w:rPr>
              <w:t>3</w:t>
            </w:r>
          </w:p>
        </w:tc>
      </w:tr>
      <w:tr>
        <w:trPr>
          <w:trHeight w:val="183"/>
        </w:trPr>
        <w:tc>
          <w:tcPr>
            <w:tcW w:w="5900" w:type="dxa"/>
            <w:vAlign w:val="bottom"/>
            <w:tcBorders>
              <w:bottom w:val="single" w:sz="8" w:color="DDDDDD"/>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(25,184)</w:t>
            </w:r>
          </w:p>
        </w:tc>
        <w:tc>
          <w:tcPr>
            <w:tcW w:w="22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(53,762)</w:t>
            </w:r>
          </w:p>
        </w:tc>
        <w:tc>
          <w:tcPr>
            <w:tcW w:w="240" w:type="dxa"/>
            <w:vAlign w:val="bottom"/>
            <w:tcBorders>
              <w:bottom w:val="single" w:sz="8" w:color="DDDDDD"/>
              <w:right w:val="single" w:sz="8" w:color="auto"/>
            </w:tcBorders>
          </w:tcPr>
          <w:p>
            <w:pPr>
              <w:spacing w:after="0"/>
              <w:rPr>
                <w:sz w:val="15"/>
                <w:szCs w:val="15"/>
                <w:color w:val="auto"/>
              </w:rPr>
            </w:pPr>
          </w:p>
        </w:tc>
        <w:tc>
          <w:tcPr>
            <w:tcW w:w="20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(21,275)</w:t>
            </w:r>
          </w:p>
        </w:tc>
      </w:tr>
      <w:tr>
        <w:trPr>
          <w:trHeight w:val="205"/>
        </w:trPr>
        <w:tc>
          <w:tcPr>
            <w:tcW w:w="588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spacing w:after="0"/>
              <w:rPr>
                <w:sz w:val="17"/>
                <w:szCs w:val="17"/>
                <w:color w:val="auto"/>
              </w:rPr>
            </w:pPr>
          </w:p>
        </w:tc>
        <w:tc>
          <w:tcPr>
            <w:tcW w:w="240" w:type="dxa"/>
            <w:vAlign w:val="bottom"/>
            <w:tcBorders>
              <w:bottom w:val="single" w:sz="8" w:color="DDDDDD"/>
              <w:right w:val="single" w:sz="8" w:color="auto"/>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r>
      <w:tr>
        <w:trPr>
          <w:trHeight w:val="163"/>
        </w:trPr>
        <w:tc>
          <w:tcPr>
            <w:tcW w:w="5900" w:type="dxa"/>
            <w:vAlign w:val="bottom"/>
            <w:tcBorders>
              <w:bottom w:val="single" w:sz="8" w:color="DDDDDD"/>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Basic net loss per share</w:t>
            </w:r>
          </w:p>
        </w:tc>
        <w:tc>
          <w:tcPr>
            <w:tcW w:w="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(1.51)</w:t>
            </w:r>
          </w:p>
        </w:tc>
        <w:tc>
          <w:tcPr>
            <w:tcW w:w="2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(3.38)</w:t>
            </w:r>
          </w:p>
        </w:tc>
        <w:tc>
          <w:tcPr>
            <w:tcW w:w="240" w:type="dxa"/>
            <w:vAlign w:val="bottom"/>
            <w:tcBorders>
              <w:bottom w:val="single" w:sz="8" w:color="DDDDDD"/>
              <w:right w:val="single" w:sz="8" w:color="auto"/>
            </w:tcBorders>
          </w:tcPr>
          <w:p>
            <w:pPr>
              <w:spacing w:after="0"/>
              <w:rPr>
                <w:sz w:val="14"/>
                <w:szCs w:val="14"/>
                <w:color w:val="auto"/>
              </w:rPr>
            </w:pPr>
          </w:p>
        </w:tc>
        <w:tc>
          <w:tcPr>
            <w:tcW w:w="20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(26.08)</w:t>
            </w:r>
          </w:p>
        </w:tc>
      </w:tr>
      <w:tr>
        <w:trPr>
          <w:trHeight w:val="194"/>
        </w:trPr>
        <w:tc>
          <w:tcPr>
            <w:tcW w:w="59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6"/>
                <w:szCs w:val="16"/>
                <w:b w:val="1"/>
                <w:bCs w:val="1"/>
                <w:color w:val="auto"/>
              </w:rPr>
              <w:t>Diluted net loss per share</w:t>
            </w: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40" w:type="dxa"/>
            <w:vAlign w:val="bottom"/>
            <w:tcBorders>
              <w:right w:val="single" w:sz="8" w:color="auto"/>
            </w:tcBorders>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(26.08)</w:t>
            </w:r>
          </w:p>
        </w:tc>
      </w:tr>
      <w:tr>
        <w:trPr>
          <w:trHeight w:val="187"/>
        </w:trPr>
        <w:tc>
          <w:tcPr>
            <w:tcW w:w="590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6"/>
                <w:szCs w:val="16"/>
                <w:color w:val="auto"/>
              </w:rPr>
              <w:t>Weighted-average shares outstanding – Basic</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16,577,126</w:t>
            </w:r>
          </w:p>
        </w:tc>
        <w:tc>
          <w:tcPr>
            <w:tcW w:w="22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14,772,692</w:t>
            </w:r>
          </w:p>
        </w:tc>
        <w:tc>
          <w:tcPr>
            <w:tcW w:w="240" w:type="dxa"/>
            <w:vAlign w:val="bottom"/>
            <w:tcBorders>
              <w:bottom w:val="single" w:sz="8" w:color="DDDDDD"/>
              <w:right w:val="single" w:sz="8" w:color="auto"/>
            </w:tcBorders>
          </w:tcPr>
          <w:p>
            <w:pPr>
              <w:spacing w:after="0"/>
              <w:rPr>
                <w:sz w:val="16"/>
                <w:szCs w:val="16"/>
                <w:color w:val="auto"/>
              </w:rPr>
            </w:pPr>
          </w:p>
        </w:tc>
        <w:tc>
          <w:tcPr>
            <w:tcW w:w="20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815,854</w:t>
            </w:r>
          </w:p>
        </w:tc>
      </w:tr>
      <w:tr>
        <w:trPr>
          <w:trHeight w:val="174"/>
        </w:trPr>
        <w:tc>
          <w:tcPr>
            <w:tcW w:w="5880" w:type="dxa"/>
            <w:vAlign w:val="bottom"/>
            <w:shd w:val="clear" w:color="auto" w:fill="DDDDDD"/>
          </w:tcPr>
          <w:p>
            <w:pPr>
              <w:spacing w:after="0" w:line="172" w:lineRule="exact"/>
              <w:rPr>
                <w:sz w:val="20"/>
                <w:szCs w:val="20"/>
                <w:color w:val="auto"/>
              </w:rPr>
            </w:pPr>
            <w:r>
              <w:rPr>
                <w:rFonts w:ascii="Times New Roman" w:cs="Times New Roman" w:eastAsia="Times New Roman" w:hAnsi="Times New Roman"/>
                <w:sz w:val="16"/>
                <w:szCs w:val="16"/>
                <w:color w:val="auto"/>
              </w:rPr>
              <w:t>Weighted-average shares outstanding – Diluted</w:t>
            </w:r>
          </w:p>
        </w:tc>
        <w:tc>
          <w:tcPr>
            <w:tcW w:w="20" w:type="dxa"/>
            <w:vAlign w:val="bottom"/>
            <w:tcBorders>
              <w:bottom w:val="single" w:sz="8" w:color="auto"/>
            </w:tcBorders>
            <w:shd w:val="clear" w:color="auto" w:fill="DDDDDD"/>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jc w:val="right"/>
              <w:spacing w:after="0" w:line="174" w:lineRule="exact"/>
              <w:rPr>
                <w:sz w:val="20"/>
                <w:szCs w:val="20"/>
                <w:color w:val="auto"/>
              </w:rPr>
            </w:pPr>
            <w:r>
              <w:rPr>
                <w:rFonts w:ascii="Times New Roman" w:cs="Times New Roman" w:eastAsia="Times New Roman" w:hAnsi="Times New Roman"/>
                <w:sz w:val="16"/>
                <w:szCs w:val="16"/>
                <w:color w:val="auto"/>
              </w:rPr>
              <w:t>16,577,126</w:t>
            </w:r>
          </w:p>
        </w:tc>
        <w:tc>
          <w:tcPr>
            <w:tcW w:w="220" w:type="dxa"/>
            <w:vAlign w:val="bottom"/>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40" w:type="dxa"/>
            <w:vAlign w:val="bottom"/>
            <w:tcBorders>
              <w:bottom w:val="single" w:sz="8" w:color="auto"/>
            </w:tcBorders>
            <w:shd w:val="clear" w:color="auto" w:fill="DDDDDD"/>
          </w:tcPr>
          <w:p>
            <w:pPr>
              <w:jc w:val="right"/>
              <w:spacing w:after="0" w:line="174" w:lineRule="exact"/>
              <w:rPr>
                <w:sz w:val="20"/>
                <w:szCs w:val="20"/>
                <w:color w:val="auto"/>
              </w:rPr>
            </w:pPr>
            <w:r>
              <w:rPr>
                <w:rFonts w:ascii="Times New Roman" w:cs="Times New Roman" w:eastAsia="Times New Roman" w:hAnsi="Times New Roman"/>
                <w:sz w:val="16"/>
                <w:szCs w:val="16"/>
                <w:color w:val="auto"/>
              </w:rPr>
              <w:t>14,772,692</w:t>
            </w:r>
          </w:p>
        </w:tc>
        <w:tc>
          <w:tcPr>
            <w:tcW w:w="240" w:type="dxa"/>
            <w:vAlign w:val="bottom"/>
            <w:tcBorders>
              <w:right w:val="single" w:sz="8" w:color="auto"/>
            </w:tcBorders>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jc w:val="right"/>
              <w:spacing w:after="0" w:line="174" w:lineRule="exact"/>
              <w:rPr>
                <w:sz w:val="20"/>
                <w:szCs w:val="20"/>
                <w:color w:val="auto"/>
              </w:rPr>
            </w:pPr>
            <w:r>
              <w:rPr>
                <w:rFonts w:ascii="Times New Roman" w:cs="Times New Roman" w:eastAsia="Times New Roman" w:hAnsi="Times New Roman"/>
                <w:sz w:val="16"/>
                <w:szCs w:val="16"/>
                <w:color w:val="auto"/>
              </w:rPr>
              <w:t>815,854</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920"/>
          </w:cols>
          <w:pgMar w:left="1160" w:top="1244" w:right="11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920"/>
          </w:cols>
          <w:pgMar w:left="1160" w:top="1244" w:right="1160" w:bottom="719" w:gutter="0" w:footer="0" w:header="0"/>
          <w:type w:val="continuous"/>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Adagio Medical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Convertible Preferred Stock and Stockholders’ Equity (Deficit)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0" w:type="dxa"/>
            <w:vAlign w:val="bottom"/>
            <w:gridSpan w:val="10"/>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Convertible Preferred Stock</w:t>
            </w:r>
          </w:p>
        </w:tc>
        <w:tc>
          <w:tcPr>
            <w:tcW w:w="20" w:type="dxa"/>
            <w:vAlign w:val="bottom"/>
          </w:tcPr>
          <w:p>
            <w:pPr>
              <w:spacing w:after="0"/>
              <w:rPr>
                <w:sz w:val="16"/>
                <w:szCs w:val="16"/>
                <w:color w:val="auto"/>
              </w:rPr>
            </w:pP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Paid-in</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4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6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w w:val="97"/>
              </w:rPr>
              <w:t>Stockholders’</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DDDDDD"/>
            </w:tcBorders>
          </w:tcPr>
          <w:p>
            <w:pPr>
              <w:spacing w:after="0"/>
              <w:rPr>
                <w:sz w:val="14"/>
                <w:szCs w:val="14"/>
                <w:color w:val="auto"/>
              </w:rPr>
            </w:pPr>
          </w:p>
        </w:tc>
        <w:tc>
          <w:tcPr>
            <w:tcW w:w="14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720" w:type="dxa"/>
            <w:vAlign w:val="bottom"/>
            <w:tcBorders>
              <w:top w:val="single" w:sz="8" w:color="auto"/>
              <w:bottom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top w:val="single" w:sz="8" w:color="auto"/>
              <w:bottom w:val="single" w:sz="8" w:color="DDDDDD"/>
            </w:tcBorders>
          </w:tcPr>
          <w:p>
            <w:pPr>
              <w:spacing w:after="0"/>
              <w:rPr>
                <w:sz w:val="14"/>
                <w:szCs w:val="14"/>
                <w:color w:val="auto"/>
              </w:rPr>
            </w:pPr>
          </w:p>
        </w:tc>
        <w:tc>
          <w:tcPr>
            <w:tcW w:w="20" w:type="dxa"/>
            <w:vAlign w:val="bottom"/>
            <w:tcBorders>
              <w:top w:val="single" w:sz="8" w:color="auto"/>
              <w:bottom w:val="single" w:sz="8" w:color="DDDDD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Borders>
              <w:bottom w:val="single" w:sz="8" w:color="DDDDDD"/>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bottom w:val="single" w:sz="8" w:color="DDDDDD"/>
            </w:tcBorders>
          </w:tcPr>
          <w:p>
            <w:pPr>
              <w:spacing w:after="0"/>
              <w:rPr>
                <w:sz w:val="14"/>
                <w:szCs w:val="14"/>
                <w:color w:val="auto"/>
              </w:rPr>
            </w:pPr>
          </w:p>
        </w:tc>
        <w:tc>
          <w:tcPr>
            <w:tcW w:w="540" w:type="dxa"/>
            <w:vAlign w:val="bottom"/>
            <w:tcBorders>
              <w:top w:val="single" w:sz="8" w:color="auto"/>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DDDDD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4"/>
              <w:spacing w:after="0" w:line="16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Borders>
              <w:bottom w:val="single" w:sz="8" w:color="DDDDDD"/>
            </w:tcBorders>
          </w:tcPr>
          <w:p>
            <w:pPr>
              <w:spacing w:after="0"/>
              <w:rPr>
                <w:sz w:val="14"/>
                <w:szCs w:val="14"/>
                <w:color w:val="auto"/>
              </w:rPr>
            </w:pPr>
          </w:p>
        </w:tc>
        <w:tc>
          <w:tcPr>
            <w:tcW w:w="1020" w:type="dxa"/>
            <w:vAlign w:val="bottom"/>
            <w:tcBorders>
              <w:bottom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Income (Loss)</w:t>
            </w:r>
          </w:p>
        </w:tc>
        <w:tc>
          <w:tcPr>
            <w:tcW w:w="16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62"/>
        </w:trPr>
        <w:tc>
          <w:tcPr>
            <w:tcW w:w="2120" w:type="dxa"/>
            <w:vAlign w:val="bottom"/>
            <w:shd w:val="clear" w:color="auto" w:fill="DDDDDD"/>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40" w:type="dxa"/>
            <w:vAlign w:val="bottom"/>
            <w:tcBorders>
              <w:right w:val="single" w:sz="8" w:color="auto"/>
            </w:tcBorders>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shd w:val="clear" w:color="auto" w:fill="DDDDDD"/>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(Successor)</w:t>
            </w:r>
          </w:p>
        </w:tc>
        <w:tc>
          <w:tcPr>
            <w:tcW w:w="1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20" w:type="dxa"/>
            <w:vAlign w:val="bottom"/>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3"/>
            <w:shd w:val="clear" w:color="auto" w:fill="DDDDDD"/>
          </w:tcPr>
          <w:p>
            <w:pPr>
              <w:jc w:val="center"/>
              <w:ind w:left="64"/>
              <w:spacing w:after="0" w:line="171"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4"/>
                <w:szCs w:val="14"/>
                <w:color w:val="auto"/>
              </w:rPr>
            </w:pPr>
          </w:p>
        </w:tc>
        <w:tc>
          <w:tcPr>
            <w:tcW w:w="760" w:type="dxa"/>
            <w:vAlign w:val="bottom"/>
            <w:gridSpan w:val="2"/>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rPr>
              <w:t>15,198,232</w:t>
            </w:r>
          </w:p>
        </w:tc>
        <w:tc>
          <w:tcPr>
            <w:tcW w:w="460" w:type="dxa"/>
            <w:vAlign w:val="bottom"/>
            <w:gridSpan w:val="2"/>
            <w:shd w:val="clear" w:color="auto" w:fill="DDDDDD"/>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DDDDDD"/>
          </w:tcPr>
          <w:p>
            <w:pPr>
              <w:spacing w:after="0"/>
              <w:rPr>
                <w:sz w:val="14"/>
                <w:szCs w:val="14"/>
                <w:color w:val="auto"/>
              </w:rPr>
            </w:pPr>
          </w:p>
        </w:tc>
        <w:tc>
          <w:tcPr>
            <w:tcW w:w="100" w:type="dxa"/>
            <w:vAlign w:val="bottom"/>
            <w:gridSpan w:val="2"/>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rPr>
              <w:t>90,495</w:t>
            </w:r>
          </w:p>
        </w:tc>
        <w:tc>
          <w:tcPr>
            <w:tcW w:w="300" w:type="dxa"/>
            <w:vAlign w:val="bottom"/>
            <w:gridSpan w:val="2"/>
            <w:shd w:val="clear" w:color="auto" w:fill="DDDDDD"/>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rPr>
              <w:t>(70,586)</w:t>
            </w:r>
          </w:p>
        </w:tc>
        <w:tc>
          <w:tcPr>
            <w:tcW w:w="220" w:type="dxa"/>
            <w:vAlign w:val="bottom"/>
            <w:gridSpan w:val="2"/>
            <w:shd w:val="clear" w:color="auto" w:fill="DDDDDD"/>
          </w:tcPr>
          <w:p>
            <w:pPr>
              <w:ind w:left="14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DDDDDD"/>
          </w:tcPr>
          <w:p>
            <w:pPr>
              <w:jc w:val="right"/>
              <w:ind w:right="4"/>
              <w:spacing w:after="0" w:line="171" w:lineRule="exact"/>
              <w:rPr>
                <w:sz w:val="20"/>
                <w:szCs w:val="20"/>
                <w:color w:val="auto"/>
              </w:rPr>
            </w:pPr>
            <w:r>
              <w:rPr>
                <w:rFonts w:ascii="Times New Roman" w:cs="Times New Roman" w:eastAsia="Times New Roman" w:hAnsi="Times New Roman"/>
                <w:sz w:val="15"/>
                <w:szCs w:val="15"/>
                <w:color w:val="auto"/>
              </w:rPr>
              <w:t>1</w:t>
            </w:r>
          </w:p>
        </w:tc>
        <w:tc>
          <w:tcPr>
            <w:tcW w:w="320" w:type="dxa"/>
            <w:vAlign w:val="bottom"/>
            <w:gridSpan w:val="3"/>
            <w:shd w:val="clear" w:color="auto" w:fill="DDDDDD"/>
          </w:tcPr>
          <w:p>
            <w:pPr>
              <w:ind w:left="1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DDDDD"/>
          </w:tcPr>
          <w:p>
            <w:pPr>
              <w:jc w:val="right"/>
              <w:spacing w:after="0" w:line="171" w:lineRule="exact"/>
              <w:rPr>
                <w:sz w:val="20"/>
                <w:szCs w:val="20"/>
                <w:color w:val="auto"/>
              </w:rPr>
            </w:pPr>
            <w:r>
              <w:rPr>
                <w:rFonts w:ascii="Times New Roman" w:cs="Times New Roman" w:eastAsia="Times New Roman" w:hAnsi="Times New Roman"/>
                <w:sz w:val="15"/>
                <w:szCs w:val="15"/>
                <w:color w:val="auto"/>
              </w:rPr>
              <w:t>19,912</w:t>
            </w:r>
          </w:p>
        </w:tc>
        <w:tc>
          <w:tcPr>
            <w:tcW w:w="0" w:type="dxa"/>
            <w:vAlign w:val="bottom"/>
          </w:tcPr>
          <w:p>
            <w:pPr>
              <w:spacing w:after="0"/>
              <w:rPr>
                <w:sz w:val="1"/>
                <w:szCs w:val="1"/>
                <w:color w:val="auto"/>
              </w:rPr>
            </w:pPr>
          </w:p>
        </w:tc>
      </w:tr>
      <w:tr>
        <w:trPr>
          <w:trHeight w:val="155"/>
        </w:trPr>
        <w:tc>
          <w:tcPr>
            <w:tcW w:w="2120" w:type="dxa"/>
            <w:vAlign w:val="bottom"/>
          </w:tcPr>
          <w:p>
            <w:pPr>
              <w:ind w:left="240"/>
              <w:spacing w:after="0" w:line="156"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w w:val="93"/>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90"/>
        </w:trPr>
        <w:tc>
          <w:tcPr>
            <w:tcW w:w="228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adjustment</w:t>
            </w: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Issuance of common shares,</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20" w:type="dxa"/>
            <w:vAlign w:val="bottom"/>
            <w:shd w:val="clear" w:color="auto" w:fill="DDDDDD"/>
          </w:tcPr>
          <w:p>
            <w:pPr>
              <w:ind w:left="240"/>
              <w:spacing w:after="0" w:line="156" w:lineRule="exact"/>
              <w:rPr>
                <w:sz w:val="20"/>
                <w:szCs w:val="20"/>
                <w:color w:val="auto"/>
              </w:rPr>
            </w:pPr>
            <w:r>
              <w:rPr>
                <w:rFonts w:ascii="Times New Roman" w:cs="Times New Roman" w:eastAsia="Times New Roman" w:hAnsi="Times New Roman"/>
                <w:sz w:val="15"/>
                <w:szCs w:val="15"/>
                <w:color w:val="auto"/>
              </w:rPr>
              <w:t>pre-funded warrants and</w:t>
            </w:r>
          </w:p>
        </w:tc>
        <w:tc>
          <w:tcPr>
            <w:tcW w:w="1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780" w:type="dxa"/>
            <w:vAlign w:val="bottom"/>
            <w:shd w:val="clear" w:color="auto" w:fill="DDDDDD"/>
          </w:tcPr>
          <w:p>
            <w:pPr>
              <w:spacing w:after="0"/>
              <w:rPr>
                <w:sz w:val="13"/>
                <w:szCs w:val="13"/>
                <w:color w:val="auto"/>
              </w:rPr>
            </w:pPr>
          </w:p>
        </w:tc>
        <w:tc>
          <w:tcPr>
            <w:tcW w:w="40" w:type="dxa"/>
            <w:vAlign w:val="bottom"/>
            <w:tcBorders>
              <w:right w:val="single" w:sz="8" w:color="auto"/>
            </w:tcBorders>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warrants, net of</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$2,865 issuance costs</w:t>
            </w:r>
          </w:p>
        </w:tc>
        <w:tc>
          <w:tcPr>
            <w:tcW w:w="1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6"/>
                <w:szCs w:val="16"/>
                <w:color w:val="auto"/>
              </w:rPr>
            </w:pPr>
          </w:p>
        </w:tc>
        <w:tc>
          <w:tcPr>
            <w:tcW w:w="7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5,798,072</w:t>
            </w:r>
          </w:p>
        </w:tc>
        <w:tc>
          <w:tcPr>
            <w:tcW w:w="14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16,134</w:t>
            </w:r>
          </w:p>
        </w:tc>
        <w:tc>
          <w:tcPr>
            <w:tcW w:w="1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16,134</w:t>
            </w:r>
          </w:p>
        </w:tc>
        <w:tc>
          <w:tcPr>
            <w:tcW w:w="0" w:type="dxa"/>
            <w:vAlign w:val="bottom"/>
          </w:tcPr>
          <w:p>
            <w:pPr>
              <w:spacing w:after="0"/>
              <w:rPr>
                <w:sz w:val="1"/>
                <w:szCs w:val="1"/>
                <w:color w:val="auto"/>
              </w:rPr>
            </w:pPr>
          </w:p>
        </w:tc>
      </w:tr>
      <w:tr>
        <w:trPr>
          <w:trHeight w:val="153"/>
        </w:trPr>
        <w:tc>
          <w:tcPr>
            <w:tcW w:w="2120" w:type="dxa"/>
            <w:vAlign w:val="bottom"/>
          </w:tcPr>
          <w:p>
            <w:pPr>
              <w:ind w:left="240"/>
              <w:spacing w:after="0" w:line="153" w:lineRule="exact"/>
              <w:rPr>
                <w:sz w:val="20"/>
                <w:szCs w:val="20"/>
                <w:color w:val="auto"/>
              </w:rPr>
            </w:pPr>
            <w:r>
              <w:rPr>
                <w:rFonts w:ascii="Times New Roman" w:cs="Times New Roman" w:eastAsia="Times New Roman" w:hAnsi="Times New Roman"/>
                <w:sz w:val="15"/>
                <w:szCs w:val="15"/>
                <w:color w:val="auto"/>
              </w:rPr>
              <w:t>Exercise of pre-funded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1,030,822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w w:val="93"/>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228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warrants</w:t>
            </w: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Issuance of Waiver Shares</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5"/>
                <w:szCs w:val="15"/>
                <w:color w:val="auto"/>
              </w:rPr>
            </w:pPr>
          </w:p>
        </w:tc>
        <w:tc>
          <w:tcPr>
            <w:tcW w:w="7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183,333</w:t>
            </w: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32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tcBorders>
              <w:bottom w:val="single" w:sz="8" w:color="auto"/>
            </w:tcBorders>
            <w:shd w:val="clear" w:color="auto" w:fill="DDDDDD"/>
          </w:tcPr>
          <w:p>
            <w:pPr>
              <w:spacing w:after="0"/>
              <w:rPr>
                <w:sz w:val="15"/>
                <w:szCs w:val="15"/>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(25,084)</w:t>
            </w:r>
          </w:p>
        </w:tc>
        <w:tc>
          <w:tcPr>
            <w:tcW w:w="140" w:type="dxa"/>
            <w:vAlign w:val="bottom"/>
            <w:shd w:val="clear" w:color="auto" w:fill="DDDDDD"/>
          </w:tcPr>
          <w:p>
            <w:pPr>
              <w:spacing w:after="0"/>
              <w:rPr>
                <w:sz w:val="15"/>
                <w:szCs w:val="15"/>
                <w:color w:val="auto"/>
              </w:rPr>
            </w:pPr>
          </w:p>
        </w:tc>
        <w:tc>
          <w:tcPr>
            <w:tcW w:w="80" w:type="dxa"/>
            <w:vAlign w:val="bottom"/>
            <w:tcBorders>
              <w:bottom w:val="single" w:sz="8" w:color="auto"/>
            </w:tcBorders>
            <w:shd w:val="clear" w:color="auto" w:fill="DDDDDD"/>
          </w:tcPr>
          <w:p>
            <w:pPr>
              <w:spacing w:after="0"/>
              <w:rPr>
                <w:sz w:val="15"/>
                <w:szCs w:val="15"/>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(25,084)</w:t>
            </w:r>
          </w:p>
        </w:tc>
        <w:tc>
          <w:tcPr>
            <w:tcW w:w="0" w:type="dxa"/>
            <w:vAlign w:val="bottom"/>
          </w:tcPr>
          <w:p>
            <w:pPr>
              <w:spacing w:after="0"/>
              <w:rPr>
                <w:sz w:val="1"/>
                <w:szCs w:val="1"/>
                <w:color w:val="auto"/>
              </w:rPr>
            </w:pPr>
          </w:p>
        </w:tc>
      </w:tr>
      <w:tr>
        <w:trPr>
          <w:trHeight w:val="143"/>
        </w:trPr>
        <w:tc>
          <w:tcPr>
            <w:tcW w:w="212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(Successor)</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rPr>
                <w:sz w:val="16"/>
                <w:szCs w:val="16"/>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22,210,459</w:t>
            </w:r>
          </w:p>
        </w:tc>
        <w:tc>
          <w:tcPr>
            <w:tcW w:w="14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108,108</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(95,609)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12,402</w:t>
            </w: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8"/>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gridSpan w:val="10"/>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vMerge w:val="restart"/>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Convertible Preferred Stock</w:t>
            </w:r>
          </w:p>
        </w:tc>
        <w:tc>
          <w:tcPr>
            <w:tcW w:w="20" w:type="dxa"/>
            <w:vAlign w:val="bottom"/>
          </w:tcPr>
          <w:p>
            <w:pPr>
              <w:spacing w:after="0"/>
              <w:rPr>
                <w:sz w:val="16"/>
                <w:szCs w:val="16"/>
                <w:color w:val="auto"/>
              </w:rPr>
            </w:pP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Paid-in</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6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w w:val="97"/>
              </w:rPr>
              <w:t>Stockholders’</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DDDDDD"/>
            </w:tcBorders>
          </w:tcPr>
          <w:p>
            <w:pPr>
              <w:spacing w:after="0"/>
              <w:rPr>
                <w:sz w:val="14"/>
                <w:szCs w:val="14"/>
                <w:color w:val="auto"/>
              </w:rPr>
            </w:pPr>
          </w:p>
        </w:tc>
        <w:tc>
          <w:tcPr>
            <w:tcW w:w="14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720" w:type="dxa"/>
            <w:vAlign w:val="bottom"/>
            <w:tcBorders>
              <w:top w:val="single" w:sz="8" w:color="auto"/>
              <w:bottom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top w:val="single" w:sz="8" w:color="auto"/>
              <w:bottom w:val="single" w:sz="8" w:color="DDDDDD"/>
            </w:tcBorders>
          </w:tcPr>
          <w:p>
            <w:pPr>
              <w:spacing w:after="0"/>
              <w:rPr>
                <w:sz w:val="14"/>
                <w:szCs w:val="14"/>
                <w:color w:val="auto"/>
              </w:rPr>
            </w:pPr>
          </w:p>
        </w:tc>
        <w:tc>
          <w:tcPr>
            <w:tcW w:w="20" w:type="dxa"/>
            <w:vAlign w:val="bottom"/>
            <w:tcBorders>
              <w:top w:val="single" w:sz="8" w:color="auto"/>
              <w:bottom w:val="single" w:sz="8" w:color="DDDDD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Borders>
              <w:bottom w:val="single" w:sz="8" w:color="DDDDDD"/>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bottom w:val="single" w:sz="8" w:color="DDDDDD"/>
            </w:tcBorders>
          </w:tcPr>
          <w:p>
            <w:pPr>
              <w:spacing w:after="0"/>
              <w:rPr>
                <w:sz w:val="14"/>
                <w:szCs w:val="14"/>
                <w:color w:val="auto"/>
              </w:rPr>
            </w:pPr>
          </w:p>
        </w:tc>
        <w:tc>
          <w:tcPr>
            <w:tcW w:w="540" w:type="dxa"/>
            <w:vAlign w:val="bottom"/>
            <w:tcBorders>
              <w:top w:val="single" w:sz="8" w:color="auto"/>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DDDDD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4"/>
              <w:spacing w:after="0" w:line="16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Borders>
              <w:bottom w:val="single" w:sz="8" w:color="DDDDDD"/>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w w:val="96"/>
              </w:rPr>
              <w:t>Income</w:t>
            </w:r>
          </w:p>
        </w:tc>
        <w:tc>
          <w:tcPr>
            <w:tcW w:w="16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62"/>
        </w:trPr>
        <w:tc>
          <w:tcPr>
            <w:tcW w:w="2120" w:type="dxa"/>
            <w:vAlign w:val="bottom"/>
            <w:shd w:val="clear" w:color="auto" w:fill="DDDDDD"/>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40" w:type="dxa"/>
            <w:vAlign w:val="bottom"/>
            <w:tcBorders>
              <w:right w:val="single" w:sz="8" w:color="auto"/>
            </w:tcBorders>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rPr>
              <w:t>(Predecessor)</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4,939,946</w:t>
            </w:r>
          </w:p>
        </w:tc>
        <w:tc>
          <w:tcPr>
            <w:tcW w:w="340" w:type="dxa"/>
            <w:vAlign w:val="bottom"/>
            <w:gridSpan w:val="3"/>
            <w:shd w:val="clear" w:color="auto" w:fill="DDDDDD"/>
          </w:tcPr>
          <w:p>
            <w:pPr>
              <w:jc w:val="center"/>
              <w:ind w:lef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91,469</w:t>
            </w:r>
          </w:p>
        </w:tc>
        <w:tc>
          <w:tcPr>
            <w:tcW w:w="40" w:type="dxa"/>
            <w:vAlign w:val="bottom"/>
            <w:tcBorders>
              <w:right w:val="single" w:sz="8" w:color="auto"/>
            </w:tcBorders>
            <w:shd w:val="clear" w:color="auto" w:fill="DDDDDD"/>
          </w:tcPr>
          <w:p>
            <w:pPr>
              <w:spacing w:after="0"/>
              <w:rPr>
                <w:sz w:val="15"/>
                <w:szCs w:val="15"/>
                <w:color w:val="auto"/>
              </w:rPr>
            </w:pPr>
          </w:p>
        </w:tc>
        <w:tc>
          <w:tcPr>
            <w:tcW w:w="7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779,908</w:t>
            </w:r>
          </w:p>
        </w:tc>
        <w:tc>
          <w:tcPr>
            <w:tcW w:w="46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DDDDDD"/>
          </w:tcPr>
          <w:p>
            <w:pPr>
              <w:spacing w:after="0"/>
              <w:rPr>
                <w:sz w:val="15"/>
                <w:szCs w:val="15"/>
                <w:color w:val="auto"/>
              </w:rPr>
            </w:pPr>
          </w:p>
        </w:tc>
        <w:tc>
          <w:tcPr>
            <w:tcW w:w="1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1,608</w:t>
            </w:r>
          </w:p>
        </w:tc>
        <w:tc>
          <w:tcPr>
            <w:tcW w:w="30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(133,649)</w:t>
            </w:r>
          </w:p>
        </w:tc>
        <w:tc>
          <w:tcPr>
            <w:tcW w:w="22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DDDDDD"/>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320" w:type="dxa"/>
            <w:vAlign w:val="bottom"/>
            <w:gridSpan w:val="3"/>
            <w:shd w:val="clear" w:color="auto" w:fill="DDDDDD"/>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(132,023)</w:t>
            </w:r>
          </w:p>
        </w:tc>
        <w:tc>
          <w:tcPr>
            <w:tcW w:w="0" w:type="dxa"/>
            <w:vAlign w:val="bottom"/>
          </w:tcPr>
          <w:p>
            <w:pPr>
              <w:spacing w:after="0"/>
              <w:rPr>
                <w:sz w:val="1"/>
                <w:szCs w:val="1"/>
                <w:color w:val="auto"/>
              </w:rPr>
            </w:pPr>
          </w:p>
        </w:tc>
      </w:tr>
      <w:tr>
        <w:trPr>
          <w:trHeight w:val="153"/>
        </w:trPr>
        <w:tc>
          <w:tcPr>
            <w:tcW w:w="2120" w:type="dxa"/>
            <w:vAlign w:val="bottom"/>
          </w:tcPr>
          <w:p>
            <w:pPr>
              <w:ind w:left="240"/>
              <w:spacing w:after="0" w:line="153"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w w:val="93"/>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0"/>
        </w:trPr>
        <w:tc>
          <w:tcPr>
            <w:tcW w:w="228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adjustment</w:t>
            </w: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Exchange preferred stock for</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pre-funded warrants</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w w:val="95"/>
              </w:rPr>
              <w:t>(207,902)</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4,332</w:t>
            </w: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4,332</w:t>
            </w:r>
          </w:p>
        </w:tc>
        <w:tc>
          <w:tcPr>
            <w:tcW w:w="0" w:type="dxa"/>
            <w:vAlign w:val="bottom"/>
          </w:tcPr>
          <w:p>
            <w:pPr>
              <w:spacing w:after="0"/>
              <w:rPr>
                <w:sz w:val="1"/>
                <w:szCs w:val="1"/>
                <w:color w:val="auto"/>
              </w:rPr>
            </w:pPr>
          </w:p>
        </w:tc>
      </w:tr>
      <w:tr>
        <w:trPr>
          <w:trHeight w:val="173"/>
        </w:trPr>
        <w:tc>
          <w:tcPr>
            <w:tcW w:w="2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 option exercises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0" w:type="dxa"/>
            <w:vAlign w:val="bottom"/>
          </w:tcPr>
          <w:p>
            <w:pPr>
              <w:spacing w:after="0"/>
              <w:rPr>
                <w:sz w:val="1"/>
                <w:szCs w:val="1"/>
                <w:color w:val="auto"/>
              </w:rPr>
            </w:pPr>
          </w:p>
        </w:tc>
      </w:tr>
      <w:tr>
        <w:trPr>
          <w:trHeight w:val="173"/>
        </w:trPr>
        <w:tc>
          <w:tcPr>
            <w:tcW w:w="2120" w:type="dxa"/>
            <w:vAlign w:val="bottom"/>
            <w:tcBorders>
              <w:bottom w:val="single" w:sz="8" w:color="DDDDDD"/>
            </w:tcBorders>
          </w:tcPr>
          <w:p>
            <w:pPr>
              <w:ind w:left="240"/>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DDDDD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(21,278)</w:t>
            </w:r>
          </w:p>
        </w:tc>
        <w:tc>
          <w:tcPr>
            <w:tcW w:w="140" w:type="dxa"/>
            <w:vAlign w:val="bottom"/>
            <w:tcBorders>
              <w:bottom w:val="single" w:sz="8" w:color="DDDDD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(21,278)</w:t>
            </w:r>
          </w:p>
        </w:tc>
        <w:tc>
          <w:tcPr>
            <w:tcW w:w="0" w:type="dxa"/>
            <w:vAlign w:val="bottom"/>
          </w:tcPr>
          <w:p>
            <w:pPr>
              <w:spacing w:after="0"/>
              <w:rPr>
                <w:sz w:val="1"/>
                <w:szCs w:val="1"/>
                <w:color w:val="auto"/>
              </w:rPr>
            </w:pPr>
          </w:p>
        </w:tc>
      </w:tr>
      <w:tr>
        <w:trPr>
          <w:trHeight w:val="162"/>
        </w:trPr>
        <w:tc>
          <w:tcPr>
            <w:tcW w:w="2120" w:type="dxa"/>
            <w:vAlign w:val="bottom"/>
            <w:shd w:val="clear" w:color="auto" w:fill="DDDDDD"/>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as of July 30, 2024</w:t>
            </w:r>
          </w:p>
        </w:tc>
        <w:tc>
          <w:tcPr>
            <w:tcW w:w="1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40" w:type="dxa"/>
            <w:vAlign w:val="bottom"/>
            <w:tcBorders>
              <w:right w:val="single" w:sz="8" w:color="auto"/>
            </w:tcBorders>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20" w:type="dxa"/>
            <w:vAlign w:val="bottom"/>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rPr>
              <w:t>(Predecessor)</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4,732,044</w:t>
            </w:r>
          </w:p>
        </w:tc>
        <w:tc>
          <w:tcPr>
            <w:tcW w:w="340" w:type="dxa"/>
            <w:vAlign w:val="bottom"/>
            <w:gridSpan w:val="3"/>
            <w:shd w:val="clear" w:color="auto" w:fill="DDDDDD"/>
          </w:tcPr>
          <w:p>
            <w:pPr>
              <w:jc w:val="center"/>
              <w:ind w:lef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86,783</w:t>
            </w:r>
          </w:p>
        </w:tc>
        <w:tc>
          <w:tcPr>
            <w:tcW w:w="40" w:type="dxa"/>
            <w:vAlign w:val="bottom"/>
            <w:tcBorders>
              <w:right w:val="single" w:sz="8" w:color="auto"/>
            </w:tcBorders>
            <w:shd w:val="clear" w:color="auto" w:fill="DDDDDD"/>
          </w:tcPr>
          <w:p>
            <w:pPr>
              <w:spacing w:after="0"/>
              <w:rPr>
                <w:sz w:val="15"/>
                <w:szCs w:val="15"/>
                <w:color w:val="auto"/>
              </w:rPr>
            </w:pPr>
          </w:p>
        </w:tc>
        <w:tc>
          <w:tcPr>
            <w:tcW w:w="7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780,213</w:t>
            </w:r>
          </w:p>
        </w:tc>
        <w:tc>
          <w:tcPr>
            <w:tcW w:w="46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DDDDDD"/>
          </w:tcPr>
          <w:p>
            <w:pPr>
              <w:spacing w:after="0"/>
              <w:rPr>
                <w:sz w:val="15"/>
                <w:szCs w:val="15"/>
                <w:color w:val="auto"/>
              </w:rPr>
            </w:pPr>
          </w:p>
        </w:tc>
        <w:tc>
          <w:tcPr>
            <w:tcW w:w="1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6,591</w:t>
            </w:r>
          </w:p>
        </w:tc>
        <w:tc>
          <w:tcPr>
            <w:tcW w:w="30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(154,927)</w:t>
            </w:r>
          </w:p>
        </w:tc>
        <w:tc>
          <w:tcPr>
            <w:tcW w:w="22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DDDDDD"/>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gridSpan w:val="3"/>
            <w:shd w:val="clear" w:color="auto" w:fill="DDDDDD"/>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(148,315)</w:t>
            </w:r>
          </w:p>
        </w:tc>
        <w:tc>
          <w:tcPr>
            <w:tcW w:w="0" w:type="dxa"/>
            <w:vAlign w:val="bottom"/>
          </w:tcPr>
          <w:p>
            <w:pPr>
              <w:spacing w:after="0"/>
              <w:rPr>
                <w:sz w:val="1"/>
                <w:szCs w:val="1"/>
                <w:color w:val="auto"/>
              </w:rPr>
            </w:pPr>
          </w:p>
        </w:tc>
      </w:tr>
      <w:tr>
        <w:trPr>
          <w:trHeight w:val="355"/>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Convertible Preferred Stock</w:t>
            </w:r>
          </w:p>
        </w:tc>
        <w:tc>
          <w:tcPr>
            <w:tcW w:w="20" w:type="dxa"/>
            <w:vAlign w:val="bottom"/>
          </w:tcPr>
          <w:p>
            <w:pPr>
              <w:spacing w:after="0"/>
              <w:rPr>
                <w:sz w:val="18"/>
                <w:szCs w:val="18"/>
                <w:color w:val="auto"/>
              </w:rPr>
            </w:pP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w w:val="99"/>
              </w:rPr>
              <w:t>Common Stock</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Paid-in</w:t>
            </w:r>
          </w:p>
        </w:tc>
        <w:tc>
          <w:tcPr>
            <w:tcW w:w="1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w w:val="97"/>
              </w:rPr>
              <w:t>Stockholders’</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DDDDDD"/>
            </w:tcBorders>
          </w:tcPr>
          <w:p>
            <w:pPr>
              <w:spacing w:after="0"/>
              <w:rPr>
                <w:sz w:val="12"/>
                <w:szCs w:val="12"/>
                <w:color w:val="auto"/>
              </w:rPr>
            </w:pPr>
          </w:p>
        </w:tc>
        <w:tc>
          <w:tcPr>
            <w:tcW w:w="140" w:type="dxa"/>
            <w:vAlign w:val="bottom"/>
            <w:tcBorders>
              <w:bottom w:val="single" w:sz="8" w:color="DDDDDD"/>
            </w:tcBorders>
          </w:tcPr>
          <w:p>
            <w:pPr>
              <w:spacing w:after="0"/>
              <w:rPr>
                <w:sz w:val="12"/>
                <w:szCs w:val="12"/>
                <w:color w:val="auto"/>
              </w:rPr>
            </w:pPr>
          </w:p>
        </w:tc>
        <w:tc>
          <w:tcPr>
            <w:tcW w:w="20" w:type="dxa"/>
            <w:vAlign w:val="bottom"/>
            <w:tcBorders>
              <w:bottom w:val="single" w:sz="8" w:color="DDDDDD"/>
            </w:tcBorders>
          </w:tcPr>
          <w:p>
            <w:pPr>
              <w:spacing w:after="0"/>
              <w:rPr>
                <w:sz w:val="12"/>
                <w:szCs w:val="12"/>
                <w:color w:val="auto"/>
              </w:rPr>
            </w:pPr>
          </w:p>
        </w:tc>
        <w:tc>
          <w:tcPr>
            <w:tcW w:w="720" w:type="dxa"/>
            <w:vAlign w:val="bottom"/>
            <w:tcBorders>
              <w:top w:val="single" w:sz="8" w:color="auto"/>
              <w:bottom w:val="single" w:sz="8" w:color="auto"/>
            </w:tcBorders>
          </w:tcPr>
          <w:p>
            <w:pPr>
              <w:ind w:left="140"/>
              <w:spacing w:after="0" w:line="143" w:lineRule="exact"/>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top w:val="single" w:sz="8" w:color="auto"/>
              <w:bottom w:val="single" w:sz="8" w:color="DDDDDD"/>
            </w:tcBorders>
          </w:tcPr>
          <w:p>
            <w:pPr>
              <w:spacing w:after="0"/>
              <w:rPr>
                <w:sz w:val="12"/>
                <w:szCs w:val="12"/>
                <w:color w:val="auto"/>
              </w:rPr>
            </w:pPr>
          </w:p>
        </w:tc>
        <w:tc>
          <w:tcPr>
            <w:tcW w:w="20" w:type="dxa"/>
            <w:vAlign w:val="bottom"/>
            <w:tcBorders>
              <w:top w:val="single" w:sz="8" w:color="auto"/>
              <w:bottom w:val="single" w:sz="8" w:color="DDDDDD"/>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4"/>
              <w:spacing w:after="0" w:line="143" w:lineRule="exact"/>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Borders>
              <w:bottom w:val="single" w:sz="8" w:color="DDDDDD"/>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84"/>
              <w:spacing w:after="0" w:line="143" w:lineRule="exact"/>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bottom w:val="single" w:sz="8" w:color="DDDDDD"/>
            </w:tcBorders>
          </w:tcPr>
          <w:p>
            <w:pPr>
              <w:spacing w:after="0"/>
              <w:rPr>
                <w:sz w:val="12"/>
                <w:szCs w:val="12"/>
                <w:color w:val="auto"/>
              </w:rPr>
            </w:pPr>
          </w:p>
        </w:tc>
        <w:tc>
          <w:tcPr>
            <w:tcW w:w="540" w:type="dxa"/>
            <w:vAlign w:val="bottom"/>
            <w:tcBorders>
              <w:top w:val="single" w:sz="8" w:color="auto"/>
              <w:bottom w:val="single" w:sz="8" w:color="auto"/>
            </w:tcBorders>
            <w:gridSpan w:val="2"/>
          </w:tcPr>
          <w:p>
            <w:pPr>
              <w:spacing w:after="0" w:line="143"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Borders>
              <w:bottom w:val="single" w:sz="8" w:color="DDDDDD"/>
            </w:tcBorders>
          </w:tcPr>
          <w:p>
            <w:pPr>
              <w:spacing w:after="0"/>
              <w:rPr>
                <w:sz w:val="12"/>
                <w:szCs w:val="12"/>
                <w:color w:val="auto"/>
              </w:rPr>
            </w:pPr>
          </w:p>
        </w:tc>
        <w:tc>
          <w:tcPr>
            <w:tcW w:w="20" w:type="dxa"/>
            <w:vAlign w:val="bottom"/>
            <w:tcBorders>
              <w:bottom w:val="single" w:sz="8" w:color="DDDDDD"/>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4"/>
              <w:spacing w:after="0" w:line="143"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DDDDD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4"/>
              <w:spacing w:after="0" w:line="143"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Borders>
              <w:bottom w:val="single" w:sz="8" w:color="DDDDDD"/>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4"/>
              <w:spacing w:after="0" w:line="143" w:lineRule="exact"/>
              <w:rPr>
                <w:sz w:val="20"/>
                <w:szCs w:val="20"/>
                <w:color w:val="auto"/>
              </w:rPr>
            </w:pPr>
            <w:r>
              <w:rPr>
                <w:rFonts w:ascii="Times New Roman" w:cs="Times New Roman" w:eastAsia="Times New Roman" w:hAnsi="Times New Roman"/>
                <w:sz w:val="15"/>
                <w:szCs w:val="15"/>
                <w:b w:val="1"/>
                <w:bCs w:val="1"/>
                <w:color w:val="auto"/>
              </w:rPr>
              <w:t>Loss</w:t>
            </w:r>
          </w:p>
        </w:tc>
        <w:tc>
          <w:tcPr>
            <w:tcW w:w="160" w:type="dxa"/>
            <w:vAlign w:val="bottom"/>
            <w:tcBorders>
              <w:bottom w:val="single" w:sz="8" w:color="DDDDDD"/>
            </w:tcBorders>
          </w:tcPr>
          <w:p>
            <w:pPr>
              <w:spacing w:after="0"/>
              <w:rPr>
                <w:sz w:val="12"/>
                <w:szCs w:val="12"/>
                <w:color w:val="auto"/>
              </w:rPr>
            </w:pPr>
          </w:p>
        </w:tc>
        <w:tc>
          <w:tcPr>
            <w:tcW w:w="20" w:type="dxa"/>
            <w:vAlign w:val="bottom"/>
            <w:tcBorders>
              <w:bottom w:val="single" w:sz="8" w:color="DDDDDD"/>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64"/>
              <w:spacing w:after="0" w:line="143"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62"/>
        </w:trPr>
        <w:tc>
          <w:tcPr>
            <w:tcW w:w="2120" w:type="dxa"/>
            <w:vAlign w:val="bottom"/>
            <w:shd w:val="clear" w:color="auto" w:fill="DDDDDD"/>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as of July 31, 2024</w:t>
            </w:r>
          </w:p>
        </w:tc>
        <w:tc>
          <w:tcPr>
            <w:tcW w:w="1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40" w:type="dxa"/>
            <w:vAlign w:val="bottom"/>
            <w:tcBorders>
              <w:right w:val="single" w:sz="8" w:color="auto"/>
            </w:tcBorders>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spacing w:after="0"/>
              <w:rPr>
                <w:sz w:val="20"/>
                <w:szCs w:val="20"/>
                <w:color w:val="auto"/>
              </w:rPr>
            </w:pPr>
            <w:r>
              <w:rPr>
                <w:rFonts w:ascii="Times New Roman" w:cs="Times New Roman" w:eastAsia="Times New Roman" w:hAnsi="Times New Roman"/>
                <w:sz w:val="15"/>
                <w:szCs w:val="15"/>
                <w:b w:val="1"/>
                <w:bCs w:val="1"/>
                <w:color w:val="auto"/>
              </w:rPr>
              <w:t>(Successor)</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3"/>
            <w:shd w:val="clear" w:color="auto" w:fill="DDDDDD"/>
          </w:tcPr>
          <w:p>
            <w:pPr>
              <w:jc w:val="center"/>
              <w:ind w:lef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5"/>
                <w:szCs w:val="15"/>
                <w:color w:val="auto"/>
              </w:rPr>
            </w:pPr>
          </w:p>
        </w:tc>
        <w:tc>
          <w:tcPr>
            <w:tcW w:w="7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13,387,636</w:t>
            </w:r>
          </w:p>
        </w:tc>
        <w:tc>
          <w:tcPr>
            <w:tcW w:w="46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DDDDDD"/>
          </w:tcPr>
          <w:p>
            <w:pPr>
              <w:spacing w:after="0"/>
              <w:rPr>
                <w:sz w:val="15"/>
                <w:szCs w:val="15"/>
                <w:color w:val="auto"/>
              </w:rPr>
            </w:pPr>
          </w:p>
        </w:tc>
        <w:tc>
          <w:tcPr>
            <w:tcW w:w="1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89,786</w:t>
            </w:r>
          </w:p>
        </w:tc>
        <w:tc>
          <w:tcPr>
            <w:tcW w:w="30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(16,823)</w:t>
            </w:r>
          </w:p>
        </w:tc>
        <w:tc>
          <w:tcPr>
            <w:tcW w:w="22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3"/>
            <w:shd w:val="clear" w:color="auto" w:fill="DDDDDD"/>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72,964</w:t>
            </w:r>
          </w:p>
        </w:tc>
        <w:tc>
          <w:tcPr>
            <w:tcW w:w="0" w:type="dxa"/>
            <w:vAlign w:val="bottom"/>
          </w:tcPr>
          <w:p>
            <w:pPr>
              <w:spacing w:after="0"/>
              <w:rPr>
                <w:sz w:val="1"/>
                <w:szCs w:val="1"/>
                <w:color w:val="auto"/>
              </w:rPr>
            </w:pPr>
          </w:p>
        </w:tc>
      </w:tr>
      <w:tr>
        <w:trPr>
          <w:trHeight w:val="153"/>
        </w:trPr>
        <w:tc>
          <w:tcPr>
            <w:tcW w:w="2120" w:type="dxa"/>
            <w:vAlign w:val="bottom"/>
          </w:tcPr>
          <w:p>
            <w:pPr>
              <w:ind w:left="240"/>
              <w:spacing w:after="0" w:line="153"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w w:val="93"/>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0"/>
        </w:trPr>
        <w:tc>
          <w:tcPr>
            <w:tcW w:w="228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adjustment</w:t>
            </w: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Exercise of pre-funded</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warrants</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5"/>
                <w:szCs w:val="15"/>
                <w:color w:val="auto"/>
              </w:rPr>
            </w:pPr>
          </w:p>
        </w:tc>
        <w:tc>
          <w:tcPr>
            <w:tcW w:w="7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663,096</w:t>
            </w:r>
          </w:p>
        </w:tc>
        <w:tc>
          <w:tcPr>
            <w:tcW w:w="1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0" w:type="dxa"/>
            <w:vAlign w:val="bottom"/>
          </w:tcPr>
          <w:p>
            <w:pPr>
              <w:spacing w:after="0"/>
              <w:rPr>
                <w:sz w:val="1"/>
                <w:szCs w:val="1"/>
                <w:color w:val="auto"/>
              </w:rPr>
            </w:pPr>
          </w:p>
        </w:tc>
      </w:tr>
      <w:tr>
        <w:trPr>
          <w:trHeight w:val="173"/>
        </w:trPr>
        <w:tc>
          <w:tcPr>
            <w:tcW w:w="2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Issuance of Sponsor Earnout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1,147,500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12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32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tcBorders>
              <w:bottom w:val="single" w:sz="8" w:color="auto"/>
            </w:tcBorders>
            <w:shd w:val="clear" w:color="auto" w:fill="DDDDDD"/>
          </w:tcPr>
          <w:p>
            <w:pPr>
              <w:spacing w:after="0"/>
              <w:rPr>
                <w:sz w:val="15"/>
                <w:szCs w:val="15"/>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(53,763)</w:t>
            </w:r>
          </w:p>
        </w:tc>
        <w:tc>
          <w:tcPr>
            <w:tcW w:w="140" w:type="dxa"/>
            <w:vAlign w:val="bottom"/>
            <w:shd w:val="clear" w:color="auto" w:fill="DDDDDD"/>
          </w:tcPr>
          <w:p>
            <w:pPr>
              <w:spacing w:after="0"/>
              <w:rPr>
                <w:sz w:val="15"/>
                <w:szCs w:val="15"/>
                <w:color w:val="auto"/>
              </w:rPr>
            </w:pPr>
          </w:p>
        </w:tc>
        <w:tc>
          <w:tcPr>
            <w:tcW w:w="80" w:type="dxa"/>
            <w:vAlign w:val="bottom"/>
            <w:tcBorders>
              <w:bottom w:val="single" w:sz="8" w:color="auto"/>
            </w:tcBorders>
            <w:shd w:val="clear" w:color="auto" w:fill="DDDDDD"/>
          </w:tcPr>
          <w:p>
            <w:pPr>
              <w:spacing w:after="0"/>
              <w:rPr>
                <w:sz w:val="15"/>
                <w:szCs w:val="15"/>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rPr>
              <w:t>(53,763)</w:t>
            </w:r>
          </w:p>
        </w:tc>
        <w:tc>
          <w:tcPr>
            <w:tcW w:w="0" w:type="dxa"/>
            <w:vAlign w:val="bottom"/>
          </w:tcPr>
          <w:p>
            <w:pPr>
              <w:spacing w:after="0"/>
              <w:rPr>
                <w:sz w:val="1"/>
                <w:szCs w:val="1"/>
                <w:color w:val="auto"/>
              </w:rPr>
            </w:pPr>
          </w:p>
        </w:tc>
      </w:tr>
      <w:tr>
        <w:trPr>
          <w:trHeight w:val="143"/>
        </w:trPr>
        <w:tc>
          <w:tcPr>
            <w:tcW w:w="212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(Successor)</w:t>
            </w: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15,198,232</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90,495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(70,586)</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7"/>
                <w:szCs w:val="17"/>
                <w:color w:val="auto"/>
              </w:rPr>
            </w:pPr>
          </w:p>
        </w:tc>
        <w:tc>
          <w:tcPr>
            <w:tcW w:w="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-5937250</wp:posOffset>
            </wp:positionV>
            <wp:extent cx="35591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3559175" cy="63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2625725</wp:posOffset>
                </wp:positionH>
                <wp:positionV relativeFrom="paragraph">
                  <wp:posOffset>-5490210</wp:posOffset>
                </wp:positionV>
                <wp:extent cx="12065" cy="127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DDDDD"/>
                        </a:solidFill>
                      </wps:spPr>
                      <wps:bodyPr/>
                    </wps:wsp>
                  </a:graphicData>
                </a:graphic>
              </wp:anchor>
            </w:drawing>
          </mc:Choice>
          <mc:Fallback>
            <w:pict>
              <v:rect id="Shape 11" o:spid="_x0000_s1036" style="position:absolute;margin-left:206.75pt;margin-top:-432.2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drawing>
          <wp:anchor simplePos="0" relativeHeight="251657728" behindDoc="1" locked="0" layoutInCell="0" allowOverlap="1">
            <wp:simplePos x="0" y="0"/>
            <wp:positionH relativeFrom="column">
              <wp:posOffset>2626360</wp:posOffset>
            </wp:positionH>
            <wp:positionV relativeFrom="paragraph">
              <wp:posOffset>-3483610</wp:posOffset>
            </wp:positionV>
            <wp:extent cx="355917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3559175" cy="63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2625725</wp:posOffset>
                </wp:positionH>
                <wp:positionV relativeFrom="paragraph">
                  <wp:posOffset>-3035935</wp:posOffset>
                </wp:positionV>
                <wp:extent cx="12065" cy="127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DDDDD"/>
                        </a:solidFill>
                      </wps:spPr>
                      <wps:bodyPr/>
                    </wps:wsp>
                  </a:graphicData>
                </a:graphic>
              </wp:anchor>
            </w:drawing>
          </mc:Choice>
          <mc:Fallback>
            <w:pict>
              <v:rect id="Shape 13" o:spid="_x0000_s1038" style="position:absolute;margin-left:206.75pt;margin-top:-239.0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2618105</wp:posOffset>
                </wp:positionH>
                <wp:positionV relativeFrom="paragraph">
                  <wp:posOffset>-2044065</wp:posOffset>
                </wp:positionV>
                <wp:extent cx="12065" cy="1270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DDDDD"/>
                        </a:solidFill>
                      </wps:spPr>
                      <wps:bodyPr/>
                    </wps:wsp>
                  </a:graphicData>
                </a:graphic>
              </wp:anchor>
            </w:drawing>
          </mc:Choice>
          <mc:Fallback>
            <w:pict>
              <v:rect id="Shape 14" o:spid="_x0000_s1039" style="position:absolute;margin-left:206.15pt;margin-top:-160.9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-2044065</wp:posOffset>
                </wp:positionV>
                <wp:extent cx="12065" cy="127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DDDDD"/>
                        </a:solidFill>
                      </wps:spPr>
                      <wps:bodyPr/>
                    </wps:wsp>
                  </a:graphicData>
                </a:graphic>
              </wp:anchor>
            </w:drawing>
          </mc:Choice>
          <mc:Fallback>
            <w:pict>
              <v:rect id="Shape 15" o:spid="_x0000_s1040" style="position:absolute;margin-left:206.75pt;margin-top:-160.9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drawing>
          <wp:anchor simplePos="0" relativeHeight="251657728" behindDoc="1" locked="0" layoutInCell="0" allowOverlap="1">
            <wp:simplePos x="0" y="0"/>
            <wp:positionH relativeFrom="column">
              <wp:posOffset>5080</wp:posOffset>
            </wp:positionH>
            <wp:positionV relativeFrom="paragraph">
              <wp:posOffset>-1686560</wp:posOffset>
            </wp:positionV>
            <wp:extent cx="61810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extLst>
                    </a:blip>
                    <a:srcRect/>
                    <a:stretch>
                      <a:fillRect/>
                    </a:stretch>
                  </pic:blipFill>
                  <pic:spPr bwMode="auto">
                    <a:xfrm>
                      <a:off x="0" y="0"/>
                      <a:ext cx="6181090" cy="63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2625725</wp:posOffset>
                </wp:positionH>
                <wp:positionV relativeFrom="paragraph">
                  <wp:posOffset>-1129030</wp:posOffset>
                </wp:positionV>
                <wp:extent cx="12065" cy="1206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DDDDDD"/>
                        </a:solidFill>
                      </wps:spPr>
                      <wps:bodyPr/>
                    </wps:wsp>
                  </a:graphicData>
                </a:graphic>
              </wp:anchor>
            </w:drawing>
          </mc:Choice>
          <mc:Fallback>
            <w:pict>
              <v:rect id="Shape 17" o:spid="_x0000_s1042" style="position:absolute;margin-left:206.75pt;margin-top:-88.8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740"/>
          </w:cols>
          <w:pgMar w:left="1260" w:top="1249" w:right="12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740"/>
          </w:cols>
          <w:pgMar w:left="1260" w:top="1249" w:right="1240" w:bottom="719"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10"/>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5"/>
              </w:rPr>
              <w:t>Successor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right w:val="single" w:sz="8" w:color="auto"/>
            </w:tcBorders>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5"/>
              </w:rPr>
              <w:t>Predecessor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July 31 to</w:t>
            </w: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 July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Borders>
              <w:top w:val="single" w:sz="8" w:color="DDDDDD"/>
            </w:tcBorders>
            <w:shd w:val="clear" w:color="auto" w:fill="DDDDDD"/>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DDDDDD"/>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spacing w:after="0"/>
              <w:rPr>
                <w:sz w:val="17"/>
                <w:szCs w:val="17"/>
                <w:color w:val="auto"/>
              </w:rPr>
            </w:pPr>
          </w:p>
        </w:tc>
        <w:tc>
          <w:tcPr>
            <w:tcW w:w="640" w:type="dxa"/>
            <w:vAlign w:val="bottom"/>
            <w:tcBorders>
              <w:top w:val="single" w:sz="8" w:color="auto"/>
            </w:tcBorders>
            <w:shd w:val="clear" w:color="auto" w:fill="DDDDDD"/>
          </w:tcPr>
          <w:p>
            <w:pPr>
              <w:spacing w:after="0"/>
              <w:rPr>
                <w:sz w:val="17"/>
                <w:szCs w:val="17"/>
                <w:color w:val="auto"/>
              </w:rPr>
            </w:pPr>
          </w:p>
        </w:tc>
        <w:tc>
          <w:tcPr>
            <w:tcW w:w="16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880" w:type="dxa"/>
            <w:vAlign w:val="bottom"/>
            <w:tcBorders>
              <w:top w:val="single" w:sz="8" w:color="auto"/>
            </w:tcBorders>
            <w:shd w:val="clear" w:color="auto" w:fill="DDDDDD"/>
          </w:tcPr>
          <w:p>
            <w:pPr>
              <w:spacing w:after="0"/>
              <w:rPr>
                <w:sz w:val="17"/>
                <w:szCs w:val="17"/>
                <w:color w:val="auto"/>
              </w:rPr>
            </w:pPr>
          </w:p>
        </w:tc>
        <w:tc>
          <w:tcPr>
            <w:tcW w:w="220" w:type="dxa"/>
            <w:vAlign w:val="bottom"/>
            <w:tcBorders>
              <w:top w:val="single" w:sz="8" w:color="DDDDDD"/>
              <w:right w:val="single" w:sz="8" w:color="auto"/>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DDDDDD"/>
            </w:tcBorders>
            <w:shd w:val="clear" w:color="auto" w:fill="DDDDDD"/>
          </w:tcPr>
          <w:p>
            <w:pPr>
              <w:spacing w:after="0"/>
              <w:rPr>
                <w:sz w:val="17"/>
                <w:szCs w:val="17"/>
                <w:color w:val="auto"/>
              </w:rPr>
            </w:pPr>
          </w:p>
        </w:tc>
        <w:tc>
          <w:tcPr>
            <w:tcW w:w="180" w:type="dxa"/>
            <w:vAlign w:val="bottom"/>
            <w:tcBorders>
              <w:top w:val="single" w:sz="8" w:color="auto"/>
            </w:tcBorders>
            <w:shd w:val="clear" w:color="auto" w:fill="DDDDDD"/>
          </w:tcPr>
          <w:p>
            <w:pPr>
              <w:spacing w:after="0"/>
              <w:rPr>
                <w:sz w:val="17"/>
                <w:szCs w:val="17"/>
                <w:color w:val="auto"/>
              </w:rPr>
            </w:pPr>
          </w:p>
        </w:tc>
        <w:tc>
          <w:tcPr>
            <w:tcW w:w="720" w:type="dxa"/>
            <w:vAlign w:val="bottom"/>
            <w:tcBorders>
              <w:top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right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8"/>
                <w:szCs w:val="18"/>
                <w:color w:val="auto"/>
              </w:rPr>
              <w:t>Provision for inventory impairment</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term loan discount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Impairment - Goodwill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8"/>
                <w:szCs w:val="18"/>
                <w:color w:val="auto"/>
              </w:rPr>
              <w:t>Impairment - Intangible assets, net</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20" w:type="dxa"/>
            <w:vAlign w:val="bottom"/>
            <w:tcBorders>
              <w:right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7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DDDDDD"/>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tcBorders>
              <w:right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70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transaction costs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DDDDDD"/>
          </w:tcPr>
          <w:p>
            <w:pPr>
              <w:ind w:left="7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Borders>
              <w:right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7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Borders>
              <w:bottom w:val="single" w:sz="8" w:color="DDDDDD"/>
            </w:tcBorders>
          </w:tcPr>
          <w:p>
            <w:pPr>
              <w:ind w:left="70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tcBorders>
              <w:bottom w:val="single" w:sz="8" w:color="DDDDDD"/>
              <w:right w:val="single" w:sz="8" w:color="auto"/>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Borders>
              <w:bottom w:val="single" w:sz="8" w:color="DDDDDD"/>
            </w:tcBorders>
            <w:shd w:val="clear" w:color="auto" w:fill="DDDDDD"/>
          </w:tcPr>
          <w:p>
            <w:pPr>
              <w:ind w:left="100"/>
              <w:spacing w:after="0" w:line="199"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640" w:type="dxa"/>
            <w:vAlign w:val="bottom"/>
            <w:tcBorders>
              <w:bottom w:val="single" w:sz="8" w:color="auto"/>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(19,014)</w:t>
            </w:r>
          </w:p>
        </w:tc>
        <w:tc>
          <w:tcPr>
            <w:tcW w:w="16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(13,469)</w:t>
            </w:r>
          </w:p>
        </w:tc>
        <w:tc>
          <w:tcPr>
            <w:tcW w:w="220" w:type="dxa"/>
            <w:vAlign w:val="bottom"/>
            <w:tcBorders>
              <w:bottom w:val="single" w:sz="8" w:color="DDDDDD"/>
              <w:right w:val="single" w:sz="8" w:color="auto"/>
            </w:tcBorders>
            <w:shd w:val="clear" w:color="auto" w:fill="DDDDDD"/>
          </w:tcPr>
          <w:p>
            <w:pPr>
              <w:spacing w:after="0"/>
              <w:rPr>
                <w:sz w:val="18"/>
                <w:szCs w:val="18"/>
                <w:color w:val="auto"/>
              </w:rPr>
            </w:pPr>
          </w:p>
        </w:tc>
        <w:tc>
          <w:tcPr>
            <w:tcW w:w="6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Borders>
              <w:bottom w:val="single" w:sz="8" w:color="DDDDDD"/>
            </w:tcBorders>
          </w:tcPr>
          <w:p>
            <w:pPr>
              <w:ind w:left="100"/>
              <w:spacing w:after="0" w:line="199"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(1,280)</w:t>
            </w:r>
          </w:p>
        </w:tc>
        <w:tc>
          <w:tcPr>
            <w:tcW w:w="220" w:type="dxa"/>
            <w:vAlign w:val="bottom"/>
            <w:tcBorders>
              <w:bottom w:val="single" w:sz="8" w:color="DDDDDD"/>
              <w:right w:val="single" w:sz="8" w:color="auto"/>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w w:val="99"/>
              </w:rPr>
              <w:t>Proceeds from the issuance of common shares, pre-funded warrants and warrants, net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$2,865 issuance costs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convertible notes payable</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Borders>
              <w:bottom w:val="single" w:sz="8" w:color="DDDDDD"/>
            </w:tcBorders>
          </w:tcPr>
          <w:p>
            <w:pPr>
              <w:ind w:left="220"/>
              <w:spacing w:after="0"/>
              <w:rPr>
                <w:sz w:val="20"/>
                <w:szCs w:val="20"/>
                <w:color w:val="auto"/>
              </w:rPr>
            </w:pPr>
            <w:r>
              <w:rPr>
                <w:rFonts w:ascii="Times New Roman" w:cs="Times New Roman" w:eastAsia="Times New Roman" w:hAnsi="Times New Roman"/>
                <w:sz w:val="18"/>
                <w:szCs w:val="18"/>
                <w:color w:val="auto"/>
              </w:rPr>
              <w:t>Repayment of non-convertible term loan</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right w:val="single" w:sz="8" w:color="auto"/>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DDDDDD"/>
          </w:tcPr>
          <w:p>
            <w:pPr>
              <w:ind w:left="100"/>
              <w:spacing w:after="0" w:line="199"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16,134</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15,633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DDDDDD"/>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Effect of foreign currency translation on cash and cash equivalents</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DDDDDD"/>
              <w:right w:val="single" w:sz="8" w:color="auto"/>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(3,481)</w:t>
            </w: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(14,568)</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1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220" w:type="dxa"/>
            <w:vAlign w:val="bottom"/>
            <w:tcBorders>
              <w:bottom w:val="single" w:sz="8" w:color="DDDDDD"/>
              <w:right w:val="single" w:sz="8" w:color="auto"/>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17,105</w:t>
            </w:r>
          </w:p>
        </w:tc>
        <w:tc>
          <w:tcPr>
            <w:tcW w:w="300" w:type="dxa"/>
            <w:vAlign w:val="bottom"/>
            <w:gridSpan w:val="3"/>
            <w:shd w:val="clear" w:color="auto" w:fill="DDDDDD"/>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20,586</w:t>
            </w: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3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spacing w:after="0"/>
              <w:rPr>
                <w:sz w:val="17"/>
                <w:szCs w:val="17"/>
                <w:color w:val="auto"/>
              </w:rPr>
            </w:pPr>
          </w:p>
        </w:tc>
        <w:tc>
          <w:tcPr>
            <w:tcW w:w="220" w:type="dxa"/>
            <w:vAlign w:val="bottom"/>
            <w:tcBorders>
              <w:righ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tcBorders>
              <w:bottom w:val="single" w:sz="8" w:color="DDDDDD"/>
            </w:tcBorders>
          </w:tcPr>
          <w:p>
            <w:pPr>
              <w:ind w:left="220"/>
              <w:spacing w:after="0" w:line="196" w:lineRule="exact"/>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right w:val="single" w:sz="8" w:color="auto"/>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640" w:type="dxa"/>
            <w:vAlign w:val="bottom"/>
            <w:tcBorders>
              <w:bottom w:val="single" w:sz="8" w:color="auto"/>
            </w:tcBorders>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spacing w:after="0"/>
              <w:rPr>
                <w:sz w:val="18"/>
                <w:szCs w:val="18"/>
                <w:color w:val="auto"/>
              </w:rPr>
            </w:pPr>
          </w:p>
        </w:tc>
        <w:tc>
          <w:tcPr>
            <w:tcW w:w="220" w:type="dxa"/>
            <w:vAlign w:val="bottom"/>
            <w:tcBorders>
              <w:right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6380" w:type="dxa"/>
            <w:vAlign w:val="bottom"/>
            <w:tcBorders>
              <w:bottom w:val="single" w:sz="8" w:color="DDDDDD"/>
            </w:tcBorders>
          </w:tcPr>
          <w:p>
            <w:pPr>
              <w:ind w:left="220"/>
              <w:spacing w:after="0" w:line="199"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2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right w:val="single" w:sz="8" w:color="auto"/>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Borders>
              <w:top w:val="single" w:sz="8" w:color="DDDDDD"/>
            </w:tcBorders>
            <w:shd w:val="clear" w:color="auto" w:fill="DDDDDD"/>
          </w:tcPr>
          <w:p>
            <w:pPr>
              <w:ind w:left="220"/>
              <w:spacing w:after="0" w:line="187" w:lineRule="exact"/>
              <w:rPr>
                <w:sz w:val="20"/>
                <w:szCs w:val="20"/>
                <w:color w:val="auto"/>
              </w:rPr>
            </w:pPr>
            <w:r>
              <w:rPr>
                <w:rFonts w:ascii="Times New Roman" w:cs="Times New Roman" w:eastAsia="Times New Roman" w:hAnsi="Times New Roman"/>
                <w:sz w:val="18"/>
                <w:szCs w:val="18"/>
                <w:color w:val="auto"/>
              </w:rPr>
              <w:t>Lease liabilities recorded for operating lease right-of-use assets</w:t>
            </w:r>
          </w:p>
        </w:tc>
        <w:tc>
          <w:tcPr>
            <w:tcW w:w="18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bottom w:val="single" w:sz="8" w:color="auto"/>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DDDDDD"/>
              <w:bottom w:val="single" w:sz="8" w:color="auto"/>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DDDDDD"/>
              <w:bottom w:val="single" w:sz="8" w:color="auto"/>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DDDDDD"/>
              <w:bottom w:val="single" w:sz="8" w:color="auto"/>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DDDDDD"/>
              <w:right w:val="single" w:sz="8" w:color="auto"/>
            </w:tcBorders>
            <w:shd w:val="clear" w:color="auto" w:fill="DDDDDD"/>
          </w:tcPr>
          <w:p>
            <w:pPr>
              <w:spacing w:after="0"/>
              <w:rPr>
                <w:sz w:val="16"/>
                <w:szCs w:val="16"/>
                <w:color w:val="auto"/>
              </w:rPr>
            </w:pPr>
          </w:p>
        </w:tc>
        <w:tc>
          <w:tcPr>
            <w:tcW w:w="6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DDDDDD"/>
              <w:bottom w:val="single" w:sz="8" w:color="auto"/>
            </w:tcBorders>
            <w:shd w:val="clear" w:color="auto" w:fill="DDDDDD"/>
          </w:tcPr>
          <w:p>
            <w:pPr>
              <w:spacing w:after="0" w:line="18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DDDDDD"/>
              <w:bottom w:val="single" w:sz="8" w:color="auto"/>
            </w:tcBorders>
            <w:shd w:val="clear" w:color="auto" w:fill="DDDDDD"/>
          </w:tcPr>
          <w:p>
            <w:pPr>
              <w:jc w:val="right"/>
              <w:spacing w:after="0" w:line="187"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preferred stock for pre-funded warrants</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720"/>
          </w:cols>
          <w:pgMar w:left="1260" w:top="1244" w:right="1260" w:bottom="719" w:gutter="0" w:footer="0" w:header="0"/>
          <w:type w:val="continuous"/>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Adagio Medical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(audited)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Organization and Business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Company</w:t>
      </w:r>
    </w:p>
    <w:p>
      <w:pPr>
        <w:spacing w:after="0" w:line="23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Adagio Medical Holdings, Inc. (formerly known as Aja Holdco, Inc.), together with its wholly-owned subsidiaries (collectively, the “Company” or the “Successor”), is a medical technology company focused on the development and commercialization of ablation technologies for the treatment of cardiac arrhythmias. The Company is currently focused on the treatment of ventricular arrhythmias with its purpose-built vCLAS™ Cryoablation System, which is CE Marked and is currently under evaluation in the Company’s FULCRUM-VT U.S. Investigational Device Exemption (“IDE”) Pivotal Study, which completed enrollment in October 2025. In April 2025, the Company received Breakthrough Device designation from the U.S. Food and Drug Administration (“FDA”) for the Company’s vCLAS™ Cryoablation System for the treatment of drug-refractory, recurrent, sustained monomorphic ventricular tachycardia in patients with ischemic or non-ischemic structural heart disease. The Company’s technologies are based on its proprietary ultra- low temperature cryoablation (“ULTA”) platform, which is designed to produce durable, contiguous, transmural lesions anywhere in the heart using the Company’s differentiated catheters and consoles. Legacy Adagio (as defined below) received CE Mark in Europe for its iCLAS™ Cryoablation System for atrial fibrillation and vCLAS™ Cryoablation System for ventricular tachycardia (“VT”) in June 2020 and March 2024, respectively. The Company is also currently developing a next-generation ULTA technology for VT, the design of which is faster, smaller and more flexible than its predecessor vCLAS device. This next-generation device, which was designed to improve customer usability, requires only a single freeze. The Company has also developed pulsed field cryoablation (“PFCA”), a dual therapy platform technology that combines the Company’s proprietary ultralow temperature technology with pulsed field ablation (“PFA”). The Company is headquartered in Laguna Hills, California.</w:t>
      </w:r>
    </w:p>
    <w:p>
      <w:pPr>
        <w:spacing w:after="0" w:line="194"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9"/>
          <w:szCs w:val="19"/>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7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Note 3 - Forward Merger</w:t>
      </w:r>
      <w:r>
        <w:rPr>
          <w:rFonts w:ascii="Times New Roman" w:cs="Times New Roman" w:eastAsia="Times New Roman" w:hAnsi="Times New Roman"/>
          <w:sz w:val="20"/>
          <w:szCs w:val="20"/>
          <w:color w:val="auto"/>
        </w:rPr>
        <w:t xml:space="preserve"> for details of the Business Combination.</w:t>
      </w:r>
    </w:p>
    <w:p>
      <w:pPr>
        <w:spacing w:after="0" w:line="22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Company’s Common Stock (as defined below) began trading on the Nasdaq Capital Market on August 1, 2024, under the symbol “ADGM”.</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720"/>
          </w:cols>
          <w:pgMar w:left="1260" w:top="1244" w:right="1260" w:bottom="719"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Going Concern</w:t>
      </w:r>
    </w:p>
    <w:p>
      <w:pPr>
        <w:spacing w:after="0" w:line="229"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(“U.S. GAAP” ) applicable to a going concern, which contemplates the realization of assets and the satisfaction of liabilities in the normal course of business. The Company has limited revenue and has experienced recurring operating losses and negative cash flows from operations since its inception and anticipates that it will continue to do so for at least the next several years.</w:t>
      </w:r>
    </w:p>
    <w:p>
      <w:pPr>
        <w:spacing w:after="0" w:line="18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had cash and cash equivalents of $17.1 million and an accumulated deficit of $95.6 million. For the year ended December 31, 2025 (Successor), and for the periods from July 31, 2024 to December 31, 2024 (Successor), and January 1, 2024 to July 30, 2024 (Predecessor), net loss was $25.1 million, $53.8 million, and $21.3 million, respectively.</w:t>
      </w:r>
    </w:p>
    <w:p>
      <w:pPr>
        <w:spacing w:after="0" w:line="18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 October 2025, the Company announced a private placement of its common stock (or pre -funded warrants to purchase common stock in lieu thereof) and accompanying warrants to purchase shares of common stock, for aggregate gross proceeds of approximately $19 million (excluding up to approximately $31 million of additional aggregate gross proceeds that may be received in the future upon the cash exercise in full of the Milestone Warrants (as defined below) issued in the Private Placement (as defined below).</w:t>
      </w:r>
    </w:p>
    <w:p>
      <w:pPr>
        <w:spacing w:after="0" w:line="188"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Pursuant to ASC 205-40, Presentation of Financial Statements — Going Concern, the Company evaluates at each annual and interim reporting period whether conditions or events, considered in the aggregate, raise substantial doubt about its ability to continue as a going concern within one year after the date that the consolidated financial statements are issued. As of the report date, the Company does not believe its existing cash and cash equivalents are sufficient to fund its operating and capital expenditure requirements for at least 12 months from the date of issuance of these audited consolidated financial statements. Based on its current plans and forecasted expenses, the Company expects that its cash and cash equivalents as of the report date, will enable the Company to fund its planned operating expenses and capital expenditure requirements into the third quarter of 2026.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8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Management intends to mitigate the conditions and events that raise substantial doubt about the Company’s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the Company or be available on terms acceptable to the Company.</w:t>
      </w:r>
    </w:p>
    <w:p>
      <w:pPr>
        <w:spacing w:after="0" w:line="187"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720"/>
          </w:cols>
          <w:pgMar w:left="1260" w:top="1248" w:right="1260" w:bottom="719"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in accordance with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As a result of the Business Combination, for accounting purposes, ListCo is the acquirer and Legacy Adagio is the accounting acquiree and predecessor. The financial statement presentation includes the financial statements of Legacy Adagio as “Predecessor” for the periods prior to the Closing Date (the “Predecessor Period(s)”), and of the Company as “Successor” for the periods after the Closing Date (the “Successor Period(s)”), including the consolidation of Legacy Adagio and ARYA. The Successor Period includes results of operations and cash flows for the periods from July 31, 2024, through December 31, 2025.</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As a result of the application of the acquisition method of accounting as of the Closing Date of the Business Combination, the accompanying consolidated statements of operations and comprehensive loss, consolidated statements of convertible preferred stock and stockholders’ equity (deficit), and consolidated statements of cash flows include a black line division that indicates that the Predecessor and Successor reporting entities shown are presented on a different basis and are therefore, not comparable.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23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 is an “emerging growth company,” as defined in Section 2(a) of the Securities Act of 1933, as amended, (the “Securities Act”), as modified by the Jumpstart our Business Startups Act of 2012 (the “JOBS Act”).</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2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Adagio Medical Holdings, Inc., and its wholly-owned subsidiaries.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and Assumptions</w:t>
      </w:r>
    </w:p>
    <w:p>
      <w:pPr>
        <w:spacing w:after="0" w:line="228"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720"/>
          </w:cols>
          <w:pgMar w:left="1260" w:top="1244" w:right="1260" w:bottom="719"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(FDIC).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 Cash and cash equivalents were $17.1 million and $20.6 million as of December 31, 2025 and 2024,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Off-Balance Sheet Risk</w:t>
      </w:r>
    </w:p>
    <w:p>
      <w:pPr>
        <w:spacing w:after="0" w:line="231" w:lineRule="exact"/>
        <w:rPr>
          <w:sz w:val="20"/>
          <w:szCs w:val="20"/>
          <w:color w:val="auto"/>
        </w:rPr>
      </w:pPr>
    </w:p>
    <w:p>
      <w:pPr>
        <w:jc w:val="both"/>
        <w:ind w:right="20" w:firstLine="360"/>
        <w:spacing w:after="0" w:line="251"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720"/>
          </w:cols>
          <w:pgMar w:left="1260" w:top="1248" w:right="1260" w:bottom="719"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1"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The Company generates product revenue primarily from the sale of catheters (the “Consumables”) used with the Company’s consoles. The Company sells its products directly to hospitals and medical centers. To a lesser extent, the Company also generates lease revenue from the implied rental of consoles loaned to customers at no charge.</w:t>
      </w:r>
    </w:p>
    <w:p>
      <w:pPr>
        <w:spacing w:after="0" w:line="70"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spacing w:after="0" w:line="91" w:lineRule="exact"/>
        <w:rPr>
          <w:sz w:val="20"/>
          <w:szCs w:val="20"/>
          <w:color w:val="auto"/>
        </w:rPr>
      </w:pPr>
    </w:p>
    <w:p>
      <w:pPr>
        <w:ind w:left="720" w:hanging="352"/>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Step 1: Identify the contract with the customer.</w:t>
      </w:r>
    </w:p>
    <w:p>
      <w:pPr>
        <w:spacing w:after="0" w:line="34" w:lineRule="exact"/>
        <w:rPr>
          <w:rFonts w:ascii="Arial" w:cs="Arial" w:eastAsia="Arial" w:hAnsi="Arial"/>
          <w:sz w:val="20"/>
          <w:szCs w:val="20"/>
          <w:color w:val="auto"/>
        </w:rPr>
      </w:pPr>
    </w:p>
    <w:p>
      <w:pPr>
        <w:ind w:left="720" w:hanging="352"/>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Step 2: Identify the performance obligations in the contract.</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Step 3: Determine the transaction price.</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Step 4: Allocate the transaction price to the performance obligations in the contract.</w:t>
      </w:r>
    </w:p>
    <w:p>
      <w:pPr>
        <w:spacing w:after="0" w:line="13" w:lineRule="exact"/>
        <w:rPr>
          <w:rFonts w:ascii="Arial" w:cs="Arial" w:eastAsia="Arial" w:hAnsi="Arial"/>
          <w:sz w:val="20"/>
          <w:szCs w:val="20"/>
          <w:color w:val="auto"/>
        </w:rPr>
      </w:pPr>
    </w:p>
    <w:p>
      <w:pPr>
        <w:ind w:left="720" w:hanging="352"/>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Step 5: Recognize revenue when, or as, the Company satisfies a performance obligation.</w:t>
      </w:r>
    </w:p>
    <w:p>
      <w:pPr>
        <w:spacing w:after="0" w:line="9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w:t>
      </w:r>
    </w:p>
    <w:p>
      <w:pPr>
        <w:spacing w:after="0" w:line="18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As no revenue was recognized during the year ended December 31, 2025 (Successor), no revenue was allocated to the lease components during this period. Revenue allocated to the lease components was immaterial for the periods from January 1, 2024 to July 30, 2024 (Predecessor) and July 31, 2024 to December 31, 2024 (Successor).</w:t>
      </w:r>
    </w:p>
    <w:p>
      <w:pPr>
        <w:spacing w:after="0" w:line="199"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Revenue from sales to customers of the Consumables is classified as revenue in the Company’s consolidated statements of operations and comprehensive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 Considerations</w:t>
      </w:r>
    </w:p>
    <w:p>
      <w:pPr>
        <w:spacing w:after="0" w:line="229"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Revenue is reported net of sales tax. The Company has made the accounting policy election not to recognize a separate performance obligation for the shipment of products to the customer but to account for it as fulfillment cost.</w:t>
      </w:r>
    </w:p>
    <w:p>
      <w:pPr>
        <w:spacing w:after="0" w:line="164" w:lineRule="exact"/>
        <w:rPr>
          <w:sz w:val="20"/>
          <w:szCs w:val="20"/>
          <w:color w:val="auto"/>
        </w:rPr>
      </w:pPr>
    </w:p>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spacing w:after="0" w:line="184"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Any incremental costs to obtain contracts are recorded as selling, general and administrative expense as incurred due to the short duration of the Company’s contracts.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720"/>
          </w:cols>
          <w:pgMar w:left="1260" w:top="1248" w:right="1260" w:bottom="719" w:gutter="0" w:footer="0" w:header="0"/>
          <w:type w:val="continuous"/>
        </w:sectPr>
      </w:pPr>
    </w:p>
    <w:bookmarkStart w:id="116" w:name="page117"/>
    <w:bookmarkEnd w:id="116"/>
    <w:p>
      <w:pPr>
        <w:jc w:val="both"/>
        <w:ind w:right="20" w:firstLine="360"/>
        <w:spacing w:after="0" w:line="252" w:lineRule="auto"/>
        <w:rPr>
          <w:sz w:val="20"/>
          <w:szCs w:val="20"/>
          <w:color w:val="auto"/>
        </w:rPr>
      </w:pPr>
      <w:r>
        <w:rPr>
          <w:rFonts w:ascii="Times New Roman" w:cs="Times New Roman" w:eastAsia="Times New Roman" w:hAnsi="Times New Roman"/>
          <w:sz w:val="20"/>
          <w:szCs w:val="20"/>
          <w:color w:val="auto"/>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184"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(Successor) no revenue was recognized. For the periods from January 1, 2024 to July 30, 2024 (Predecessor) and from July 31, 2024 to December 31, 2024 (Successor), revenue was generated only from European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3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Inventory consists of raw materials, work-in-process, and finished products and is valued at the lower of cost or net realizable value. The method by which those amounts are removed from the inventory is first-in first -out.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Property and equipment are recorded at cost, less accumulated depreciation. Depreciation and amortization are provided using the straight-line method over the estimated useful lives of the related assets, generally three to five years, or, in the case of leasehold improvements, over the remaining life of the lease term. In January 2024, the Company changed its estimate of the useful life of its consoles from five years to three years. As a result of this change in estimate, the Company recorded catch-up depreciation, which increased depreciation expense during the period from January 1, 2024 to July 30, 2024 (Predecessor).</w:t>
      </w:r>
    </w:p>
    <w:p>
      <w:pPr>
        <w:spacing w:after="0" w:line="190"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Property and equipment include equipment that is loaned to customers and located at customer premises. The Company retains ownership of the equipment (consoles) held by customers and has the right to remove the equipment if it is not being utilized according to expectations.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2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spacing w:after="0" w:line="18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The Company’s intangible assets subject to amortization and other long-lived assets, are reviewed for impairment in accordance with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 and the loss is recognized in the consolidated statements of operations and comprehensive loss.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720"/>
          </w:cols>
          <w:pgMar w:left="1260" w:top="1248" w:right="1260" w:bottom="719" w:gutter="0" w:footer="0" w:header="0"/>
          <w:type w:val="continuous"/>
        </w:sectPr>
      </w:pPr>
    </w:p>
    <w:bookmarkStart w:id="117" w:name="page118"/>
    <w:bookmarkEnd w:id="117"/>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For the year ended December 31, 2025 (Successor) and for the period from January 1, 2024 to July 30, 2024 (Predecessor), the Company determined that there was no impairment of definite-lived intangible assets. The Company determined that as of December 31, 2024, the fair value of its definite lived intangible assets was less than the carrying amount. As a result, the Company recorded a $3.8 million impairment charge during the period from July 31, 2024 to December 31, 2024 (Successor). The impairment was driven by a sustained decline in the Company’s share price and market capitalization.</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Indefinite- 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If, based on the qualitative assessment, the Company determines that it is more likely than not that the asset’s fair value is less than its carrying amount, or if the Company elects to bypass the qualitative assessment, the Company performs a quantitative impairment test. The quantitative impairment test consists of a one-step analysis that compares the fair value of the indefinite-lived intangible asset to its carrying amount. If the carrying amount exceeds the fair value, an impairment loss is recognized for the amount of the excess.</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For the year ended December 31, 2025 (Successor) and for the period from January 1, 2024 to July 30, 2024 (Predecessor), the Company determined that there was no impairment of indefinite-lived intangible assets. The Company determined that as of December 31, 2024, the fair value of its indefinite-lived intangible assets was less than the carrying amount. As a result, the Company recorded a $15.1 million impairment charge during the period from July 31, 2024 to December 31, 2024 (Successor). The impairment was driven by a sustained decline in the Company’s share price and market capitalization.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2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In accordance with ASC 350, Intangibles – Goodwill and Other, the Company tests goodwill for impairment at the reporting unit level. The Company has one reporting unit for the goodwill impairment testing purposes.</w:t>
      </w:r>
    </w:p>
    <w:p>
      <w:pPr>
        <w:spacing w:after="0" w:line="16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period from January 1, 2024 to July 30, 2024 (Predecessor) and for the year ended December 31, 2025 (Successor), the Company determined that there was no goodwill impairment.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w:t>
      </w:r>
    </w:p>
    <w:p>
      <w:pPr>
        <w:spacing w:after="0" w:line="22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had three suppliers exceed 10% of total accounts payable as of December 31, 2025 (Successor), representing 74% of accounts payable.</w:t>
      </w:r>
    </w:p>
    <w:p>
      <w:pPr>
        <w:spacing w:after="0" w:line="16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 had two suppliers exceed 10% of total accounts payable as of December 31, 2024 (Successor), representing 55% of accounts payable.</w:t>
      </w:r>
    </w:p>
    <w:p>
      <w:pPr>
        <w:spacing w:after="0" w:line="15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Company’s five and ten largest suppliers accounted for approximately 47% and 65%, respectively, of the Company’s expenditures for the period from July 31, 2024 to December 31, 2024 (Successor).</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720"/>
          </w:cols>
          <w:pgMar w:left="1260" w:top="1248" w:right="1260" w:bottom="719"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2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(Successor), and for the periods from January 1, 2024 to July 30, 2024 (Predecessor) and July 31, 2024 to December 31, 2024 (Successor), the Company determined that no impairment of long-lived assets was indicated.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 and Transactions</w:t>
      </w:r>
    </w:p>
    <w:p>
      <w:pPr>
        <w:spacing w:after="0" w:line="22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consolidated balance sheets and foreign currency translation adjustment in the consolidated statements of operations and comprehensive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1"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The Company accounts for its lease property under ASC 842. Under this guidance, arrangements meeting the definition of a lease are classified as operating or financing leases, and are recorded on the consolidated balance sheets as both a right-of -use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 -use asset is amortized over the lease term. For operating leases, interest on the lease liability and the amortization of the right-of-use asset results in straight-line rent expense over the lease term. Variable lease expenses are recorded when incurred.</w:t>
      </w:r>
    </w:p>
    <w:p>
      <w:pPr>
        <w:spacing w:after="0" w:line="195"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spacing w:after="0" w:line="18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 xml:space="preserve">In calculating the right-of-use asset and lease liability, the Company elected to combine lease and non -lease components for its real estate leases. The Company adopted the policy election to exclude short-term leases having initial terms of twelve months or less from the initial recognition provisions of ASC 842. Refer to </w:t>
      </w:r>
      <w:r>
        <w:rPr>
          <w:rFonts w:ascii="Times New Roman" w:cs="Times New Roman" w:eastAsia="Times New Roman" w:hAnsi="Times New Roman"/>
          <w:sz w:val="20"/>
          <w:szCs w:val="20"/>
          <w:i w:val="1"/>
          <w:iCs w:val="1"/>
          <w:color w:val="auto"/>
        </w:rPr>
        <w:t>Note 11 - Operating Leases</w:t>
      </w:r>
      <w:r>
        <w:rPr>
          <w:rFonts w:ascii="Times New Roman" w:cs="Times New Roman" w:eastAsia="Times New Roman" w:hAnsi="Times New Roman"/>
          <w:sz w:val="20"/>
          <w:szCs w:val="20"/>
          <w:color w:val="auto"/>
        </w:rPr>
        <w:t xml:space="preserve"> for additional details.</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Company’s implied rental agreements for its consoles qualify as operating leases and as such, revenue is recognized in accordance with ASC 842, Leases and ASC 606, Revenue from Contracts with Customers. As no revenue was recognized during the year ended December 31, 2025 (Successor), no revenue was allocated to the lease components during this period. Revenue allocated to the lease components was not significant for the periods from January 1, 2024 to July 30, 2024 (Predecessor) and July 31, 2024 to December 31, 2024 (Successor).</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720"/>
          </w:cols>
          <w:pgMar w:left="1260" w:top="1248" w:right="1260" w:bottom="719"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29"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Cost of revenue includes raw materials, direct labor, manufacturing overhead, shipping and receiving costs and other less significant indirect costs related to the production of the Company’s products.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Cost of revenue also includes the depreciation expense of consoles loaned to the customers.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costs are expensed as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corporate and financial matters, professional fees for accounting and consulting services, marketing costs and insurance costs. The Company expenses all selling, general, and administrative costs as incurred.</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720"/>
          </w:cols>
          <w:pgMar w:left="1260" w:top="1248" w:right="1260" w:bottom="719"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2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Fair value measurements are based on the premise that fair value is an exit price representing the amount that would be received to sell an asset or paid to transfer a liability in an orderly transaction between market participants. As such, fair value is a market- 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spacing w:after="0" w:line="201" w:lineRule="exact"/>
        <w:rPr>
          <w:sz w:val="20"/>
          <w:szCs w:val="20"/>
          <w:color w:val="auto"/>
        </w:rPr>
      </w:pPr>
    </w:p>
    <w:p>
      <w:pPr>
        <w:ind w:left="720" w:hanging="352"/>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Level 1-Quoted prices in active markets for identical assets or liabilities.</w:t>
      </w:r>
    </w:p>
    <w:p>
      <w:pPr>
        <w:spacing w:after="0" w:line="244" w:lineRule="exact"/>
        <w:rPr>
          <w:rFonts w:ascii="Arial" w:cs="Arial" w:eastAsia="Arial" w:hAnsi="Arial"/>
          <w:sz w:val="20"/>
          <w:szCs w:val="20"/>
          <w:color w:val="auto"/>
        </w:rPr>
      </w:pPr>
    </w:p>
    <w:p>
      <w:pPr>
        <w:ind w:left="720" w:right="20" w:hanging="352"/>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Level 2-Observable inputs other than Level 1 prices for similar assets or liabilities that are directly or indirectly observable in the marketplace.</w:t>
      </w:r>
    </w:p>
    <w:p>
      <w:pPr>
        <w:spacing w:after="0" w:line="173" w:lineRule="exact"/>
        <w:rPr>
          <w:rFonts w:ascii="Arial" w:cs="Arial" w:eastAsia="Arial" w:hAnsi="Arial"/>
          <w:sz w:val="20"/>
          <w:szCs w:val="20"/>
          <w:color w:val="auto"/>
        </w:rPr>
      </w:pPr>
    </w:p>
    <w:p>
      <w:pPr>
        <w:jc w:val="both"/>
        <w:ind w:left="720" w:right="20" w:hanging="352"/>
        <w:spacing w:after="0" w:line="258"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p>
      <w:pPr>
        <w:spacing w:after="0" w:line="180"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Option for Convertible Notes</w:t>
      </w:r>
    </w:p>
    <w:p>
      <w:pPr>
        <w:spacing w:after="0" w:line="231" w:lineRule="exact"/>
        <w:rPr>
          <w:sz w:val="20"/>
          <w:szCs w:val="20"/>
          <w:color w:val="auto"/>
        </w:rPr>
      </w:pPr>
    </w:p>
    <w:p>
      <w:pPr>
        <w:jc w:val="both"/>
        <w:ind w:right="20" w:firstLine="360"/>
        <w:spacing w:after="0" w:line="245" w:lineRule="auto"/>
        <w:rPr>
          <w:sz w:val="20"/>
          <w:szCs w:val="20"/>
          <w:color w:val="auto"/>
        </w:rPr>
      </w:pPr>
      <w:r>
        <w:rPr>
          <w:rFonts w:ascii="Times New Roman" w:cs="Times New Roman" w:eastAsia="Times New Roman" w:hAnsi="Times New Roman"/>
          <w:sz w:val="20"/>
          <w:szCs w:val="20"/>
          <w:color w:val="auto"/>
        </w:rPr>
        <w:t>As permitted under ASC 825, Financial Instruments (“ASC 825”), Legacy Adagio elected the fair value option to account for the convertible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and the Company elected the fair value option to account for the Convertible Securities Notes, in order to measure those liabilities at amounts that more accurately reflect the current economic environment in which the Legacy Adagio and the Company operated.</w:t>
      </w:r>
    </w:p>
    <w:p>
      <w:pPr>
        <w:spacing w:after="0" w:line="191"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 Convertible Securities Notes mentioned above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spacing w:after="0" w:line="17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As a result of applying the fair value option, direct costs and fees related to the issuance of the Convertible Securities Notes were expensed as incurred (i.e., not recognized as deferred costs). Refer to </w:t>
      </w:r>
      <w:r>
        <w:rPr>
          <w:rFonts w:ascii="Times New Roman" w:cs="Times New Roman" w:eastAsia="Times New Roman" w:hAnsi="Times New Roman"/>
          <w:sz w:val="20"/>
          <w:szCs w:val="20"/>
          <w:i w:val="1"/>
          <w:iCs w:val="1"/>
          <w:color w:val="auto"/>
        </w:rPr>
        <w:t>Note 4 - Fair Value Measurements</w:t>
      </w:r>
      <w:r>
        <w:rPr>
          <w:rFonts w:ascii="Times New Roman" w:cs="Times New Roman" w:eastAsia="Times New Roman" w:hAnsi="Times New Roman"/>
          <w:sz w:val="20"/>
          <w:szCs w:val="20"/>
          <w:color w:val="auto"/>
        </w:rPr>
        <w:t xml:space="preserve"> for further detail.</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720"/>
          </w:cols>
          <w:pgMar w:left="1260" w:top="1248" w:right="1260" w:bottom="719"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22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has Milestone Warrants (as defined below) issued along with the 2025 PIPE Pre-funded Warrants (as defined below) issued in the 2025 PIPE Financing (as defined below), which are classified as equity. The Company has Convert Warrants (as defined below) issued along with the Convertible Securities Notes, and PIPE Pre-funded Warrants (as defined below) issued in the 2024 PIPE Financing (as defined below), which are classified as liabilities. The Company also has PIPE Base Warrants (as defined below) issued in the 2024 PIPE Financing, which are classified as equity. Legacy Adagio had certain common stock warrants (“SVB Warrants”) issued along with the SVB Term Loan (as defined below) and pre-funded warrants to purchase Series E preferred stock (“Series E Pre-funded Warrants”), which were both classified as liabilities.</w:t>
      </w:r>
    </w:p>
    <w:p>
      <w:pPr>
        <w:spacing w:after="0" w:line="19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 determines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consolidated statements of operations and comprehensive loss.</w:t>
      </w:r>
    </w:p>
    <w:p>
      <w:pPr>
        <w:spacing w:after="0" w:line="19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consolidated balance sheets as current or non- current based on whether or not net- cash settlement of the derivative instrument could be required within twelve months of the consolidated balance sheet date.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Note 10 - Warrants</w:t>
      </w:r>
      <w:r>
        <w:rPr>
          <w:rFonts w:ascii="Times New Roman" w:cs="Times New Roman" w:eastAsia="Times New Roman" w:hAnsi="Times New Roman"/>
          <w:sz w:val="20"/>
          <w:szCs w:val="20"/>
          <w:color w:val="auto"/>
        </w:rPr>
        <w:t xml:space="preserve"> for additional information related to the warrants.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(Predecessor)</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the SVB Term Loan at residual value on the date of issuance. The expected life of the term loan is the contractual term ending on the maturity date. The Company classifies the term loan as current liabilities within twelve months of the maturity date or when otherwise due. Interest expense is recognized in the consolidated statements of operations and comprehensive loss over the contractual term of the loan.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additional information related to the term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Preferred Stock (Predecessor)</w:t>
      </w:r>
    </w:p>
    <w:p>
      <w:pPr>
        <w:spacing w:after="0" w:line="22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Company records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spacing w:after="0" w:line="84"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As the Legacy Adagio preferred stock was considered to be contingently redeemable, the Legacy Adagio preferred stock was classified outside of permanent equity.</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720"/>
          </w:cols>
          <w:pgMar w:left="1260" w:top="1248" w:right="1260" w:bottom="719"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2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recognizes compensation expense for all stock- 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 -pricing model. The determination of fair value for stock-based awards on the date of grant using an option -pricing model requires management to make certain assumptions including expected volatility, expected term, risk-free interest rate and expected dividends in addition to the Company’s common stock valuation.</w:t>
      </w:r>
    </w:p>
    <w:p>
      <w:pPr>
        <w:spacing w:after="0" w:line="19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The Company does not have sufficient historical exercise and post -vesting termination activity to provide accurate data for estimating the expected term of options and has opted to use the “simplified method,” whereby the expected term equals the arithmetic average of the vesting term and the original contractual term of the option. Based on the lack of historical data of volatility for the Company’s common stock, the Company bases its estimate of expected volatility on an average of the historical volatility of comparable public medical technology companies that reflect volatility characteristics relevant to the Company’s expected volatility analysis. The dividend yield is based upon the assumption that the Company will not declare a dividend over the life of the options. The risk- free interest rate is based on the U.S. Treasury yield curve in effect at the time of grant for bonds with maturities consistent with the expected term of the related award. Refer to </w:t>
      </w: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14 - Stock-Based Compensation</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Due to the absence of an active market for Legacy Adagio common stock, the Company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the Company considered the fair value of the common stock as of the grant date. The fair value of the common stock is determined based upon a variety of factors, including the Company’s financial position, historical performance and operating results, the Company’s stage of development, the progress of the Company’s research and development programs, the prices at which the Company sold its convertible preferred stock, the superior rights, preferences and privileges of the Company’s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consolidated financial statements. Deferred tax assets and liabilities are determined based on the difference between the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spacing w:after="0" w:line="191"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720"/>
          </w:cols>
          <w:pgMar w:left="1260" w:top="1248" w:right="1260" w:bottom="719" w:gutter="0" w:footer="0" w:header="0"/>
          <w:type w:val="continuous"/>
        </w:sectPr>
      </w:pPr>
    </w:p>
    <w:bookmarkStart w:id="123" w:name="page124"/>
    <w:bookmarkEnd w:id="123"/>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or penalties on its consolidated balance sheets and did not recognize any interest or penalties in its consolidated statements of operations and comprehensive loss for the year ended December 31, 2025 (Successor) and for the periods from January 1, 2024 to July 30, 2024 (Predecessor) and July 31, 2024 to December 31, 2024 (Successor), respectively.</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 xml:space="preserve">To date, there have been no interest or penalties charged in relation to the unrecognized tax benefits. Refer to </w:t>
      </w:r>
      <w:r>
        <w:rPr>
          <w:rFonts w:ascii="Times New Roman" w:cs="Times New Roman" w:eastAsia="Times New Roman" w:hAnsi="Times New Roman"/>
          <w:sz w:val="19"/>
          <w:szCs w:val="19"/>
          <w:i w:val="1"/>
          <w:iCs w:val="1"/>
          <w:color w:val="auto"/>
        </w:rPr>
        <w:t>Note 16</w:t>
      </w:r>
    </w:p>
    <w:p>
      <w:pPr>
        <w:spacing w:after="0" w:line="40" w:lineRule="exact"/>
        <w:rPr>
          <w:sz w:val="20"/>
          <w:szCs w:val="20"/>
          <w:color w:val="auto"/>
        </w:rPr>
      </w:pPr>
    </w:p>
    <w:p>
      <w:pPr>
        <w:ind w:left="120" w:hanging="112"/>
        <w:spacing w:after="0"/>
        <w:tabs>
          <w:tab w:leader="none" w:pos="120" w:val="left"/>
        </w:tabs>
        <w:numPr>
          <w:ilvl w:val="0"/>
          <w:numId w:val="4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for additional details.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4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ASU 2023-09, Income Taxes (Topics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new standard will be effective for public reporting for the annual periods beginning the year ended December 31, 2025. The new standard permits early adoption and can be applied prospectively or retrospectively. The Company has elected to prospectively adopt the guidance in ASU No. 2023-09, Income Taxes (Topic 740): Improvements to Income Taxes Disclosures, or ASU 2023-09, effective January 1, 2025.</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 November 2024, the FASB issued ASU 2024-03, Disaggregation of Income Statement Expenses,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720"/>
          </w:cols>
          <w:pgMar w:left="1260" w:top="1248" w:right="1260" w:bottom="719"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Note 3 – Forward Merger</w:t>
      </w:r>
    </w:p>
    <w:p>
      <w:pPr>
        <w:spacing w:after="0" w:line="245"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On February 13, 2024, ARYA, ListCo, ARYA Merger Sub, and Company Merger Sub, entered into a Business Combination Agreement, which was amended by the Consent and Amendment No. 1 to the Business Combination Agreement, dated as of June 25, 2024.</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Prior to the annual general meeting, holders of 2,707,555 shares of ARYA’s redeemable Class A ordinary shares exercised their right to redeem such shares for cash at a redemption price of $11.56 per share, for an aggregate redemption amount of $31.3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the Transaction</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Upon the consummation of the Business Combination,</w:t>
      </w:r>
    </w:p>
    <w:p>
      <w:pPr>
        <w:spacing w:after="0" w:line="228" w:lineRule="exact"/>
        <w:rPr>
          <w:sz w:val="20"/>
          <w:szCs w:val="20"/>
          <w:color w:val="auto"/>
        </w:rPr>
      </w:pPr>
    </w:p>
    <w:p>
      <w:pPr>
        <w:jc w:val="both"/>
        <w:ind w:left="720" w:hanging="352"/>
        <w:spacing w:after="0" w:line="259"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issued and outstanding Class A ordinary share of ARYA, par value $0.0001 per share, was automatically cancelled, extinguished and converted into one share of common stock, par value $0.0001 per share, of the Company (“Company’s common stock”).</w:t>
      </w:r>
    </w:p>
    <w:p>
      <w:pPr>
        <w:spacing w:after="0" w:line="177" w:lineRule="exact"/>
        <w:rPr>
          <w:rFonts w:ascii="Times New Roman" w:cs="Times New Roman" w:eastAsia="Times New Roman" w:hAnsi="Times New Roman"/>
          <w:sz w:val="20"/>
          <w:szCs w:val="20"/>
          <w:color w:val="auto"/>
        </w:rPr>
      </w:pPr>
    </w:p>
    <w:p>
      <w:pPr>
        <w:jc w:val="both"/>
        <w:ind w:left="720" w:hanging="352"/>
        <w:spacing w:after="0" w:line="245"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issued and outstanding Class B ordinary share of ARYA, par value $0.0001 per share, was automatically cancelled, extinguished and converted into the right to receive one share of the Company’s common stock, other than (i) 1,000,000 Class B ordinary shares that were forfeited by ARYA Sciences Holdings IV, a Cayman Islands exempted company (the “Sponsor”), and issued to the PIPE Investors (as defined below), including the Perceptive PIPE Investor (as defined below); (ii) 1,147,500 shares of the Company’s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90" w:lineRule="exact"/>
        <w:rPr>
          <w:rFonts w:ascii="Times New Roman" w:cs="Times New Roman" w:eastAsia="Times New Roman" w:hAnsi="Times New Roman"/>
          <w:sz w:val="20"/>
          <w:szCs w:val="20"/>
          <w:color w:val="auto"/>
        </w:rPr>
      </w:pPr>
    </w:p>
    <w:p>
      <w:pPr>
        <w:ind w:left="720" w:hanging="352"/>
        <w:spacing w:after="0" w:line="277"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warrant of Legacy Adagio (other than the Series E Pre-funded Warrants) was terminated in accordance with the terms of the applicable warrant agreement.</w:t>
      </w:r>
    </w:p>
    <w:p>
      <w:pPr>
        <w:spacing w:after="0" w:line="160" w:lineRule="exact"/>
        <w:rPr>
          <w:rFonts w:ascii="Times New Roman" w:cs="Times New Roman" w:eastAsia="Times New Roman" w:hAnsi="Times New Roman"/>
          <w:sz w:val="20"/>
          <w:szCs w:val="20"/>
          <w:color w:val="auto"/>
        </w:rPr>
      </w:pPr>
    </w:p>
    <w:p>
      <w:pPr>
        <w:jc w:val="both"/>
        <w:ind w:left="720" w:hanging="352"/>
        <w:spacing w:after="0" w:line="249"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issued and outstanding convertible promissory notes of Legacy Adagio (excluding the Bridge Financing Notes (as defined below) and the 2024 Bridge Financing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p>
      <w:pPr>
        <w:spacing w:after="0" w:line="187" w:lineRule="exact"/>
        <w:rPr>
          <w:rFonts w:ascii="Times New Roman" w:cs="Times New Roman" w:eastAsia="Times New Roman" w:hAnsi="Times New Roman"/>
          <w:sz w:val="20"/>
          <w:szCs w:val="20"/>
          <w:color w:val="auto"/>
        </w:rPr>
      </w:pPr>
    </w:p>
    <w:p>
      <w:pPr>
        <w:ind w:left="720" w:hanging="352"/>
        <w:spacing w:after="0" w:line="274"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Legacy Adagio preferred stock, par value $0.001 per share, that was issued and outstanding was automatically converted into shares of Legacy Adagio common stock on a one-to-one basis.</w:t>
      </w:r>
    </w:p>
    <w:p>
      <w:pPr>
        <w:spacing w:after="0" w:line="163" w:lineRule="exact"/>
        <w:rPr>
          <w:rFonts w:ascii="Times New Roman" w:cs="Times New Roman" w:eastAsia="Times New Roman" w:hAnsi="Times New Roman"/>
          <w:sz w:val="20"/>
          <w:szCs w:val="20"/>
          <w:color w:val="auto"/>
        </w:rPr>
      </w:pPr>
    </w:p>
    <w:p>
      <w:pPr>
        <w:jc w:val="both"/>
        <w:ind w:left="720" w:hanging="352"/>
        <w:spacing w:after="0" w:line="258"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p>
      <w:pPr>
        <w:spacing w:after="0" w:line="177" w:lineRule="exact"/>
        <w:rPr>
          <w:rFonts w:ascii="Times New Roman" w:cs="Times New Roman" w:eastAsia="Times New Roman" w:hAnsi="Times New Roman"/>
          <w:sz w:val="20"/>
          <w:szCs w:val="20"/>
          <w:color w:val="auto"/>
        </w:rPr>
      </w:pPr>
    </w:p>
    <w:p>
      <w:pPr>
        <w:jc w:val="both"/>
        <w:ind w:left="720" w:hanging="352"/>
        <w:spacing w:after="0" w:line="247"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was cancelled and extinguished in exchange for options to purchase shares of the Company’s common stock, and each issued and outstanding Legacy Adagio equity award (other than an In-the-Money Adagio Options) was automatically cancelled and extinguished for no consideration, and each holder thereof ceased to have any rights with respect thereto.</w:t>
      </w:r>
    </w:p>
    <w:p>
      <w:pPr>
        <w:spacing w:after="0" w:line="190" w:lineRule="exact"/>
        <w:rPr>
          <w:rFonts w:ascii="Times New Roman" w:cs="Times New Roman" w:eastAsia="Times New Roman" w:hAnsi="Times New Roman"/>
          <w:sz w:val="20"/>
          <w:szCs w:val="20"/>
          <w:color w:val="auto"/>
        </w:rPr>
      </w:pPr>
    </w:p>
    <w:p>
      <w:pPr>
        <w:ind w:left="720" w:hanging="352"/>
        <w:spacing w:after="0" w:line="277"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$7.0 million of 2024 Bridge Financing Notes were converted into Convertible Securities Notes and Convert Warrants (as defined below).</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720"/>
          </w:cols>
          <w:pgMar w:left="1260" w:top="1244" w:right="1260" w:bottom="719" w:gutter="0" w:footer="0" w:header="0"/>
          <w:type w:val="continuous"/>
        </w:sectPr>
      </w:pPr>
    </w:p>
    <w:bookmarkStart w:id="125" w:name="page126"/>
    <w:bookmarkEnd w:id="125"/>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9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Pursuant to the subscription agreements, the PIPE Investors committed financing valued at $64.5 million (the “2024 PIPE Financing”).</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2024 PIPE Financing included:</w:t>
      </w:r>
    </w:p>
    <w:p>
      <w:pPr>
        <w:spacing w:after="0" w:line="228" w:lineRule="exact"/>
        <w:rPr>
          <w:sz w:val="20"/>
          <w:szCs w:val="20"/>
          <w:color w:val="auto"/>
        </w:rPr>
      </w:pPr>
    </w:p>
    <w:p>
      <w:pPr>
        <w:jc w:val="both"/>
        <w:ind w:firstLine="368"/>
        <w:spacing w:after="0" w:line="259"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spacing w:after="0" w:line="177" w:lineRule="exact"/>
        <w:rPr>
          <w:rFonts w:ascii="Times New Roman" w:cs="Times New Roman" w:eastAsia="Times New Roman" w:hAnsi="Times New Roman"/>
          <w:sz w:val="20"/>
          <w:szCs w:val="20"/>
          <w:color w:val="auto"/>
        </w:rPr>
      </w:pPr>
    </w:p>
    <w:p>
      <w:pPr>
        <w:jc w:val="both"/>
        <w:ind w:firstLine="368"/>
        <w:spacing w:after="0" w:line="302" w:lineRule="auto"/>
        <w:tabs>
          <w:tab w:leader="none" w:pos="72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Commitments by certain Other PIPE Investors that were shareholders of ARYA to not to redeem 247,700 Class A shares of ARYA, resulting in the issuance of 405,772 shares of Company’s common stock and 343,756 Base Warrants.</w:t>
      </w:r>
    </w:p>
    <w:p>
      <w:pPr>
        <w:spacing w:after="0" w:line="138" w:lineRule="exact"/>
        <w:rPr>
          <w:rFonts w:ascii="Times New Roman" w:cs="Times New Roman" w:eastAsia="Times New Roman" w:hAnsi="Times New Roman"/>
          <w:sz w:val="19"/>
          <w:szCs w:val="19"/>
          <w:color w:val="auto"/>
        </w:rPr>
      </w:pPr>
    </w:p>
    <w:p>
      <w:pPr>
        <w:ind w:firstLine="368"/>
        <w:spacing w:after="0" w:line="277" w:lineRule="auto"/>
        <w:tabs>
          <w:tab w:leader="none" w:pos="72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by certain Other PIPE Investors to purchase 1,036,666 shares of the Company’s common stock, 1,440,000 Base Warrants, and 670,000 PIPE Pre-funded Warrants for a cash investment of $12 million in the Company.</w:t>
      </w:r>
    </w:p>
    <w:p>
      <w:pPr>
        <w:spacing w:after="0" w:line="160" w:lineRule="exact"/>
        <w:rPr>
          <w:rFonts w:ascii="Times New Roman" w:cs="Times New Roman" w:eastAsia="Times New Roman" w:hAnsi="Times New Roman"/>
          <w:sz w:val="20"/>
          <w:szCs w:val="20"/>
          <w:color w:val="auto"/>
        </w:rPr>
      </w:pPr>
    </w:p>
    <w:p>
      <w:pPr>
        <w:jc w:val="both"/>
        <w:ind w:firstLine="368"/>
        <w:spacing w:after="0" w:line="249"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p>
      <w:pPr>
        <w:spacing w:after="0" w:line="184" w:lineRule="exact"/>
        <w:rPr>
          <w:rFonts w:ascii="Times New Roman" w:cs="Times New Roman" w:eastAsia="Times New Roman" w:hAnsi="Times New Roman"/>
          <w:sz w:val="20"/>
          <w:szCs w:val="20"/>
          <w:color w:val="auto"/>
        </w:rPr>
      </w:pPr>
    </w:p>
    <w:p>
      <w:pPr>
        <w:ind w:firstLine="368"/>
        <w:spacing w:after="0" w:line="277"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cash investment of $15.9 million by the Perceptive PIPE Investor for a total of 2,250,352 shares of New Adagio Common Stock and 1,905,069 units of Base Warrants.</w:t>
      </w:r>
    </w:p>
    <w:p>
      <w:pPr>
        <w:spacing w:after="0" w:line="16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Refer to </w:t>
      </w:r>
      <w:r>
        <w:rPr>
          <w:rFonts w:ascii="Times New Roman" w:cs="Times New Roman" w:eastAsia="Times New Roman" w:hAnsi="Times New Roman"/>
          <w:sz w:val="20"/>
          <w:szCs w:val="20"/>
          <w:i w:val="1"/>
          <w:iCs w:val="1"/>
          <w:color w:val="auto"/>
        </w:rPr>
        <w:t>Note 9 -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Debt </w:t>
      </w:r>
      <w:r>
        <w:rPr>
          <w:rFonts w:ascii="Times New Roman" w:cs="Times New Roman" w:eastAsia="Times New Roman" w:hAnsi="Times New Roman"/>
          <w:sz w:val="20"/>
          <w:szCs w:val="20"/>
          <w:color w:val="auto"/>
        </w:rPr>
        <w:t>for details.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720"/>
          </w:cols>
          <w:pgMar w:left="1260" w:top="1248" w:right="1260" w:bottom="719"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Method of Accounting</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The Business Combination has been accounted for as a forward- merger in accordance with U.S. GAAP. Under this method of accounting, ListCo has been treated as the “accounting acquirer” and Legacy Adagio as the “accounting acquiree” for financial reporting purposes. Accordingly, for accounting purposes, the Business Combination has been accounted for using the acquisition method of accounting. The acquisition method of accounting is based on ASC 805 and uses the fair value concepts defined in ASC 820. ASC 805 requires, among other things, that assets acquired, and liabilities assumed be recognized at their fair values as of the acquisition date, with limited exceptions per ASC 805-20-30-12 through 30-23. As such, under the acquisition method of accounting, ListCo’s assets and liabilities retain their carrying amounts, and the assets and liabilities of Legacy Adagio, including any intangible assets recognized in connection with the Business Combination, are recorded at their fair values as of the acquisition date, except as otherwise required. The excess of the purchase price over the estimated fair values of net assets acquired is recorded as goodwill.</w:t>
      </w:r>
    </w:p>
    <w:p>
      <w:pPr>
        <w:spacing w:after="0" w:line="18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Under the acquisition method of accounting, ListCo was considered to be the accounting acquirer based on the terms of the Business Combination. Upon consummation of the Business Combination, the cash on hand resulted in the equity at risk being considered insufficient for Legacy Adagio to finance its activities without additional subordinated financial support. Therefore, Legacy Adagio was considered a Variable Interest Entity (“VIE”) and the primary beneficiary of Legacy Adagio was treated as the accounting acquirer.</w:t>
      </w:r>
    </w:p>
    <w:p>
      <w:pPr>
        <w:spacing w:after="0" w:line="1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ListCo is the primary beneficiary of Legacy Adagio. ListCo holds 100% of the voting rights of Legacy Adagio and controls the Board of Directors of Legacy Adagio. Therefore, ListCo has the sole power to control the significant activities that impact Legacy Adagio’s economic performance. ListCo’s equity interest in Legacy Adagio results in the right to receive benefits and the obligation to absorb the losses of Legacy Adagio that could be significant to ListCo.</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summary of the purchase price calculation (in thousands except share and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Number of the Company’s common stock issued</w:t>
            </w:r>
          </w:p>
        </w:tc>
        <w:tc>
          <w:tcPr>
            <w:tcW w:w="260" w:type="dxa"/>
            <w:vAlign w:val="bottom"/>
            <w:tcBorders>
              <w:right w:val="single" w:sz="8" w:color="DDDDDD"/>
            </w:tcBorders>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6,771,769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tcBorders>
              <w:bottom w:val="single" w:sz="8" w:color="DDDDDD"/>
            </w:tcBorders>
          </w:tcPr>
          <w:p>
            <w:pPr>
              <w:spacing w:after="0" w:line="228" w:lineRule="exact"/>
              <w:rPr>
                <w:sz w:val="20"/>
                <w:szCs w:val="20"/>
                <w:color w:val="auto"/>
              </w:rPr>
            </w:pPr>
            <w:r>
              <w:rPr>
                <w:rFonts w:ascii="Times New Roman" w:cs="Times New Roman" w:eastAsia="Times New Roman" w:hAnsi="Times New Roman"/>
                <w:sz w:val="20"/>
                <w:szCs w:val="20"/>
                <w:color w:val="auto"/>
              </w:rPr>
              <w:t>Number of replacement stock options granted to Legacy Adagio’s option holders by the Company</w:t>
            </w:r>
          </w:p>
        </w:tc>
        <w:tc>
          <w:tcPr>
            <w:tcW w:w="26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7,587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Total shares and stock options</w:t>
            </w:r>
          </w:p>
        </w:tc>
        <w:tc>
          <w:tcPr>
            <w:tcW w:w="260" w:type="dxa"/>
            <w:vAlign w:val="bottom"/>
            <w:tcBorders>
              <w:right w:val="single" w:sz="8" w:color="DDDDDD"/>
            </w:tcBorders>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6,779,356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Multiplied by the Company’s common stock price at the Closing</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right w:val="single" w:sz="8" w:color="DDDDDD"/>
            </w:tcBorders>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240" w:type="dxa"/>
            <w:vAlign w:val="bottom"/>
            <w:vMerge w:val="continue"/>
            <w:shd w:val="clear" w:color="auto" w:fill="DDDDDD"/>
          </w:tcPr>
          <w:p>
            <w:pPr>
              <w:spacing w:after="0"/>
              <w:rPr>
                <w:sz w:val="19"/>
                <w:szCs w:val="19"/>
                <w:color w:val="auto"/>
              </w:rPr>
            </w:pPr>
          </w:p>
        </w:tc>
        <w:tc>
          <w:tcPr>
            <w:tcW w:w="480" w:type="dxa"/>
            <w:vAlign w:val="bottom"/>
            <w:gridSpan w:val="2"/>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45,015</w:t>
            </w: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60" w:type="dxa"/>
            <w:vAlign w:val="bottom"/>
            <w:tcBorders>
              <w:top w:val="single" w:sz="8" w:color="DDDDDD"/>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Number of PIPE Base Warrants issued in lieu of settling Bridge Financing Notes</w:t>
            </w:r>
          </w:p>
        </w:tc>
        <w:tc>
          <w:tcPr>
            <w:tcW w:w="260" w:type="dxa"/>
            <w:vAlign w:val="bottom"/>
            <w:tcBorders>
              <w:right w:val="single" w:sz="8" w:color="DDDDDD"/>
            </w:tcBorders>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Multiplied by estimated value of PIPE Base Warrants at the Closing</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rPr>
              <w:t>Estimated fair value of PIPE Base Warrants issued in lieu of settling Bridge Financing Notes</w:t>
            </w:r>
          </w:p>
        </w:tc>
        <w:tc>
          <w:tcPr>
            <w:tcW w:w="260" w:type="dxa"/>
            <w:vAlign w:val="bottom"/>
            <w:tcBorders>
              <w:right w:val="single" w:sz="8" w:color="DDDDDD"/>
            </w:tcBorders>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240" w:type="dxa"/>
            <w:vAlign w:val="bottom"/>
            <w:vMerge w:val="continue"/>
            <w:shd w:val="clear" w:color="auto" w:fill="DDDDDD"/>
          </w:tcPr>
          <w:p>
            <w:pPr>
              <w:spacing w:after="0"/>
              <w:rPr>
                <w:sz w:val="20"/>
                <w:szCs w:val="20"/>
                <w:color w:val="auto"/>
              </w:rPr>
            </w:pPr>
          </w:p>
        </w:tc>
        <w:tc>
          <w:tcPr>
            <w:tcW w:w="480" w:type="dxa"/>
            <w:vAlign w:val="bottom"/>
            <w:gridSpan w:val="2"/>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8,531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Borders>
              <w:top w:val="single" w:sz="8" w:color="DDDDDD"/>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Total purchase price</w:t>
            </w:r>
          </w:p>
        </w:tc>
        <w:tc>
          <w:tcPr>
            <w:tcW w:w="260" w:type="dxa"/>
            <w:vAlign w:val="bottom"/>
            <w:tcBorders>
              <w:top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53,546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720"/>
          </w:cols>
          <w:pgMar w:left="1260" w:top="1248" w:right="1260" w:bottom="719"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The allocation of the purchase price was as follows (in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0" w:type="dxa"/>
            <w:vAlign w:val="bottom"/>
          </w:tcPr>
          <w:p>
            <w:pPr>
              <w:spacing w:after="0"/>
              <w:rPr>
                <w:sz w:val="20"/>
                <w:szCs w:val="20"/>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Accounts receivable, net</w:t>
            </w:r>
          </w:p>
        </w:tc>
        <w:tc>
          <w:tcPr>
            <w:tcW w:w="20" w:type="dxa"/>
            <w:vAlign w:val="bottom"/>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Inventories, net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Goodwill</w:t>
            </w:r>
          </w:p>
        </w:tc>
        <w:tc>
          <w:tcPr>
            <w:tcW w:w="20" w:type="dxa"/>
            <w:vAlign w:val="bottom"/>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44,291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 net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tcBorders>
              <w:bottom w:val="single" w:sz="8" w:color="auto"/>
            </w:tcBorders>
            <w:shd w:val="clear" w:color="auto" w:fill="DDDDDD"/>
          </w:tcPr>
          <w:p>
            <w:pPr>
              <w:spacing w:after="0"/>
              <w:rPr>
                <w:sz w:val="20"/>
                <w:szCs w:val="20"/>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40" w:type="dxa"/>
            <w:vAlign w:val="bottom"/>
            <w:tcBorders>
              <w:bottom w:val="single" w:sz="8" w:color="DDDDDD"/>
            </w:tcBorders>
          </w:tcPr>
          <w:p>
            <w:pPr>
              <w:ind w:left="220"/>
              <w:spacing w:after="0" w:line="220" w:lineRule="exact"/>
              <w:rPr>
                <w:sz w:val="20"/>
                <w:szCs w:val="20"/>
                <w:color w:val="auto"/>
              </w:rPr>
            </w:pPr>
            <w:r>
              <w:rPr>
                <w:rFonts w:ascii="Times New Roman" w:cs="Times New Roman" w:eastAsia="Times New Roman" w:hAnsi="Times New Roman"/>
                <w:sz w:val="20"/>
                <w:szCs w:val="20"/>
                <w:color w:val="auto"/>
              </w:rPr>
              <w:t>Total assets acquired</w:t>
            </w:r>
          </w:p>
        </w:tc>
        <w:tc>
          <w:tcPr>
            <w:tcW w:w="20" w:type="dxa"/>
            <w:vAlign w:val="bottom"/>
          </w:tcPr>
          <w:p>
            <w:pPr>
              <w:spacing w:after="0"/>
              <w:rPr>
                <w:sz w:val="19"/>
                <w:szCs w:val="19"/>
                <w:color w:val="auto"/>
              </w:rPr>
            </w:pPr>
          </w:p>
        </w:tc>
        <w:tc>
          <w:tcPr>
            <w:tcW w:w="2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77,252</w:t>
            </w: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824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20" w:type="dxa"/>
            <w:vAlign w:val="bottom"/>
          </w:tcPr>
          <w:p>
            <w:pPr>
              <w:spacing w:after="0"/>
              <w:rPr>
                <w:sz w:val="20"/>
                <w:szCs w:val="20"/>
                <w:color w:val="auto"/>
              </w:rPr>
            </w:pPr>
          </w:p>
        </w:tc>
        <w:tc>
          <w:tcPr>
            <w:tcW w:w="580" w:type="dxa"/>
            <w:vAlign w:val="bottom"/>
            <w:gridSpan w:val="3"/>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10,103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Accrued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3,556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Convertible notes payable, long-term</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Warrant liabilities</w:t>
            </w:r>
          </w:p>
        </w:tc>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long-term</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tcBorders>
              <w:bottom w:val="single" w:sz="8" w:color="auto"/>
            </w:tcBorders>
            <w:shd w:val="clear" w:color="auto" w:fill="DDDDDD"/>
          </w:tcPr>
          <w:p>
            <w:pPr>
              <w:spacing w:after="0"/>
              <w:rPr>
                <w:sz w:val="20"/>
                <w:szCs w:val="20"/>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40" w:type="dxa"/>
            <w:vAlign w:val="bottom"/>
            <w:tcBorders>
              <w:bottom w:val="single" w:sz="8" w:color="DDDDDD"/>
            </w:tcBorders>
          </w:tcPr>
          <w:p>
            <w:pPr>
              <w:ind w:left="220"/>
              <w:spacing w:after="0" w:line="220" w:lineRule="exact"/>
              <w:rPr>
                <w:sz w:val="20"/>
                <w:szCs w:val="20"/>
                <w:color w:val="auto"/>
              </w:rPr>
            </w:pPr>
            <w:r>
              <w:rPr>
                <w:rFonts w:ascii="Times New Roman" w:cs="Times New Roman" w:eastAsia="Times New Roman" w:hAnsi="Times New Roman"/>
                <w:sz w:val="20"/>
                <w:szCs w:val="20"/>
                <w:color w:val="auto"/>
              </w:rPr>
              <w:t>Total liabilities assumed</w:t>
            </w:r>
          </w:p>
        </w:tc>
        <w:tc>
          <w:tcPr>
            <w:tcW w:w="20" w:type="dxa"/>
            <w:vAlign w:val="bottom"/>
          </w:tcPr>
          <w:p>
            <w:pPr>
              <w:spacing w:after="0"/>
              <w:rPr>
                <w:sz w:val="19"/>
                <w:szCs w:val="19"/>
                <w:color w:val="auto"/>
              </w:rPr>
            </w:pPr>
          </w:p>
        </w:tc>
        <w:tc>
          <w:tcPr>
            <w:tcW w:w="2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23,706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total</w:t>
            </w:r>
          </w:p>
        </w:tc>
        <w:tc>
          <w:tcPr>
            <w:tcW w:w="20" w:type="dxa"/>
            <w:vAlign w:val="bottom"/>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340" w:type="dxa"/>
            <w:vAlign w:val="bottom"/>
            <w:tcBorders>
              <w:bottom w:val="single" w:sz="8" w:color="auto"/>
            </w:tcBorders>
            <w:gridSpan w:val="2"/>
            <w:shd w:val="clear" w:color="auto" w:fill="DDDDDD"/>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53,546</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Goodwill represents the excess of the total purchase consideration over the fair value of the underlying net assets and captures the value attributable to future economic benefits arising from future technology development beyond the existing pipeline of identified IPR&amp;D projects.</w:t>
      </w:r>
    </w:p>
    <w:p>
      <w:pPr>
        <w:spacing w:after="0" w:line="18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The acquired intangible assets consist of developed technology and IPR&amp;D, which were valued at $26.2 million at the Closing using the cost approach. This approach considers an asset’s replacement cost (direct and indirect) adjusted, where applicable, for obsolescence to estimate the replacement cost of the asset’s current service potential (i.e., remaining useful life and cash-flow generating capacity). Obsolescence for an acquired intangible asset may include functional (technological) obsolescence and economic (external) obsolescence. The Company has determined the estimated useful life of five years for developed technology based on consideration of the economic benefit of the asset. Refer to </w:t>
      </w:r>
      <w:r>
        <w:rPr>
          <w:rFonts w:ascii="Times New Roman" w:cs="Times New Roman" w:eastAsia="Times New Roman" w:hAnsi="Times New Roman"/>
          <w:sz w:val="20"/>
          <w:szCs w:val="20"/>
          <w:i w:val="1"/>
          <w:iCs w:val="1"/>
          <w:color w:val="auto"/>
        </w:rPr>
        <w:t xml:space="preserve">Note 7-Goodwill, net and Intangible Assets, net </w:t>
      </w:r>
      <w:r>
        <w:rPr>
          <w:rFonts w:ascii="Times New Roman" w:cs="Times New Roman" w:eastAsia="Times New Roman" w:hAnsi="Times New Roman"/>
          <w:sz w:val="20"/>
          <w:szCs w:val="20"/>
          <w:color w:val="auto"/>
        </w:rPr>
        <w:t>for details.</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 connection with the Business Combination, the transactions that occurred concurrently with the Closing Date of the Business Combination were reflected “on the line”. “On the line” describes those transactions triggered by the consummation of the Business Combination that are not recognized in the consolidated financial statements of the Predecessor nor the Successor as they are not directly attributable to either period but instead were contingent on the Business Combination.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720"/>
          </w:cols>
          <w:pgMar w:left="1260" w:top="1248" w:right="1260" w:bottom="719" w:gutter="0" w:footer="0" w:header="0"/>
          <w:type w:val="continuous"/>
        </w:sectPr>
      </w:pPr>
    </w:p>
    <w:bookmarkStart w:id="128" w:name="page129"/>
    <w:bookmarkEnd w:id="128"/>
    <w:p>
      <w:pPr>
        <w:jc w:val="both"/>
        <w:ind w:firstLine="360"/>
        <w:spacing w:after="0" w:line="305" w:lineRule="auto"/>
        <w:rPr>
          <w:sz w:val="20"/>
          <w:szCs w:val="20"/>
          <w:color w:val="auto"/>
        </w:rPr>
      </w:pPr>
      <w:r>
        <w:rPr>
          <w:rFonts w:ascii="Times New Roman" w:cs="Times New Roman" w:eastAsia="Times New Roman" w:hAnsi="Times New Roman"/>
          <w:sz w:val="19"/>
          <w:szCs w:val="19"/>
          <w:color w:val="auto"/>
        </w:rPr>
        <w:t>The number of shares of common stock issued and amounts recorded on the line within stockholders’ equity (deficit) are reflected below to arrive at the opening consolidated balance sheet of the Successor (in thousands except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6"/>
                <w:szCs w:val="16"/>
                <w:color w:val="auto"/>
              </w:rPr>
            </w:pP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APIC</w:t>
            </w: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w w:val="98"/>
              </w:rPr>
              <w:t>Accumulated Deficit</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ListCo closing equity as of July 30, 2024</w:t>
            </w:r>
          </w:p>
        </w:tc>
        <w:tc>
          <w:tcPr>
            <w:tcW w:w="160" w:type="dxa"/>
            <w:vAlign w:val="bottom"/>
            <w:shd w:val="clear" w:color="auto" w:fill="DDDDDD"/>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40" w:type="dxa"/>
            <w:vAlign w:val="bottom"/>
            <w:vMerge w:val="continue"/>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40" w:type="dxa"/>
            <w:vAlign w:val="bottom"/>
            <w:shd w:val="clear" w:color="auto" w:fill="DDDDDD"/>
          </w:tcPr>
          <w:p>
            <w:pPr>
              <w:ind w:left="9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640" w:type="dxa"/>
            <w:vAlign w:val="bottom"/>
            <w:shd w:val="clear" w:color="auto" w:fill="DDDDDD"/>
          </w:tcPr>
          <w:p>
            <w:pPr>
              <w:ind w:left="3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  2,729</w:t>
            </w:r>
          </w:p>
        </w:tc>
        <w:tc>
          <w:tcPr>
            <w:tcW w:w="340" w:type="dxa"/>
            <w:vAlign w:val="bottom"/>
            <w:gridSpan w:val="2"/>
            <w:shd w:val="clear" w:color="auto" w:fill="DDDDDD"/>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(2,734)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deficit carried over from ARYA</w:t>
            </w:r>
          </w:p>
        </w:tc>
        <w:tc>
          <w:tcPr>
            <w:tcW w:w="160" w:type="dxa"/>
            <w:vAlign w:val="bottom"/>
          </w:tcPr>
          <w:p>
            <w:pPr>
              <w:spacing w:after="0"/>
              <w:rPr>
                <w:sz w:val="20"/>
                <w:szCs w:val="20"/>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Contribution of cash proceeds in the 2024 PIPE Financing</w:t>
            </w:r>
          </w:p>
        </w:tc>
        <w:tc>
          <w:tcPr>
            <w:tcW w:w="1400" w:type="dxa"/>
            <w:vAlign w:val="bottom"/>
            <w:gridSpan w:val="3"/>
            <w:shd w:val="clear" w:color="auto" w:fill="DDDDDD"/>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3,287,018</w:t>
            </w: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23,433</w:t>
            </w: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220" w:type="dxa"/>
            <w:vAlign w:val="bottom"/>
            <w:shd w:val="clear" w:color="auto" w:fill="DDDDDD"/>
          </w:tcPr>
          <w:p>
            <w:pPr>
              <w:ind w:left="960"/>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Conversion of ARYA convertible promissory Notes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355,100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0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Conversion of ARYA Class A ordinary shares and Class B</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6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r>
      <w:tr>
        <w:trPr>
          <w:trHeight w:val="230"/>
        </w:trPr>
        <w:tc>
          <w:tcPr>
            <w:tcW w:w="50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ordinary shares</w:t>
            </w:r>
          </w:p>
        </w:tc>
        <w:tc>
          <w:tcPr>
            <w:tcW w:w="140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2,089,000</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220" w:type="dxa"/>
            <w:vAlign w:val="bottom"/>
            <w:shd w:val="clear" w:color="auto" w:fill="DDDDDD"/>
          </w:tcPr>
          <w:p>
            <w:pPr>
              <w:ind w:left="9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Conversion of Class A ordinary shares subject to redemption</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123,520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504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Shares issued for acquisition of Legacy Adagio</w:t>
            </w:r>
          </w:p>
        </w:tc>
        <w:tc>
          <w:tcPr>
            <w:tcW w:w="1400" w:type="dxa"/>
            <w:vAlign w:val="bottom"/>
            <w:gridSpan w:val="3"/>
            <w:shd w:val="clear" w:color="auto" w:fill="DDDDDD"/>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6,771,769</w:t>
            </w:r>
          </w:p>
        </w:tc>
        <w:tc>
          <w:tcPr>
            <w:tcW w:w="800" w:type="dxa"/>
            <w:vAlign w:val="bottom"/>
            <w:gridSpan w:val="3"/>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1</w:t>
            </w:r>
          </w:p>
        </w:tc>
        <w:tc>
          <w:tcPr>
            <w:tcW w:w="920" w:type="dxa"/>
            <w:vAlign w:val="bottom"/>
            <w:gridSpan w:val="4"/>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53,546</w:t>
            </w: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220" w:type="dxa"/>
            <w:vAlign w:val="bottom"/>
            <w:shd w:val="clear" w:color="auto" w:fill="DDDDDD"/>
          </w:tcPr>
          <w:p>
            <w:pPr>
              <w:ind w:left="960"/>
              <w:spacing w:after="0" w:line="228" w:lineRule="exact"/>
              <w:rPr>
                <w:sz w:val="20"/>
                <w:szCs w:val="20"/>
                <w:color w:val="auto"/>
              </w:rPr>
            </w:pPr>
            <w:r>
              <w:rPr>
                <w:rFonts w:ascii="Times New Roman" w:cs="Times New Roman" w:eastAsia="Times New Roman" w:hAnsi="Times New Roman"/>
                <w:sz w:val="20"/>
                <w:szCs w:val="20"/>
                <w:color w:val="auto"/>
              </w:rPr>
              <w:t>—</w:t>
            </w:r>
          </w:p>
        </w:tc>
      </w:tr>
      <w:tr>
        <w:trPr>
          <w:trHeight w:val="212"/>
        </w:trPr>
        <w:tc>
          <w:tcPr>
            <w:tcW w:w="50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Additional shares issued and reclassification of Class A</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shares subject to non-redemption agreements and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open market subscription agreements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761,229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5,166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r>
      <w:tr>
        <w:trPr>
          <w:trHeight w:val="221"/>
        </w:trPr>
        <w:tc>
          <w:tcPr>
            <w:tcW w:w="5040" w:type="dxa"/>
            <w:vAlign w:val="bottom"/>
            <w:tcBorders>
              <w:top w:val="single" w:sz="8" w:color="DDDDDD"/>
            </w:tcBorders>
            <w:shd w:val="clear" w:color="auto" w:fill="DDDDDD"/>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Successor’s opening equity (deficit) as of July 31, 2024</w:t>
            </w:r>
          </w:p>
        </w:tc>
        <w:tc>
          <w:tcPr>
            <w:tcW w:w="1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240" w:type="dxa"/>
            <w:vAlign w:val="bottom"/>
            <w:tcBorders>
              <w:top w:val="single" w:sz="8" w:color="auto"/>
            </w:tcBorders>
            <w:shd w:val="clear" w:color="auto" w:fill="DDDDDD"/>
          </w:tcPr>
          <w:p>
            <w:pPr>
              <w:spacing w:after="0"/>
              <w:rPr>
                <w:sz w:val="19"/>
                <w:szCs w:val="19"/>
                <w:color w:val="auto"/>
              </w:rPr>
            </w:pPr>
          </w:p>
        </w:tc>
        <w:tc>
          <w:tcPr>
            <w:tcW w:w="1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640" w:type="dxa"/>
            <w:vAlign w:val="bottom"/>
            <w:tcBorders>
              <w:top w:val="single" w:sz="8" w:color="auto"/>
            </w:tcBorders>
            <w:shd w:val="clear" w:color="auto" w:fill="DDDDDD"/>
          </w:tcPr>
          <w:p>
            <w:pPr>
              <w:spacing w:after="0"/>
              <w:rPr>
                <w:sz w:val="19"/>
                <w:szCs w:val="19"/>
                <w:color w:val="auto"/>
              </w:rPr>
            </w:pPr>
          </w:p>
        </w:tc>
        <w:tc>
          <w:tcPr>
            <w:tcW w:w="1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00" w:type="dxa"/>
            <w:vAlign w:val="bottom"/>
            <w:tcBorders>
              <w:top w:val="single" w:sz="8" w:color="auto"/>
            </w:tcBorders>
            <w:shd w:val="clear" w:color="auto" w:fill="DDDDDD"/>
          </w:tcPr>
          <w:p>
            <w:pPr>
              <w:spacing w:after="0"/>
              <w:rPr>
                <w:sz w:val="19"/>
                <w:szCs w:val="19"/>
                <w:color w:val="auto"/>
              </w:rPr>
            </w:pPr>
          </w:p>
        </w:tc>
        <w:tc>
          <w:tcPr>
            <w:tcW w:w="660" w:type="dxa"/>
            <w:vAlign w:val="bottom"/>
            <w:tcBorders>
              <w:top w:val="single" w:sz="8" w:color="auto"/>
            </w:tcBorders>
            <w:shd w:val="clear" w:color="auto" w:fill="DDDDDD"/>
          </w:tcPr>
          <w:p>
            <w:pPr>
              <w:spacing w:after="0"/>
              <w:rPr>
                <w:sz w:val="19"/>
                <w:szCs w:val="19"/>
                <w:color w:val="auto"/>
              </w:rPr>
            </w:pPr>
          </w:p>
        </w:tc>
        <w:tc>
          <w:tcPr>
            <w:tcW w:w="1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auto"/>
            </w:tcBorders>
            <w:shd w:val="clear" w:color="auto" w:fill="DDDDDD"/>
          </w:tcPr>
          <w:p>
            <w:pPr>
              <w:spacing w:after="0"/>
              <w:rPr>
                <w:sz w:val="19"/>
                <w:szCs w:val="19"/>
                <w:color w:val="auto"/>
              </w:rPr>
            </w:pPr>
          </w:p>
        </w:tc>
        <w:tc>
          <w:tcPr>
            <w:tcW w:w="1220" w:type="dxa"/>
            <w:vAlign w:val="bottom"/>
            <w:tcBorders>
              <w:top w:val="single" w:sz="8" w:color="auto"/>
            </w:tcBorders>
            <w:shd w:val="clear" w:color="auto" w:fill="DDDDDD"/>
          </w:tcPr>
          <w:p>
            <w:pPr>
              <w:spacing w:after="0"/>
              <w:rPr>
                <w:sz w:val="19"/>
                <w:szCs w:val="19"/>
                <w:color w:val="auto"/>
              </w:rPr>
            </w:pPr>
          </w:p>
        </w:tc>
      </w:tr>
      <w:tr>
        <w:trPr>
          <w:trHeight w:val="239"/>
        </w:trPr>
        <w:tc>
          <w:tcPr>
            <w:tcW w:w="50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(Successor)</w:t>
            </w:r>
          </w:p>
        </w:tc>
        <w:tc>
          <w:tcPr>
            <w:tcW w:w="140" w:type="dxa"/>
            <w:vAlign w:val="bottom"/>
            <w:shd w:val="clear" w:color="auto" w:fill="DDDDDD"/>
          </w:tcPr>
          <w:p>
            <w:pPr>
              <w:spacing w:after="0"/>
              <w:rPr>
                <w:sz w:val="20"/>
                <w:szCs w:val="20"/>
                <w:color w:val="auto"/>
              </w:rPr>
            </w:pPr>
          </w:p>
        </w:tc>
        <w:tc>
          <w:tcPr>
            <w:tcW w:w="126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13,387,636</w:t>
            </w:r>
          </w:p>
        </w:tc>
        <w:tc>
          <w:tcPr>
            <w:tcW w:w="140" w:type="dxa"/>
            <w:vAlign w:val="bottom"/>
            <w:shd w:val="clear" w:color="auto" w:fill="DDDDDD"/>
          </w:tcPr>
          <w:p>
            <w:pPr>
              <w:spacing w:after="0"/>
              <w:rPr>
                <w:sz w:val="20"/>
                <w:szCs w:val="20"/>
                <w:color w:val="auto"/>
              </w:rPr>
            </w:pPr>
          </w:p>
        </w:tc>
        <w:tc>
          <w:tcPr>
            <w:tcW w:w="66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shd w:val="clear" w:color="auto" w:fill="DDDDDD"/>
          </w:tcPr>
          <w:p>
            <w:pPr>
              <w:spacing w:after="0"/>
              <w:rPr>
                <w:sz w:val="20"/>
                <w:szCs w:val="20"/>
                <w:color w:val="auto"/>
              </w:rPr>
            </w:pPr>
          </w:p>
        </w:tc>
        <w:tc>
          <w:tcPr>
            <w:tcW w:w="12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99"/>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89,786</w:t>
            </w:r>
          </w:p>
        </w:tc>
        <w:tc>
          <w:tcPr>
            <w:tcW w:w="140" w:type="dxa"/>
            <w:vAlign w:val="bottom"/>
            <w:shd w:val="clear" w:color="auto" w:fill="DDDDDD"/>
          </w:tcPr>
          <w:p>
            <w:pPr>
              <w:spacing w:after="0"/>
              <w:rPr>
                <w:sz w:val="20"/>
                <w:szCs w:val="20"/>
                <w:color w:val="auto"/>
              </w:rPr>
            </w:pPr>
          </w:p>
        </w:tc>
        <w:tc>
          <w:tcPr>
            <w:tcW w:w="200" w:type="dxa"/>
            <w:vAlign w:val="bottom"/>
            <w:tcBorders>
              <w:bottom w:val="single" w:sz="8" w:color="auto"/>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shd w:val="clear" w:color="auto" w:fill="DDDDDD"/>
          </w:tcPr>
          <w:p>
            <w:pPr>
              <w:ind w:left="540"/>
              <w:spacing w:after="0"/>
              <w:rPr>
                <w:sz w:val="20"/>
                <w:szCs w:val="20"/>
                <w:color w:val="auto"/>
              </w:rPr>
            </w:pPr>
            <w:r>
              <w:rPr>
                <w:rFonts w:ascii="Times New Roman" w:cs="Times New Roman" w:eastAsia="Times New Roman" w:hAnsi="Times New Roman"/>
                <w:sz w:val="20"/>
                <w:szCs w:val="20"/>
                <w:color w:val="auto"/>
                <w:w w:val="96"/>
              </w:rPr>
              <w:t>(16,823)</w:t>
            </w:r>
          </w:p>
        </w:tc>
      </w:tr>
    </w:tbl>
    <w:p>
      <w:pPr>
        <w:spacing w:after="0" w:line="200" w:lineRule="exact"/>
        <w:rPr>
          <w:sz w:val="20"/>
          <w:szCs w:val="20"/>
          <w:color w:val="auto"/>
        </w:rPr>
      </w:pP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720"/>
          </w:cols>
          <w:pgMar w:left="1260" w:top="1248" w:right="1260" w:bottom="719"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Note 4 – Fair Value Measurements</w:t>
      </w:r>
    </w:p>
    <w:p>
      <w:pPr>
        <w:spacing w:after="0" w:line="23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Company’s financial instruments include its money market accounts (included as part of cash and cash equivalents), accounts receivable, accounts payable, common stock warrant liabilities (i.e. Convert Warrants and SVB Warrants), pre-funded warrant liabilities (i.e. PIPE Pre-funded Warrants), and convertible notes payables (i.e. Convertible Securities Notes and Legacy Adagio Convertible Notes). The recorded carrying amounts of cash and equivalents, accounts receivable and accounts payable approximates fair value due to their short- term nature. The convertible notes, common stock warrant liabilities, and pre-funded warrant liabilities are carried at fair value.</w:t>
      </w:r>
    </w:p>
    <w:p>
      <w:pPr>
        <w:spacing w:after="0" w:line="190"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Assets and liabilities recognized at fair value on a recurring basis in the consolidated balance sheets consist of cash equivalents, common stock warrant liabilities, pre-funded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87"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tables summarize the Company’s financial instruments at fair value based on the fair value hierarchy for each class of instrument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December 31, 2025 (Successor)</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auto"/>
            </w:tcBorders>
            <w:shd w:val="clear" w:color="auto" w:fill="DDDDDD"/>
          </w:tcPr>
          <w:p>
            <w:pPr>
              <w:spacing w:after="0"/>
              <w:rPr>
                <w:sz w:val="19"/>
                <w:szCs w:val="19"/>
                <w:color w:val="auto"/>
              </w:rPr>
            </w:pPr>
          </w:p>
        </w:tc>
        <w:tc>
          <w:tcPr>
            <w:tcW w:w="780" w:type="dxa"/>
            <w:vAlign w:val="bottom"/>
            <w:tcBorders>
              <w:top w:val="single" w:sz="8" w:color="auto"/>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auto"/>
            </w:tcBorders>
            <w:shd w:val="clear" w:color="auto" w:fill="DDDDDD"/>
          </w:tcPr>
          <w:p>
            <w:pPr>
              <w:spacing w:after="0"/>
              <w:rPr>
                <w:sz w:val="19"/>
                <w:szCs w:val="19"/>
                <w:color w:val="auto"/>
              </w:rPr>
            </w:pPr>
          </w:p>
        </w:tc>
        <w:tc>
          <w:tcPr>
            <w:tcW w:w="780" w:type="dxa"/>
            <w:vAlign w:val="bottom"/>
            <w:tcBorders>
              <w:top w:val="single" w:sz="8" w:color="auto"/>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spacing w:after="0"/>
              <w:rPr>
                <w:sz w:val="19"/>
                <w:szCs w:val="19"/>
                <w:color w:val="auto"/>
              </w:rPr>
            </w:pPr>
          </w:p>
        </w:tc>
        <w:tc>
          <w:tcPr>
            <w:tcW w:w="76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Account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Convertible Securities Notes (including accrued interest)</w:t>
            </w:r>
          </w:p>
        </w:tc>
        <w:tc>
          <w:tcPr>
            <w:tcW w:w="340" w:type="dxa"/>
            <w:vAlign w:val="bottom"/>
            <w:gridSpan w:val="2"/>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520"/>
              <w:spacing w:after="0" w:line="228"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21,040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Convert Warrants</w:t>
            </w:r>
          </w:p>
        </w:tc>
        <w:tc>
          <w:tcPr>
            <w:tcW w:w="3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DDDDD"/>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4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December 31, 2024 (Successor)</w:t>
            </w:r>
          </w:p>
        </w:tc>
        <w:tc>
          <w:tcPr>
            <w:tcW w:w="20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Account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Convertible Securities Notes (including accrued interest*)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Convert Warrants</w:t>
            </w:r>
          </w:p>
        </w:tc>
        <w:tc>
          <w:tcPr>
            <w:tcW w:w="3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DDDDD"/>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*Accrued interest as of December 31, 2024 is recorded within “Other Accrued Liabilities.”</w:t>
      </w:r>
    </w:p>
    <w:p>
      <w:pPr>
        <w:spacing w:after="0" w:line="24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There were no transfers made among the three levels in the fair value hierarchy for the year ended December 31, 2025 (Successor), and for the periods from July 31, 2024 to December 31, 2024 (Successor), and January 1, 2024 to July 30, 2024 (Predecessor).</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720"/>
          </w:cols>
          <w:pgMar w:left="1260" w:top="1244" w:right="1260" w:bottom="719"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Bridge Financing Notes (Predecessor)</w:t>
      </w:r>
    </w:p>
    <w:p>
      <w:pPr>
        <w:spacing w:after="0" w:line="22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On October 27, 2022, Legacy Adagio entered into a note purchase agreement with investors for the issuance and sale of convertible promissory notes with an aggregate principal amount of $9.5 million at an interest rate of eight percent (8.0%) per annum. On April 4, 2023, November 28, 2023, and February 13, 2024, the October 2022 Convertible Notes were amended. Upon the consummation of the Business Combination, the principal and the accrued interest of the October 2022 Convertible Notes were converted into shares of Legacy Adagio common stock. Further, on the Closing Date, Legacy Adagio common stock was converted to the Company’s common stock based on the exchange ratio set forth in the Business Combination Agreement.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details.</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April 4, 2023, Legacy Adagio issued a $5.0 million convertible promissory note to Perceptive PIPE Investor that matured upon the termination of the Business Combination Agreement in accordance with its terms. The April 2023 Convertible Notes accrued simple interest at eight percent (8.0%) per annum. Additionally, Legacy Adagio obtained the right to issue up to $10.0 million in additional convertible promissory notes. On February 13, 2023, November 28, 2023, and February 13, 2024, the April 2023 Convertible Notes were amended. Prior to the Closing Date, the $15.0 million convertible promissory note had been drawn by Legacy Adagio.</w:t>
      </w:r>
    </w:p>
    <w:p>
      <w:pPr>
        <w:spacing w:after="0" w:line="191"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On November 28, 2023, Legacy Adagio issued a $2.0 million convertible promissory note to Perceptive PIPE Investor that matured upon the termination of the Business Combination Agreement in accordance with its terms. The November 2023 Convertible Notes accrued simple interest at eight percent (8.0%) per annum. Additionally, Legacy Adagio obtained the right to issue up to $6.0 million in additional convertible promissory notes (“Delayed Draw Commitment”). On December 13, 2023, December 28, 2023, and February 13, 2024, the November 2023 Convertible Notes were amended. Prior to the Closing Date, the $8.0 million convertible promissory note had been drawn by Legacy Adagio.</w:t>
      </w:r>
    </w:p>
    <w:p>
      <w:pPr>
        <w:spacing w:after="0" w:line="17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 xml:space="preserve">On February 13, 2024, Legacy Adagio issued a $7.0 million convertible promissory note to Perceptive PIPE Investor that matured upon the termination of the Business Combination Agreement in accordance with its terms. The 2024 Bridge Financing Note accrued simple interest at eight percent (8.0%) per annum. Prior to the Closing Date, the $7.0 million convertible promissory note had been drawn by Legacy Adagio. Upon the consummation of the Business Combination, the 2024 Bridge Financing Note of $7.0 million converted into $7.0 million of the Company’s Convertible Securities Notes and 525,000 Convert Warrants.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details.</w:t>
      </w:r>
    </w:p>
    <w:p>
      <w:pPr>
        <w:spacing w:after="0" w:line="1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On May 21, 2024, Legacy Adagio issued a $3.0 million convertible promissory note to Perceptive PIPE Investor that matured upon the termination of the Business Combination Agreement in accordance with its terms. The May 2024 Convertible Notes accrued simple interest at eight percent (8.0%) per annum. Prior to the Closing Date, the $3.0 million convertible promissory note had been drawn by Legacy Adagio.</w:t>
      </w:r>
    </w:p>
    <w:p>
      <w:pPr>
        <w:spacing w:after="0" w:line="18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On June 25, 2024, Legacy Adagio issued a $2.5 million convertible promissory note to Perceptive PIPE Investor that matured upon the termination of the Business Combination Agreement in accordance with its terms. The June 2024 Convertible Notes accrued simple interest at eight percent (8.0%) per annum. Prior to the Closing Date, the $2.5 million convertible promissory note had been drawn by Legacy Adagio.</w:t>
      </w:r>
    </w:p>
    <w:p>
      <w:pPr>
        <w:spacing w:after="0" w:line="18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On July 23, 2024, Legacy Adagio issued a $1.0 million convertible promissory note to Perceptive PIPE Investor that matured upon the termination of the Business Combination Agreement in accordance with its terms. It accrued simple interest at eight percent (8.0%) per annum. Prior to the Closing Date, the $1.0 million convertible promissory note had been drawn by Legacy Adagio.</w:t>
      </w:r>
    </w:p>
    <w:p>
      <w:pPr>
        <w:spacing w:after="0" w:line="184"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 xml:space="preserve">Upon the consummation of the Business Combination, the principal of Bridge Financing Notes, along with its accrued but unpaid interest, was converted into the shares of the Company’s common stock and Base Warrants as part of the 2024 PIPE Financing.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details.</w:t>
      </w:r>
    </w:p>
    <w:p>
      <w:pPr>
        <w:spacing w:after="0" w:line="18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 measured Legacy Adagio Convertible Notes at fair value based on significant inputs not observable in the market, which caused them to be classified as Level 3 measurements within the fair value hierarchy.</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720"/>
          </w:cols>
          <w:pgMar w:left="1260" w:top="1248" w:right="1260" w:bottom="719" w:gutter="0" w:footer="0" w:header="0"/>
          <w:type w:val="continuous"/>
        </w:sectPr>
      </w:pPr>
    </w:p>
    <w:bookmarkStart w:id="131" w:name="page132"/>
    <w:bookmarkEnd w:id="131"/>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In determining the fair value of the Legacy Adagio Convertible Notes as of July 31, 2024, prior to the Closing, the Company used the observed closing stock price of ARYA as of July 31, 2024, multiplied by the actual number of shares that the Legacy Adagio Convertible Notes converted into.</w:t>
      </w:r>
    </w:p>
    <w:p>
      <w:pPr>
        <w:spacing w:after="0" w:line="18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changes in the Level 3 convertible promissory notes measured at fair value for the period from January 1, 2024 to July 30, 2024 (Predecessor)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8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center"/>
              <w:ind w:left="83"/>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(end of</w:t>
            </w: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Period from January 1 to July 30, 2024 (Predecessor)</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5"/>
              </w:rPr>
              <w:t>Additions</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380" w:type="dxa"/>
            <w:vAlign w:val="bottom"/>
            <w:shd w:val="clear" w:color="auto" w:fill="DDDDDD"/>
          </w:tcPr>
          <w:p>
            <w:pPr>
              <w:spacing w:after="0" w:line="223" w:lineRule="exact"/>
              <w:rPr>
                <w:sz w:val="20"/>
                <w:szCs w:val="20"/>
                <w:color w:val="auto"/>
              </w:rPr>
            </w:pPr>
            <w:r>
              <w:rPr>
                <w:rFonts w:ascii="Times New Roman" w:cs="Times New Roman" w:eastAsia="Times New Roman" w:hAnsi="Times New Roman"/>
                <w:sz w:val="20"/>
                <w:szCs w:val="20"/>
                <w:color w:val="auto"/>
              </w:rPr>
              <w:t>October 2022 Convertible Notes</w:t>
            </w:r>
          </w:p>
        </w:tc>
        <w:tc>
          <w:tcPr>
            <w:tcW w:w="1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lightGray"/>
              </w:rPr>
              <w:t>$  12,561</w:t>
            </w:r>
          </w:p>
        </w:tc>
        <w:tc>
          <w:tcPr>
            <w:tcW w:w="160" w:type="dxa"/>
            <w:vAlign w:val="bottom"/>
            <w:shd w:val="clear" w:color="auto" w:fill="DDDDDD"/>
          </w:tcPr>
          <w:p>
            <w:pPr>
              <w:spacing w:after="0"/>
              <w:rPr>
                <w:sz w:val="19"/>
                <w:szCs w:val="19"/>
                <w:color w:val="auto"/>
              </w:rPr>
            </w:pPr>
          </w:p>
        </w:tc>
        <w:tc>
          <w:tcPr>
            <w:tcW w:w="120" w:type="dxa"/>
            <w:vAlign w:val="bottom"/>
            <w:shd w:val="clear" w:color="auto" w:fill="DDDDDD"/>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780" w:type="dxa"/>
            <w:vAlign w:val="bottom"/>
            <w:shd w:val="clear" w:color="auto" w:fill="DDDDDD"/>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DDDDDD"/>
          </w:tcPr>
          <w:p>
            <w:pPr>
              <w:jc w:val="right"/>
              <w:spacing w:after="0" w:line="223" w:lineRule="exact"/>
              <w:rPr>
                <w:sz w:val="20"/>
                <w:szCs w:val="20"/>
                <w:color w:val="auto"/>
              </w:rPr>
            </w:pPr>
            <w:r>
              <w:rPr>
                <w:rFonts w:ascii="Times New Roman" w:cs="Times New Roman" w:eastAsia="Times New Roman" w:hAnsi="Times New Roman"/>
                <w:sz w:val="20"/>
                <w:szCs w:val="20"/>
                <w:color w:val="auto"/>
              </w:rPr>
              <w:t>$   (4,304)</w:t>
            </w:r>
          </w:p>
        </w:tc>
        <w:tc>
          <w:tcPr>
            <w:tcW w:w="320" w:type="dxa"/>
            <w:vAlign w:val="bottom"/>
            <w:gridSpan w:val="2"/>
            <w:shd w:val="clear" w:color="auto" w:fill="DDDDDD"/>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line="223" w:lineRule="exact"/>
              <w:rPr>
                <w:sz w:val="20"/>
                <w:szCs w:val="20"/>
                <w:color w:val="auto"/>
              </w:rPr>
            </w:pPr>
            <w:r>
              <w:rPr>
                <w:rFonts w:ascii="Times New Roman" w:cs="Times New Roman" w:eastAsia="Times New Roman" w:hAnsi="Times New Roman"/>
                <w:sz w:val="20"/>
                <w:szCs w:val="20"/>
                <w:color w:val="auto"/>
              </w:rPr>
              <w:t>8,257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April 2023 Convertible Notes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November 2023 Convertible Notes</w:t>
            </w:r>
          </w:p>
        </w:tc>
        <w:tc>
          <w:tcPr>
            <w:tcW w:w="160" w:type="dxa"/>
            <w:vAlign w:val="bottom"/>
            <w:shd w:val="clear" w:color="auto" w:fill="DDDDDD"/>
          </w:tcPr>
          <w:p>
            <w:pPr>
              <w:spacing w:after="0"/>
              <w:rPr>
                <w:sz w:val="20"/>
                <w:szCs w:val="20"/>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9,112</w:t>
            </w:r>
          </w:p>
        </w:tc>
        <w:tc>
          <w:tcPr>
            <w:tcW w:w="16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11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(2,373)</w:t>
            </w:r>
          </w:p>
        </w:tc>
        <w:tc>
          <w:tcPr>
            <w:tcW w:w="1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9,739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February 2024 Convertible Notes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May 2024 Convertible Notes</w:t>
            </w:r>
          </w:p>
        </w:tc>
        <w:tc>
          <w:tcPr>
            <w:tcW w:w="160" w:type="dxa"/>
            <w:vAlign w:val="bottom"/>
            <w:shd w:val="clear" w:color="auto" w:fill="DDDDDD"/>
          </w:tcPr>
          <w:p>
            <w:pPr>
              <w:spacing w:after="0"/>
              <w:rPr>
                <w:sz w:val="20"/>
                <w:szCs w:val="20"/>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11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1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June 2024 Convertible Notes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July 2024 Convertible Notes</w:t>
            </w:r>
          </w:p>
        </w:tc>
        <w:tc>
          <w:tcPr>
            <w:tcW w:w="160" w:type="dxa"/>
            <w:vAlign w:val="bottom"/>
            <w:shd w:val="clear" w:color="auto" w:fill="DDDDDD"/>
          </w:tcPr>
          <w:p>
            <w:pPr>
              <w:spacing w:after="0"/>
              <w:rPr>
                <w:sz w:val="20"/>
                <w:szCs w:val="20"/>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1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Securities Notes (Successor)</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 xml:space="preserve">On July 31, 2024, the Company issued the $20.0 million Convertible Securities Notes to the Convert Investors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details.</w:t>
      </w:r>
    </w:p>
    <w:p>
      <w:pPr>
        <w:spacing w:after="0" w:line="18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 measures the Convertible Securities Notes at fair value based on significant inputs not observable in the market, which caused them to be classified as Level 3 measurements within the fair value hierarchy.</w:t>
      </w:r>
    </w:p>
    <w:p>
      <w:pPr>
        <w:spacing w:after="0" w:line="15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 utilized the binomial lattice model to value the Convertible Securities Notes at the Closing Date as of December 31, 2025 and December 31, 2024. The following table summarizes the significant inputs as of the valuation dates: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Convertible Securities Notes</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0" w:type="dxa"/>
            <w:vAlign w:val="bottom"/>
          </w:tcPr>
          <w:p>
            <w:pPr>
              <w:spacing w:after="0"/>
              <w:rPr>
                <w:sz w:val="1"/>
                <w:szCs w:val="1"/>
                <w:color w:val="auto"/>
              </w:rPr>
            </w:pPr>
          </w:p>
        </w:tc>
      </w:tr>
      <w:tr>
        <w:trPr>
          <w:trHeight w:val="172"/>
        </w:trPr>
        <w:tc>
          <w:tcPr>
            <w:tcW w:w="4200" w:type="dxa"/>
            <w:vAlign w:val="bottom"/>
            <w:gridSpan w:val="2"/>
            <w:vMerge w:val="continue"/>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6"/>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4"/>
                <w:szCs w:val="14"/>
                <w:color w:val="auto"/>
              </w:rPr>
            </w:pPr>
          </w:p>
        </w:tc>
        <w:tc>
          <w:tcPr>
            <w:tcW w:w="14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8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Stock price</w:t>
            </w:r>
          </w:p>
        </w:tc>
        <w:tc>
          <w:tcPr>
            <w:tcW w:w="2260" w:type="dxa"/>
            <w:vAlign w:val="bottom"/>
            <w:tcBorders>
              <w:top w:val="single" w:sz="8" w:color="auto"/>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tcBorders>
            <w:shd w:val="clear" w:color="auto" w:fill="DDDDDD"/>
          </w:tcPr>
          <w:p>
            <w:pPr>
              <w:jc w:val="right"/>
              <w:ind w:right="206"/>
              <w:spacing w:after="0" w:line="220" w:lineRule="exact"/>
              <w:rPr>
                <w:sz w:val="20"/>
                <w:szCs w:val="20"/>
                <w:color w:val="auto"/>
              </w:rPr>
            </w:pPr>
            <w:r>
              <w:rPr>
                <w:rFonts w:ascii="Times New Roman" w:cs="Times New Roman" w:eastAsia="Times New Roman" w:hAnsi="Times New Roman"/>
                <w:sz w:val="20"/>
                <w:szCs w:val="20"/>
                <w:color w:val="auto"/>
              </w:rPr>
              <w:t>1.04</w:t>
            </w:r>
          </w:p>
        </w:tc>
        <w:tc>
          <w:tcPr>
            <w:tcW w:w="140" w:type="dxa"/>
            <w:vAlign w:val="bottom"/>
            <w:tcBorders>
              <w:top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shd w:val="clear" w:color="auto" w:fill="DDDDDD"/>
          </w:tcPr>
          <w:p>
            <w:pPr>
              <w:jc w:val="right"/>
              <w:ind w:right="146"/>
              <w:spacing w:after="0" w:line="220" w:lineRule="exact"/>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22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480" w:type="dxa"/>
            <w:vAlign w:val="bottom"/>
            <w:shd w:val="clear" w:color="auto" w:fill="DDDDDD"/>
          </w:tcPr>
          <w:p>
            <w:pPr>
              <w:jc w:val="right"/>
              <w:ind w:right="206"/>
              <w:spacing w:after="0"/>
              <w:rPr>
                <w:sz w:val="20"/>
                <w:szCs w:val="20"/>
                <w:color w:val="auto"/>
              </w:rPr>
            </w:pPr>
            <w:r>
              <w:rPr>
                <w:rFonts w:ascii="Times New Roman" w:cs="Times New Roman" w:eastAsia="Times New Roman" w:hAnsi="Times New Roman"/>
                <w:sz w:val="20"/>
                <w:szCs w:val="20"/>
                <w:color w:val="auto"/>
              </w:rPr>
              <w:t>2.33</w:t>
            </w:r>
          </w:p>
        </w:tc>
        <w:tc>
          <w:tcPr>
            <w:tcW w:w="140" w:type="dxa"/>
            <w:vAlign w:val="bottom"/>
            <w:shd w:val="clear" w:color="auto" w:fill="DDDDDD"/>
          </w:tcPr>
          <w:p>
            <w:pPr>
              <w:spacing w:after="0"/>
              <w:rPr>
                <w:sz w:val="20"/>
                <w:szCs w:val="20"/>
                <w:color w:val="auto"/>
              </w:rPr>
            </w:pPr>
          </w:p>
        </w:tc>
        <w:tc>
          <w:tcPr>
            <w:tcW w:w="1420" w:type="dxa"/>
            <w:vAlign w:val="bottom"/>
            <w:shd w:val="clear" w:color="auto" w:fill="DDDDDD"/>
          </w:tcPr>
          <w:p>
            <w:pPr>
              <w:jc w:val="right"/>
              <w:ind w:right="146"/>
              <w:spacing w:after="0"/>
              <w:rPr>
                <w:sz w:val="20"/>
                <w:szCs w:val="20"/>
                <w:color w:val="auto"/>
              </w:rPr>
            </w:pPr>
            <w:r>
              <w:rPr>
                <w:rFonts w:ascii="Times New Roman" w:cs="Times New Roman" w:eastAsia="Times New Roman" w:hAnsi="Times New Roman"/>
                <w:sz w:val="20"/>
                <w:szCs w:val="20"/>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Volatility</w:t>
            </w:r>
          </w:p>
        </w:tc>
        <w:tc>
          <w:tcPr>
            <w:tcW w:w="22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140" w:type="dxa"/>
            <w:vAlign w:val="bottom"/>
            <w:shd w:val="clear" w:color="auto" w:fill="DDDDDD"/>
          </w:tcPr>
          <w:p>
            <w:pPr>
              <w:spacing w:after="0"/>
              <w:rPr>
                <w:sz w:val="20"/>
                <w:szCs w:val="20"/>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changes in the Level 3 convertible promissory notes measured at fair value for the period from July 31, 2024 to December 31, 2024 (Successor)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Convertible Securities Notes - July 31, 2024 to December 31, 2024 (Successor)</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90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(beginning of period)</w:t>
            </w:r>
          </w:p>
        </w:tc>
        <w:tc>
          <w:tcPr>
            <w:tcW w:w="280" w:type="dxa"/>
            <w:vAlign w:val="bottom"/>
            <w:tcBorders>
              <w:top w:val="single" w:sz="8" w:color="DDDDDD"/>
            </w:tcBorders>
            <w:shd w:val="clear" w:color="auto" w:fill="DDDDDD"/>
          </w:tcPr>
          <w:p>
            <w:pPr>
              <w:spacing w:after="0"/>
              <w:rPr>
                <w:sz w:val="19"/>
                <w:szCs w:val="19"/>
                <w:color w:val="auto"/>
              </w:rPr>
            </w:pPr>
          </w:p>
        </w:tc>
        <w:tc>
          <w:tcPr>
            <w:tcW w:w="500" w:type="dxa"/>
            <w:vAlign w:val="bottom"/>
            <w:tcBorders>
              <w:top w:val="single" w:sz="8" w:color="DDDDDD"/>
            </w:tcBorders>
            <w:shd w:val="clear" w:color="auto" w:fill="DDDDDD"/>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17,005</w:t>
            </w:r>
          </w:p>
        </w:tc>
      </w:tr>
      <w:tr>
        <w:trPr>
          <w:trHeight w:val="231"/>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w:t>
            </w:r>
          </w:p>
        </w:tc>
      </w:tr>
      <w:tr>
        <w:trPr>
          <w:trHeight w:val="231"/>
        </w:trPr>
        <w:tc>
          <w:tcPr>
            <w:tcW w:w="20" w:type="dxa"/>
            <w:vAlign w:val="bottom"/>
          </w:tcPr>
          <w:p>
            <w:pPr>
              <w:spacing w:after="0"/>
              <w:rPr>
                <w:sz w:val="20"/>
                <w:szCs w:val="20"/>
                <w:color w:val="auto"/>
              </w:rPr>
            </w:pPr>
          </w:p>
        </w:tc>
        <w:tc>
          <w:tcPr>
            <w:tcW w:w="79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Fair value measurement adjustments</w:t>
            </w:r>
          </w:p>
        </w:tc>
        <w:tc>
          <w:tcPr>
            <w:tcW w:w="280" w:type="dxa"/>
            <w:vAlign w:val="bottom"/>
            <w:shd w:val="clear" w:color="auto" w:fill="DDDDDD"/>
          </w:tcPr>
          <w:p>
            <w:pPr>
              <w:spacing w:after="0"/>
              <w:rPr>
                <w:sz w:val="20"/>
                <w:szCs w:val="20"/>
                <w:color w:val="auto"/>
              </w:rPr>
            </w:pPr>
          </w:p>
        </w:tc>
        <w:tc>
          <w:tcPr>
            <w:tcW w:w="500" w:type="dxa"/>
            <w:vAlign w:val="bottom"/>
            <w:tcBorders>
              <w:bottom w:val="single" w:sz="8" w:color="auto"/>
            </w:tcBorders>
            <w:shd w:val="clear" w:color="auto" w:fill="DDDDDD"/>
          </w:tcPr>
          <w:p>
            <w:pPr>
              <w:spacing w:after="0"/>
              <w:rPr>
                <w:sz w:val="20"/>
                <w:szCs w:val="20"/>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(929)</w:t>
            </w:r>
          </w:p>
        </w:tc>
      </w:tr>
      <w:tr>
        <w:trPr>
          <w:trHeight w:val="231"/>
        </w:trPr>
        <w:tc>
          <w:tcPr>
            <w:tcW w:w="20" w:type="dxa"/>
            <w:vAlign w:val="bottom"/>
          </w:tcPr>
          <w:p>
            <w:pPr>
              <w:spacing w:after="0"/>
              <w:rPr>
                <w:sz w:val="20"/>
                <w:szCs w:val="20"/>
                <w:color w:val="auto"/>
              </w:rPr>
            </w:pPr>
          </w:p>
        </w:tc>
        <w:tc>
          <w:tcPr>
            <w:tcW w:w="7900" w:type="dxa"/>
            <w:vAlign w:val="bottom"/>
            <w:tcBorders>
              <w:bottom w:val="single" w:sz="8" w:color="DDDDDD"/>
            </w:tcBorders>
          </w:tcPr>
          <w:p>
            <w:pPr>
              <w:spacing w:after="0" w:line="220" w:lineRule="exact"/>
              <w:rPr>
                <w:sz w:val="20"/>
                <w:szCs w:val="20"/>
                <w:color w:val="auto"/>
              </w:rPr>
            </w:pPr>
            <w:r>
              <w:rPr>
                <w:rFonts w:ascii="Times New Roman" w:cs="Times New Roman" w:eastAsia="Times New Roman" w:hAnsi="Times New Roman"/>
                <w:sz w:val="20"/>
                <w:szCs w:val="20"/>
                <w:color w:val="auto"/>
              </w:rPr>
              <w:t>Balance (end of year*)</w:t>
            </w:r>
          </w:p>
        </w:tc>
        <w:tc>
          <w:tcPr>
            <w:tcW w:w="280" w:type="dxa"/>
            <w:vAlign w:val="bottom"/>
            <w:tcBorders>
              <w:bottom w:val="single" w:sz="8" w:color="DDDDDD"/>
            </w:tcBorders>
          </w:tcPr>
          <w:p>
            <w:pPr>
              <w:spacing w:after="0"/>
              <w:rPr>
                <w:sz w:val="20"/>
                <w:szCs w:val="20"/>
                <w:color w:val="auto"/>
              </w:rPr>
            </w:pPr>
          </w:p>
        </w:tc>
        <w:tc>
          <w:tcPr>
            <w:tcW w:w="500" w:type="dxa"/>
            <w:vAlign w:val="bottom"/>
            <w:tcBorders>
              <w:bottom w:val="single" w:sz="8" w:color="auto"/>
            </w:tcBorders>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17,180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wp:posOffset>
                </wp:positionV>
                <wp:extent cx="5025390" cy="14541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5390" cy="145415"/>
                        </a:xfrm>
                        <a:prstGeom prst="rect">
                          <a:avLst/>
                        </a:prstGeom>
                        <a:solidFill>
                          <a:srgbClr val="DDDDDD"/>
                        </a:solidFill>
                      </wps:spPr>
                      <wps:bodyPr/>
                    </wps:wsp>
                  </a:graphicData>
                </a:graphic>
              </wp:anchor>
            </w:drawing>
          </mc:Choice>
          <mc:Fallback>
            <w:pict>
              <v:rect id="Shape 18" o:spid="_x0000_s1043" style="position:absolute;margin-left:0.35pt;margin-top:-0.0999pt;width:395.7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5029835</wp:posOffset>
                </wp:positionH>
                <wp:positionV relativeFrom="paragraph">
                  <wp:posOffset>-1270</wp:posOffset>
                </wp:positionV>
                <wp:extent cx="180340" cy="14541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 cy="145415"/>
                        </a:xfrm>
                        <a:prstGeom prst="rect">
                          <a:avLst/>
                        </a:prstGeom>
                        <a:solidFill>
                          <a:srgbClr val="DDDDDD"/>
                        </a:solidFill>
                      </wps:spPr>
                      <wps:bodyPr/>
                    </wps:wsp>
                  </a:graphicData>
                </a:graphic>
              </wp:anchor>
            </w:drawing>
          </mc:Choice>
          <mc:Fallback>
            <w:pict>
              <v:rect id="Shape 19" o:spid="_x0000_s1044" style="position:absolute;margin-left:396.05pt;margin-top:-0.0999pt;width:14.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-1270</wp:posOffset>
                </wp:positionV>
                <wp:extent cx="958215" cy="14541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215" cy="145415"/>
                        </a:xfrm>
                        <a:prstGeom prst="rect">
                          <a:avLst/>
                        </a:prstGeom>
                        <a:solidFill>
                          <a:srgbClr val="DDDDDD"/>
                        </a:solidFill>
                      </wps:spPr>
                      <wps:bodyPr/>
                    </wps:wsp>
                  </a:graphicData>
                </a:graphic>
              </wp:anchor>
            </w:drawing>
          </mc:Choice>
          <mc:Fallback>
            <w:pict>
              <v:rect id="Shape 20" o:spid="_x0000_s1045" style="position:absolute;margin-left:410.25pt;margin-top:-0.0999pt;width:75.4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rPr>
          <w:sz w:val="20"/>
          <w:szCs w:val="20"/>
          <w:color w:val="auto"/>
        </w:rPr>
      </w:pPr>
      <w:r>
        <w:rPr>
          <w:rFonts w:ascii="Times New Roman" w:cs="Times New Roman" w:eastAsia="Times New Roman" w:hAnsi="Times New Roman"/>
          <w:sz w:val="16"/>
          <w:szCs w:val="16"/>
          <w:i w:val="1"/>
          <w:iCs w:val="1"/>
          <w:color w:val="auto"/>
        </w:rPr>
        <w:t>*As of December 31, 2024, the balance includes accrued interest, which is recorded within “Other Accrued Liabilities.”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720"/>
          </w:cols>
          <w:pgMar w:left="1260" w:top="1248" w:right="1260" w:bottom="719" w:gutter="0" w:footer="0" w:header="0"/>
          <w:type w:val="continuous"/>
        </w:sectPr>
      </w:pPr>
    </w:p>
    <w:bookmarkStart w:id="132" w:name="page133"/>
    <w:bookmarkEnd w:id="132"/>
    <w:p>
      <w:pPr>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changes in the Level 3 convertible promissory notes measured at fair value for the year ended December 31, 2025 (Successor)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Convertible Securities Notes - Year Ended December 31, 2025 (Successor)</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90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(beginning of year*)</w:t>
            </w:r>
          </w:p>
        </w:tc>
        <w:tc>
          <w:tcPr>
            <w:tcW w:w="280" w:type="dxa"/>
            <w:vAlign w:val="bottom"/>
            <w:tcBorders>
              <w:top w:val="single" w:sz="8" w:color="DDDDDD"/>
            </w:tcBorders>
            <w:shd w:val="clear" w:color="auto" w:fill="DDDDDD"/>
          </w:tcPr>
          <w:p>
            <w:pPr>
              <w:spacing w:after="0"/>
              <w:rPr>
                <w:sz w:val="19"/>
                <w:szCs w:val="19"/>
                <w:color w:val="auto"/>
              </w:rPr>
            </w:pPr>
          </w:p>
        </w:tc>
        <w:tc>
          <w:tcPr>
            <w:tcW w:w="500" w:type="dxa"/>
            <w:vAlign w:val="bottom"/>
            <w:tcBorders>
              <w:top w:val="single" w:sz="8" w:color="DDDDDD"/>
            </w:tcBorders>
            <w:shd w:val="clear" w:color="auto" w:fill="DDDDDD"/>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17,180</w:t>
            </w:r>
          </w:p>
        </w:tc>
      </w:tr>
      <w:tr>
        <w:trPr>
          <w:trHeight w:val="228"/>
        </w:trPr>
        <w:tc>
          <w:tcPr>
            <w:tcW w:w="20" w:type="dxa"/>
            <w:vAlign w:val="bottom"/>
          </w:tcPr>
          <w:p>
            <w:pPr>
              <w:spacing w:after="0"/>
              <w:rPr>
                <w:sz w:val="19"/>
                <w:szCs w:val="19"/>
                <w:color w:val="auto"/>
              </w:rPr>
            </w:pPr>
          </w:p>
        </w:tc>
        <w:tc>
          <w:tcPr>
            <w:tcW w:w="79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Accrued interest</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2,880</w:t>
            </w:r>
          </w:p>
        </w:tc>
      </w:tr>
      <w:tr>
        <w:trPr>
          <w:trHeight w:val="250"/>
        </w:trPr>
        <w:tc>
          <w:tcPr>
            <w:tcW w:w="20" w:type="dxa"/>
            <w:vAlign w:val="bottom"/>
          </w:tcPr>
          <w:p>
            <w:pPr>
              <w:spacing w:after="0"/>
              <w:rPr>
                <w:sz w:val="21"/>
                <w:szCs w:val="21"/>
                <w:color w:val="auto"/>
              </w:rPr>
            </w:pPr>
          </w:p>
        </w:tc>
        <w:tc>
          <w:tcPr>
            <w:tcW w:w="79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Fair value measurement adjustments</w:t>
            </w:r>
          </w:p>
        </w:tc>
        <w:tc>
          <w:tcPr>
            <w:tcW w:w="280" w:type="dxa"/>
            <w:vAlign w:val="bottom"/>
            <w:tcBorders>
              <w:bottom w:val="single" w:sz="8" w:color="DDDDDD"/>
            </w:tcBorders>
            <w:shd w:val="clear" w:color="auto" w:fill="DDDDDD"/>
          </w:tcPr>
          <w:p>
            <w:pPr>
              <w:spacing w:after="0"/>
              <w:rPr>
                <w:sz w:val="21"/>
                <w:szCs w:val="21"/>
                <w:color w:val="auto"/>
              </w:rPr>
            </w:pPr>
          </w:p>
        </w:tc>
        <w:tc>
          <w:tcPr>
            <w:tcW w:w="500" w:type="dxa"/>
            <w:vAlign w:val="bottom"/>
            <w:tcBorders>
              <w:bottom w:val="single" w:sz="8" w:color="auto"/>
            </w:tcBorders>
            <w:shd w:val="clear" w:color="auto" w:fill="DDDDDD"/>
          </w:tcPr>
          <w:p>
            <w:pPr>
              <w:spacing w:after="0"/>
              <w:rPr>
                <w:sz w:val="21"/>
                <w:szCs w:val="21"/>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980</w:t>
            </w:r>
          </w:p>
        </w:tc>
      </w:tr>
      <w:tr>
        <w:trPr>
          <w:trHeight w:val="211"/>
        </w:trPr>
        <w:tc>
          <w:tcPr>
            <w:tcW w:w="20" w:type="dxa"/>
            <w:vAlign w:val="bottom"/>
          </w:tcPr>
          <w:p>
            <w:pPr>
              <w:spacing w:after="0"/>
              <w:rPr>
                <w:sz w:val="18"/>
                <w:szCs w:val="18"/>
                <w:color w:val="auto"/>
              </w:rPr>
            </w:pPr>
          </w:p>
        </w:tc>
        <w:tc>
          <w:tcPr>
            <w:tcW w:w="7900" w:type="dxa"/>
            <w:vAlign w:val="bottom"/>
            <w:tcBorders>
              <w:bottom w:val="single" w:sz="8" w:color="DDDDDD"/>
            </w:tcBorders>
          </w:tcPr>
          <w:p>
            <w:pPr>
              <w:spacing w:after="0" w:line="200" w:lineRule="exact"/>
              <w:rPr>
                <w:sz w:val="20"/>
                <w:szCs w:val="20"/>
                <w:color w:val="auto"/>
              </w:rPr>
            </w:pPr>
            <w:r>
              <w:rPr>
                <w:rFonts w:ascii="Times New Roman" w:cs="Times New Roman" w:eastAsia="Times New Roman" w:hAnsi="Times New Roman"/>
                <w:sz w:val="20"/>
                <w:szCs w:val="20"/>
                <w:color w:val="auto"/>
              </w:rPr>
              <w:t>Balance (end of year)</w:t>
            </w:r>
          </w:p>
        </w:tc>
        <w:tc>
          <w:tcPr>
            <w:tcW w:w="280" w:type="dxa"/>
            <w:vAlign w:val="bottom"/>
            <w:tcBorders>
              <w:bottom w:val="single" w:sz="8" w:color="DDDDDD"/>
            </w:tcBorders>
          </w:tcPr>
          <w:p>
            <w:pPr>
              <w:spacing w:after="0"/>
              <w:rPr>
                <w:sz w:val="18"/>
                <w:szCs w:val="18"/>
                <w:color w:val="auto"/>
              </w:rPr>
            </w:pPr>
          </w:p>
        </w:tc>
        <w:tc>
          <w:tcPr>
            <w:tcW w:w="500" w:type="dxa"/>
            <w:vAlign w:val="bottom"/>
            <w:tcBorders>
              <w:bottom w:val="single" w:sz="8" w:color="auto"/>
            </w:tcBorders>
          </w:tcPr>
          <w:p>
            <w:pPr>
              <w:jc w:val="right"/>
              <w:ind w:right="30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21,040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-19685</wp:posOffset>
                </wp:positionV>
                <wp:extent cx="5025390" cy="16573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5390" cy="165735"/>
                        </a:xfrm>
                        <a:prstGeom prst="rect">
                          <a:avLst/>
                        </a:prstGeom>
                        <a:solidFill>
                          <a:srgbClr val="DDDDDD"/>
                        </a:solidFill>
                      </wps:spPr>
                      <wps:bodyPr/>
                    </wps:wsp>
                  </a:graphicData>
                </a:graphic>
              </wp:anchor>
            </w:drawing>
          </mc:Choice>
          <mc:Fallback>
            <w:pict>
              <v:rect id="Shape 21" o:spid="_x0000_s1046" style="position:absolute;margin-left:0.35pt;margin-top:-1.5499pt;width:395.7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5029835</wp:posOffset>
                </wp:positionH>
                <wp:positionV relativeFrom="paragraph">
                  <wp:posOffset>0</wp:posOffset>
                </wp:positionV>
                <wp:extent cx="180340" cy="14605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 cy="146050"/>
                        </a:xfrm>
                        <a:prstGeom prst="rect">
                          <a:avLst/>
                        </a:prstGeom>
                        <a:solidFill>
                          <a:srgbClr val="DDDDDD"/>
                        </a:solidFill>
                      </wps:spPr>
                      <wps:bodyPr/>
                    </wps:wsp>
                  </a:graphicData>
                </a:graphic>
              </wp:anchor>
            </w:drawing>
          </mc:Choice>
          <mc:Fallback>
            <w:pict>
              <v:rect id="Shape 22" o:spid="_x0000_s1047" style="position:absolute;margin-left:396.05pt;margin-top:0pt;width:14.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0</wp:posOffset>
                </wp:positionV>
                <wp:extent cx="958215" cy="1460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215" cy="146050"/>
                        </a:xfrm>
                        <a:prstGeom prst="rect">
                          <a:avLst/>
                        </a:prstGeom>
                        <a:solidFill>
                          <a:srgbClr val="DDDDDD"/>
                        </a:solidFill>
                      </wps:spPr>
                      <wps:bodyPr/>
                    </wps:wsp>
                  </a:graphicData>
                </a:graphic>
              </wp:anchor>
            </w:drawing>
          </mc:Choice>
          <mc:Fallback>
            <w:pict>
              <v:rect id="Shape 23" o:spid="_x0000_s1048" style="position:absolute;margin-left:410.25pt;margin-top:0pt;width:75.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rPr>
          <w:sz w:val="20"/>
          <w:szCs w:val="20"/>
          <w:color w:val="auto"/>
        </w:rPr>
      </w:pPr>
      <w:r>
        <w:rPr>
          <w:rFonts w:ascii="Times New Roman" w:cs="Times New Roman" w:eastAsia="Times New Roman" w:hAnsi="Times New Roman"/>
          <w:sz w:val="16"/>
          <w:szCs w:val="16"/>
          <w:i w:val="1"/>
          <w:iCs w:val="1"/>
          <w:color w:val="auto"/>
        </w:rPr>
        <w:t>*As of December 31, 2024, the balance includes accrued interest, which is recorded within “Other Accrued Liabilities.”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Liabilities (Predecessor)</w:t>
      </w:r>
    </w:p>
    <w:p>
      <w:pPr>
        <w:spacing w:after="0" w:line="228" w:lineRule="exact"/>
        <w:rPr>
          <w:sz w:val="20"/>
          <w:szCs w:val="20"/>
          <w:color w:val="auto"/>
        </w:rPr>
      </w:pPr>
    </w:p>
    <w:p>
      <w:pPr>
        <w:ind w:left="720" w:hanging="352"/>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Series E Pre-funded Warrants</w:t>
      </w:r>
    </w:p>
    <w:p>
      <w:pPr>
        <w:spacing w:after="0" w:line="23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 xml:space="preserve">On June 25, 2024, the Legacy Adagio issued to a certain investor the Series E Pre-funded Warrants to purchase the Legacy Adagio’s Series E Preferred Stock, in exchange for the investor’s existing holding of Series E Preferred Stock. The exercise price of the pre- funded warrants was $ 0.001 per warrant share. The Company measured the pre -funded warrants at fair value based on the indicated fair value of Series E Preferred Stock, which is not observable in the market. The measurement caused the pre-funded warrant to be classified as Level 3 measurements within the fair value hierarchy. Changes in the fair value of the pre-funded warrants were recognized as warrant liabilities fair value adjustment within the consolidated statements of operations and comprehensive loss. Refer to </w:t>
      </w:r>
      <w:r>
        <w:rPr>
          <w:rFonts w:ascii="Times New Roman" w:cs="Times New Roman" w:eastAsia="Times New Roman" w:hAnsi="Times New Roman"/>
          <w:sz w:val="19"/>
          <w:szCs w:val="19"/>
          <w:i w:val="1"/>
          <w:iCs w:val="1"/>
          <w:color w:val="auto"/>
        </w:rPr>
        <w:t>Note 10 - Warrants</w:t>
      </w:r>
      <w:r>
        <w:rPr>
          <w:rFonts w:ascii="Times New Roman" w:cs="Times New Roman" w:eastAsia="Times New Roman" w:hAnsi="Times New Roman"/>
          <w:sz w:val="19"/>
          <w:szCs w:val="19"/>
          <w:color w:val="auto"/>
        </w:rPr>
        <w:t xml:space="preserve"> for additional information.</w:t>
      </w:r>
    </w:p>
    <w:p>
      <w:pPr>
        <w:spacing w:after="0" w:line="178"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The fair value of the Series E Pre-funded Warrants was based on the fair value of the Series E Preferred Stock minus the exercise price. As of June 30, 2024, the Company estimated the fair value of the Series E Preferred Stock by applying a conversion factor of 1.08 to the indicated fair value of Legacy Adagio common stock.</w:t>
      </w:r>
    </w:p>
    <w:p>
      <w:pPr>
        <w:spacing w:after="0" w:line="18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As of July 31, 2024, prior to the Closing, the Company estimated the fair value of Series E Pre -funded Warrants based on the observed closing stock price of ARYA as of July 31, 2024, multiplied by the actual number of shares that the Series E Pre-funded Warrants converted into. The estimated fair value of the Series E Pre-funded Warrants as of June 30, 2024 and July 31, 2024, prior to the Closing was $0.3 million and $0.2 million, respectively. The change in fair value for the period from July 1, 2024, to July 30, 2024 (Predecessor) was $0.1 million.</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Upon the consummation of the Business Combination, the Series E Pre-funded Warrants were automatically cancelled and extinguished and converted into shares of the Company’s common stock based on the exchange ratio set forth in the Business Combination Agreement.</w:t>
      </w:r>
    </w:p>
    <w:p>
      <w:pPr>
        <w:spacing w:after="0" w:line="178"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20"/>
          <w:szCs w:val="20"/>
          <w:color w:val="auto"/>
        </w:rPr>
        <w:t>ii.</w:t>
        <w:tab/>
        <w:t>SVB Warrants</w:t>
      </w:r>
    </w:p>
    <w:p>
      <w:pPr>
        <w:spacing w:after="0" w:line="23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On February 3, 2023, in conjunction with the Loan and Security Agreement (“LSA”) with Silicon Valley Bank (“SVB Term Loan”), Legacy Adagio issued Initial Warrants (as defined below) to purchase shares of common stock of the Company, and a contingent right to obtain an additional share of the common stock upon the non- occurrence of the Interest Only Milestone (as defined below). The Company measured SVB Warrants at fair value based on significant inputs not observable in the market, which caused them to be classified as Level 3 measurements within the fair value hierarchy. Changes in the fair value of the common stock warrants related to updated assumptions and estimates were recognized as warrant liabilities fair value adjustment within the consolidated statements of operations and comprehensive loss.</w:t>
      </w:r>
    </w:p>
    <w:p>
      <w:pPr>
        <w:spacing w:after="0" w:line="178"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There were no material changes in fair value for the periods from July 1, 2024 to July 30, 2024 (Predecessor), and from January 1, 2024 to July 30, 2024 (Predecessor).</w:t>
      </w:r>
    </w:p>
    <w:p>
      <w:pPr>
        <w:spacing w:after="0" w:line="16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The SVB Warrants were terminated prior to the consummation of the Business Combination as the fair market value of Legacy Adagio common stock was lower than the warrant exercise price before the Closing. Refer to </w:t>
      </w:r>
      <w:r>
        <w:rPr>
          <w:rFonts w:ascii="Times New Roman" w:cs="Times New Roman" w:eastAsia="Times New Roman" w:hAnsi="Times New Roman"/>
          <w:sz w:val="20"/>
          <w:szCs w:val="20"/>
          <w:i w:val="1"/>
          <w:iCs w:val="1"/>
          <w:color w:val="auto"/>
        </w:rPr>
        <w:t>Note 10 - Warrants</w:t>
      </w:r>
      <w:r>
        <w:rPr>
          <w:rFonts w:ascii="Times New Roman" w:cs="Times New Roman" w:eastAsia="Times New Roman" w:hAnsi="Times New Roman"/>
          <w:sz w:val="20"/>
          <w:szCs w:val="20"/>
          <w:color w:val="auto"/>
        </w:rPr>
        <w:t xml:space="preserve"> for additional information.</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720"/>
          </w:cols>
          <w:pgMar w:left="1260" w:top="1248" w:right="1260" w:bottom="719"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Liabilities (Successor)</w:t>
      </w:r>
    </w:p>
    <w:p>
      <w:pPr>
        <w:spacing w:after="0" w:line="229" w:lineRule="exact"/>
        <w:rPr>
          <w:sz w:val="20"/>
          <w:szCs w:val="20"/>
          <w:color w:val="auto"/>
        </w:rPr>
      </w:pPr>
    </w:p>
    <w:p>
      <w:pPr>
        <w:ind w:left="720" w:hanging="352"/>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 Warrants</w:t>
      </w:r>
    </w:p>
    <w:p>
      <w:pPr>
        <w:spacing w:after="0" w:line="23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 xml:space="preserve">On July 31, 2024, the Company issued 1,500,000 Convert Warrants in connection with the issuance of the $20.0 million Convertible Securities Notes. Refer to </w:t>
      </w:r>
      <w:r>
        <w:rPr>
          <w:rFonts w:ascii="Times New Roman" w:cs="Times New Roman" w:eastAsia="Times New Roman" w:hAnsi="Times New Roman"/>
          <w:sz w:val="20"/>
          <w:szCs w:val="20"/>
          <w:i w:val="1"/>
          <w:iCs w:val="1"/>
          <w:color w:val="auto"/>
        </w:rPr>
        <w:t>Note 10 - Warrants</w:t>
      </w:r>
      <w:r>
        <w:rPr>
          <w:rFonts w:ascii="Times New Roman" w:cs="Times New Roman" w:eastAsia="Times New Roman" w:hAnsi="Times New Roman"/>
          <w:sz w:val="20"/>
          <w:szCs w:val="20"/>
          <w:color w:val="auto"/>
        </w:rPr>
        <w:t xml:space="preserve"> for additional information.</w:t>
      </w:r>
    </w:p>
    <w:p>
      <w:pPr>
        <w:spacing w:after="0" w:line="16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As set forth in the agreement of the Convertible Securities Notes, the Convert Warrants are exercisable on a cashless basis or on a gross basis for one share of the Company’s common stock at $ 24.0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Convert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9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Convert Warrants are classified as Level 3 measurements within the fair value hierarchy. The Company utilized the Black -Scholes-Merton option model to value the Convertible Securities Notes as of December 31, 2025 and December 31, 2024. The following table summarizes the significant inputs as of the valuation dates: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Convert Warrants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0" w:type="dxa"/>
            <w:vAlign w:val="bottom"/>
          </w:tcPr>
          <w:p>
            <w:pPr>
              <w:spacing w:after="0"/>
              <w:rPr>
                <w:sz w:val="1"/>
                <w:szCs w:val="1"/>
                <w:color w:val="auto"/>
              </w:rPr>
            </w:pPr>
          </w:p>
        </w:tc>
      </w:tr>
      <w:tr>
        <w:trPr>
          <w:trHeight w:val="174"/>
        </w:trPr>
        <w:tc>
          <w:tcPr>
            <w:tcW w:w="6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5"/>
                <w:szCs w:val="15"/>
                <w:color w:val="auto"/>
              </w:rPr>
            </w:pPr>
          </w:p>
        </w:tc>
        <w:tc>
          <w:tcPr>
            <w:tcW w:w="1360" w:type="dxa"/>
            <w:vAlign w:val="bottom"/>
            <w:tcBorders>
              <w:top w:val="single" w:sz="8" w:color="auto"/>
            </w:tcBorders>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shd w:val="clear" w:color="auto" w:fill="000000"/>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DDDDDD"/>
            </w:tcBorders>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63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Common stock price</w:t>
            </w:r>
          </w:p>
        </w:tc>
        <w:tc>
          <w:tcPr>
            <w:tcW w:w="22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1.04</w:t>
            </w:r>
          </w:p>
        </w:tc>
        <w:tc>
          <w:tcPr>
            <w:tcW w:w="220" w:type="dxa"/>
            <w:vAlign w:val="bottom"/>
            <w:tcBorders>
              <w:right w:val="single" w:sz="8" w:color="DDDDDD"/>
            </w:tcBorders>
            <w:shd w:val="clear" w:color="auto" w:fill="DDDDDD"/>
          </w:tcPr>
          <w:p>
            <w:pPr>
              <w:spacing w:after="0"/>
              <w:rPr>
                <w:sz w:val="19"/>
                <w:szCs w:val="19"/>
                <w:color w:val="auto"/>
              </w:rPr>
            </w:pPr>
          </w:p>
        </w:tc>
        <w:tc>
          <w:tcPr>
            <w:tcW w:w="220" w:type="dxa"/>
            <w:vAlign w:val="bottom"/>
            <w:shd w:val="clear" w:color="auto" w:fill="DDDDDD"/>
          </w:tcPr>
          <w:p>
            <w:pPr>
              <w:jc w:val="right"/>
              <w:ind w:right="3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DDDDDD"/>
          </w:tcPr>
          <w:p>
            <w:pPr>
              <w:ind w:left="740"/>
              <w:spacing w:after="0" w:line="220" w:lineRule="exact"/>
              <w:rPr>
                <w:sz w:val="20"/>
                <w:szCs w:val="20"/>
                <w:color w:val="auto"/>
              </w:rPr>
            </w:pPr>
            <w:r>
              <w:rPr>
                <w:rFonts w:ascii="Times New Roman" w:cs="Times New Roman" w:eastAsia="Times New Roman" w:hAnsi="Times New Roman"/>
                <w:sz w:val="20"/>
                <w:szCs w:val="20"/>
                <w:color w:val="auto"/>
              </w:rPr>
              <w:t>1.05</w:t>
            </w:r>
          </w:p>
        </w:tc>
        <w:tc>
          <w:tcPr>
            <w:tcW w:w="1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20" w:type="dxa"/>
            <w:vAlign w:val="bottom"/>
          </w:tcPr>
          <w:p>
            <w:pPr>
              <w:spacing w:after="0"/>
              <w:rPr>
                <w:sz w:val="20"/>
                <w:szCs w:val="20"/>
                <w:color w:val="auto"/>
              </w:rPr>
            </w:pPr>
          </w:p>
        </w:tc>
        <w:tc>
          <w:tcPr>
            <w:tcW w:w="13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w w:val="98"/>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Risk free rate</w:t>
            </w:r>
          </w:p>
        </w:tc>
        <w:tc>
          <w:tcPr>
            <w:tcW w:w="22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220" w:type="dxa"/>
            <w:vAlign w:val="bottom"/>
            <w:tcBorders>
              <w:righ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20" w:type="dxa"/>
            <w:vAlign w:val="bottom"/>
            <w:shd w:val="clear" w:color="auto" w:fill="DDDDDD"/>
          </w:tcPr>
          <w:p>
            <w:pPr>
              <w:spacing w:after="0"/>
              <w:rPr>
                <w:sz w:val="20"/>
                <w:szCs w:val="20"/>
                <w:color w:val="auto"/>
              </w:rPr>
            </w:pPr>
          </w:p>
        </w:tc>
        <w:tc>
          <w:tcPr>
            <w:tcW w:w="1320" w:type="dxa"/>
            <w:vAlign w:val="bottom"/>
            <w:gridSpan w:val="2"/>
            <w:shd w:val="clear" w:color="auto" w:fill="DDDDDD"/>
          </w:tcPr>
          <w:p>
            <w:pPr>
              <w:ind w:left="740"/>
              <w:spacing w:after="0"/>
              <w:rPr>
                <w:sz w:val="20"/>
                <w:szCs w:val="20"/>
                <w:color w:val="auto"/>
              </w:rPr>
            </w:pPr>
            <w:r>
              <w:rPr>
                <w:rFonts w:ascii="Times New Roman" w:cs="Times New Roman" w:eastAsia="Times New Roman" w:hAnsi="Times New Roman"/>
                <w:sz w:val="20"/>
                <w:szCs w:val="20"/>
                <w:color w:val="auto"/>
                <w:w w:val="98"/>
              </w:rPr>
              <w:t>4.36 %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2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Expected term (years)</w:t>
            </w:r>
          </w:p>
        </w:tc>
        <w:tc>
          <w:tcPr>
            <w:tcW w:w="2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5.58</w:t>
            </w:r>
          </w:p>
        </w:tc>
        <w:tc>
          <w:tcPr>
            <w:tcW w:w="220" w:type="dxa"/>
            <w:vAlign w:val="bottom"/>
            <w:tcBorders>
              <w:right w:val="single" w:sz="8" w:color="DDDDDD"/>
            </w:tcBorders>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40" w:type="dxa"/>
            <w:vAlign w:val="bottom"/>
            <w:shd w:val="clear" w:color="auto" w:fill="DDDDDD"/>
          </w:tcPr>
          <w:p>
            <w:pPr>
              <w:ind w:left="740"/>
              <w:spacing w:after="0" w:line="228" w:lineRule="exact"/>
              <w:rPr>
                <w:sz w:val="20"/>
                <w:szCs w:val="20"/>
                <w:color w:val="auto"/>
              </w:rPr>
            </w:pPr>
            <w:r>
              <w:rPr>
                <w:rFonts w:ascii="Times New Roman" w:cs="Times New Roman" w:eastAsia="Times New Roman" w:hAnsi="Times New Roman"/>
                <w:sz w:val="20"/>
                <w:szCs w:val="20"/>
                <w:color w:val="auto"/>
              </w:rPr>
              <w:t>6.58</w:t>
            </w:r>
          </w:p>
        </w:tc>
        <w:tc>
          <w:tcPr>
            <w:tcW w:w="1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changes in the Level 3 Convert Warrants measured at fair value for the period from July 31, 2024 to December 31, 2024 (Successor)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Convert Warrants - July 31, 2024 to December 31, 2024 (Successor)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8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(beginning of period)</w:t>
            </w:r>
          </w:p>
        </w:tc>
        <w:tc>
          <w:tcPr>
            <w:tcW w:w="700" w:type="dxa"/>
            <w:vAlign w:val="bottom"/>
            <w:tcBorders>
              <w:top w:val="single" w:sz="8" w:color="DDDDDD"/>
            </w:tcBorders>
            <w:gridSpan w:val="3"/>
            <w:shd w:val="clear" w:color="auto" w:fill="DDDDDD"/>
          </w:tcPr>
          <w:p>
            <w:pPr>
              <w:jc w:val="right"/>
              <w:ind w:right="3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2,996</w:t>
            </w:r>
          </w:p>
        </w:tc>
      </w:tr>
      <w:tr>
        <w:trPr>
          <w:trHeight w:val="228"/>
        </w:trPr>
        <w:tc>
          <w:tcPr>
            <w:tcW w:w="20" w:type="dxa"/>
            <w:vAlign w:val="bottom"/>
          </w:tcPr>
          <w:p>
            <w:pPr>
              <w:spacing w:after="0"/>
              <w:rPr>
                <w:sz w:val="19"/>
                <w:szCs w:val="19"/>
                <w:color w:val="auto"/>
              </w:rPr>
            </w:pPr>
          </w:p>
        </w:tc>
        <w:tc>
          <w:tcPr>
            <w:tcW w:w="8080" w:type="dxa"/>
            <w:vAlign w:val="bottom"/>
            <w:tcBorders>
              <w:bottom w:val="single" w:sz="8" w:color="DDDDDD"/>
            </w:tcBorders>
          </w:tcPr>
          <w:p>
            <w:pPr>
              <w:spacing w:after="0" w:line="228" w:lineRule="exact"/>
              <w:rPr>
                <w:sz w:val="20"/>
                <w:szCs w:val="20"/>
                <w:color w:val="auto"/>
              </w:rPr>
            </w:pPr>
            <w:r>
              <w:rPr>
                <w:rFonts w:ascii="Times New Roman" w:cs="Times New Roman" w:eastAsia="Times New Roman" w:hAnsi="Times New Roman"/>
                <w:sz w:val="20"/>
                <w:szCs w:val="20"/>
                <w:color w:val="auto"/>
              </w:rPr>
              <w:t>Fair value measurement adjustments</w:t>
            </w:r>
          </w:p>
        </w:tc>
        <w:tc>
          <w:tcPr>
            <w:tcW w:w="2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(2,844)</w:t>
            </w:r>
          </w:p>
        </w:tc>
      </w:tr>
      <w:tr>
        <w:trPr>
          <w:trHeight w:val="231"/>
        </w:trPr>
        <w:tc>
          <w:tcPr>
            <w:tcW w:w="20" w:type="dxa"/>
            <w:vAlign w:val="bottom"/>
          </w:tcPr>
          <w:p>
            <w:pPr>
              <w:spacing w:after="0"/>
              <w:rPr>
                <w:sz w:val="20"/>
                <w:szCs w:val="20"/>
                <w:color w:val="auto"/>
              </w:rPr>
            </w:pPr>
          </w:p>
        </w:tc>
        <w:tc>
          <w:tcPr>
            <w:tcW w:w="8080" w:type="dxa"/>
            <w:vAlign w:val="bottom"/>
            <w:shd w:val="clear" w:color="auto" w:fill="DDDDDD"/>
          </w:tcPr>
          <w:p>
            <w:pPr>
              <w:spacing w:after="0" w:line="221" w:lineRule="exact"/>
              <w:rPr>
                <w:sz w:val="20"/>
                <w:szCs w:val="20"/>
                <w:color w:val="auto"/>
              </w:rPr>
            </w:pPr>
            <w:r>
              <w:rPr>
                <w:rFonts w:ascii="Times New Roman" w:cs="Times New Roman" w:eastAsia="Times New Roman" w:hAnsi="Times New Roman"/>
                <w:sz w:val="20"/>
                <w:szCs w:val="20"/>
                <w:color w:val="auto"/>
              </w:rPr>
              <w:t>Balance (end of year)</w:t>
            </w:r>
          </w:p>
        </w:tc>
        <w:tc>
          <w:tcPr>
            <w:tcW w:w="240" w:type="dxa"/>
            <w:vAlign w:val="bottom"/>
            <w:shd w:val="clear" w:color="auto" w:fill="DDDDDD"/>
          </w:tcPr>
          <w:p>
            <w:pPr>
              <w:spacing w:after="0"/>
              <w:rPr>
                <w:sz w:val="20"/>
                <w:szCs w:val="20"/>
                <w:color w:val="auto"/>
              </w:rPr>
            </w:pPr>
          </w:p>
        </w:tc>
        <w:tc>
          <w:tcPr>
            <w:tcW w:w="460" w:type="dxa"/>
            <w:vAlign w:val="bottom"/>
            <w:tcBorders>
              <w:bottom w:val="single" w:sz="8" w:color="auto"/>
            </w:tcBorders>
            <w:gridSpan w:val="2"/>
            <w:shd w:val="clear" w:color="auto" w:fill="DDDDDD"/>
          </w:tcPr>
          <w:p>
            <w:pPr>
              <w:jc w:val="right"/>
              <w:ind w:right="34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152</w:t>
            </w:r>
          </w:p>
        </w:tc>
      </w:tr>
    </w:tbl>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changes in the Level 3 Convert Warrants measured at fair value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(Successor)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Convert Warrants - Year Ended December 31, 2025 (Successor)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8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(beginning of year)</w:t>
            </w:r>
          </w:p>
        </w:tc>
        <w:tc>
          <w:tcPr>
            <w:tcW w:w="800" w:type="dxa"/>
            <w:vAlign w:val="bottom"/>
            <w:tcBorders>
              <w:top w:val="single" w:sz="8" w:color="DDDDDD"/>
            </w:tcBorders>
            <w:gridSpan w:val="3"/>
            <w:shd w:val="clear" w:color="auto" w:fill="DDDDDD"/>
          </w:tcPr>
          <w:p>
            <w:pPr>
              <w:jc w:val="right"/>
              <w:ind w:right="4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152</w:t>
            </w:r>
          </w:p>
        </w:tc>
      </w:tr>
      <w:tr>
        <w:trPr>
          <w:trHeight w:val="230"/>
        </w:trPr>
        <w:tc>
          <w:tcPr>
            <w:tcW w:w="20" w:type="dxa"/>
            <w:vAlign w:val="bottom"/>
          </w:tcPr>
          <w:p>
            <w:pPr>
              <w:spacing w:after="0"/>
              <w:rPr>
                <w:sz w:val="20"/>
                <w:szCs w:val="20"/>
                <w:color w:val="auto"/>
              </w:rPr>
            </w:pPr>
          </w:p>
        </w:tc>
        <w:tc>
          <w:tcPr>
            <w:tcW w:w="808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Fair value measurement adjustments</w:t>
            </w:r>
          </w:p>
        </w:tc>
        <w:tc>
          <w:tcPr>
            <w:tcW w:w="2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29"/>
        </w:trPr>
        <w:tc>
          <w:tcPr>
            <w:tcW w:w="20" w:type="dxa"/>
            <w:vAlign w:val="bottom"/>
          </w:tcPr>
          <w:p>
            <w:pPr>
              <w:spacing w:after="0"/>
              <w:rPr>
                <w:sz w:val="19"/>
                <w:szCs w:val="19"/>
                <w:color w:val="auto"/>
              </w:rPr>
            </w:pPr>
          </w:p>
        </w:tc>
        <w:tc>
          <w:tcPr>
            <w:tcW w:w="808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(end of year)</w:t>
            </w:r>
          </w:p>
        </w:tc>
        <w:tc>
          <w:tcPr>
            <w:tcW w:w="240" w:type="dxa"/>
            <w:vAlign w:val="bottom"/>
            <w:shd w:val="clear" w:color="auto" w:fill="DDDDDD"/>
          </w:tcPr>
          <w:p>
            <w:pPr>
              <w:spacing w:after="0"/>
              <w:rPr>
                <w:sz w:val="19"/>
                <w:szCs w:val="19"/>
                <w:color w:val="auto"/>
              </w:rPr>
            </w:pPr>
          </w:p>
        </w:tc>
        <w:tc>
          <w:tcPr>
            <w:tcW w:w="560" w:type="dxa"/>
            <w:vAlign w:val="bottom"/>
            <w:tcBorders>
              <w:bottom w:val="single" w:sz="8" w:color="auto"/>
            </w:tcBorders>
            <w:gridSpan w:val="2"/>
            <w:shd w:val="clear" w:color="auto" w:fill="DDDDDD"/>
          </w:tcPr>
          <w:p>
            <w:pPr>
              <w:jc w:val="right"/>
              <w:ind w:right="44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132</w:t>
            </w:r>
          </w:p>
        </w:tc>
      </w:tr>
    </w:tbl>
    <w:p>
      <w:pPr>
        <w:spacing w:after="0" w:line="200" w:lineRule="exact"/>
        <w:rPr>
          <w:sz w:val="20"/>
          <w:szCs w:val="20"/>
          <w:color w:val="auto"/>
        </w:rPr>
      </w:pP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720"/>
          </w:cols>
          <w:pgMar w:left="1260" w:top="1248" w:right="1260" w:bottom="719" w:gutter="0" w:footer="0" w:header="0"/>
          <w:type w:val="continuous"/>
        </w:sectPr>
      </w:pPr>
    </w:p>
    <w:bookmarkStart w:id="134" w:name="page135"/>
    <w:bookmarkEnd w:id="134"/>
    <w:p>
      <w:pPr>
        <w:ind w:left="720" w:hanging="352"/>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PIPE Pre-funded Warrants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On July 31, 2024, the Company issued 670,000 pre-funded warrants in exchange for cash proceeds in the 2024 PIPE Financing to certain Other PIPE Investors (“PIPE Pre-funded Warrants”). Refer to </w:t>
      </w:r>
      <w:r>
        <w:rPr>
          <w:rFonts w:ascii="Times New Roman" w:cs="Times New Roman" w:eastAsia="Times New Roman" w:hAnsi="Times New Roman"/>
          <w:sz w:val="20"/>
          <w:szCs w:val="20"/>
          <w:i w:val="1"/>
          <w:iCs w:val="1"/>
          <w:color w:val="auto"/>
        </w:rPr>
        <w:t>Note 10 - Warrants</w:t>
      </w:r>
      <w:r>
        <w:rPr>
          <w:rFonts w:ascii="Times New Roman" w:cs="Times New Roman" w:eastAsia="Times New Roman" w:hAnsi="Times New Roman"/>
          <w:sz w:val="20"/>
          <w:szCs w:val="20"/>
          <w:color w:val="auto"/>
        </w:rPr>
        <w:t xml:space="preserve"> for additional information.</w:t>
      </w:r>
    </w:p>
    <w:p>
      <w:pPr>
        <w:spacing w:after="0" w:line="18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As set forth in the agreement of the PIPE Pre-funded Warrants, the PIPE Pre-funded Warrants are exercisable on a cashless basis or on a gross basis for one share of the Company’s common stock at $ 0.01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95" w:lineRule="exact"/>
        <w:rPr>
          <w:sz w:val="20"/>
          <w:szCs w:val="20"/>
          <w:color w:val="auto"/>
        </w:rPr>
      </w:pPr>
    </w:p>
    <w:p>
      <w:pPr>
        <w:jc w:val="both"/>
        <w:ind w:right="20" w:firstLine="360"/>
        <w:spacing w:after="0" w:line="304" w:lineRule="auto"/>
        <w:rPr>
          <w:sz w:val="20"/>
          <w:szCs w:val="20"/>
          <w:color w:val="auto"/>
        </w:rPr>
      </w:pPr>
      <w:r>
        <w:rPr>
          <w:rFonts w:ascii="Times New Roman" w:cs="Times New Roman" w:eastAsia="Times New Roman" w:hAnsi="Times New Roman"/>
          <w:sz w:val="19"/>
          <w:szCs w:val="19"/>
          <w:color w:val="auto"/>
        </w:rPr>
        <w:t>The PIPE Pre-funded Warrants are classified as Level 3 measurements within the fair value hierarchy. The fair value of the PIPE Pre-funded Warrants is based on the fair value of the Company’s common stock minus the exercise price.</w:t>
      </w:r>
    </w:p>
    <w:p>
      <w:pPr>
        <w:spacing w:after="0" w:line="1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On December 26, 2024, 670,000 pre-funded warrant shares were exercised on a cashless basis for 663,096 shares of the Company’s common stock. The exercise price for the pre-funded warrants was $0.9705 per share.</w:t>
      </w:r>
    </w:p>
    <w:p>
      <w:pPr>
        <w:spacing w:after="0" w:line="16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changes in the Level 3 PIPE Pre-funded Warrants measured at fair value for the period from July 31, 2024 to December 31, 2024 (Successor)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PIPE Pre-funded Warrants - July 31, 2024 to December 31, 2024 (Successor)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8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(beginning of period)</w:t>
            </w:r>
          </w:p>
        </w:tc>
        <w:tc>
          <w:tcPr>
            <w:tcW w:w="700" w:type="dxa"/>
            <w:vAlign w:val="bottom"/>
            <w:tcBorders>
              <w:top w:val="single" w:sz="8" w:color="DDDDDD"/>
            </w:tcBorders>
            <w:gridSpan w:val="3"/>
            <w:shd w:val="clear" w:color="auto" w:fill="DDDDDD"/>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4,442</w:t>
            </w:r>
          </w:p>
        </w:tc>
      </w:tr>
      <w:tr>
        <w:trPr>
          <w:trHeight w:val="228"/>
        </w:trPr>
        <w:tc>
          <w:tcPr>
            <w:tcW w:w="20" w:type="dxa"/>
            <w:vAlign w:val="bottom"/>
          </w:tcPr>
          <w:p>
            <w:pPr>
              <w:spacing w:after="0"/>
              <w:rPr>
                <w:sz w:val="19"/>
                <w:szCs w:val="19"/>
                <w:color w:val="auto"/>
              </w:rPr>
            </w:pPr>
          </w:p>
        </w:tc>
        <w:tc>
          <w:tcPr>
            <w:tcW w:w="80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Exercises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(710)</w:t>
            </w:r>
          </w:p>
        </w:tc>
      </w:tr>
      <w:tr>
        <w:trPr>
          <w:trHeight w:val="230"/>
        </w:trPr>
        <w:tc>
          <w:tcPr>
            <w:tcW w:w="20" w:type="dxa"/>
            <w:vAlign w:val="bottom"/>
          </w:tcPr>
          <w:p>
            <w:pPr>
              <w:spacing w:after="0"/>
              <w:rPr>
                <w:sz w:val="20"/>
                <w:szCs w:val="20"/>
                <w:color w:val="auto"/>
              </w:rPr>
            </w:pPr>
          </w:p>
        </w:tc>
        <w:tc>
          <w:tcPr>
            <w:tcW w:w="80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Fair value measurement adjustments</w:t>
            </w: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40" w:type="dxa"/>
            <w:vAlign w:val="bottom"/>
            <w:tcBorders>
              <w:bottom w:val="single" w:sz="8" w:color="auto"/>
            </w:tcBorders>
            <w:shd w:val="clear" w:color="auto" w:fill="DDDDDD"/>
          </w:tcPr>
          <w:p>
            <w:pPr>
              <w:spacing w:after="0"/>
              <w:rPr>
                <w:sz w:val="20"/>
                <w:szCs w:val="20"/>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(3,732)</w:t>
            </w:r>
          </w:p>
        </w:tc>
      </w:tr>
      <w:tr>
        <w:trPr>
          <w:trHeight w:val="231"/>
        </w:trPr>
        <w:tc>
          <w:tcPr>
            <w:tcW w:w="20" w:type="dxa"/>
            <w:vAlign w:val="bottom"/>
          </w:tcPr>
          <w:p>
            <w:pPr>
              <w:spacing w:after="0"/>
              <w:rPr>
                <w:sz w:val="20"/>
                <w:szCs w:val="20"/>
                <w:color w:val="auto"/>
              </w:rPr>
            </w:pPr>
          </w:p>
        </w:tc>
        <w:tc>
          <w:tcPr>
            <w:tcW w:w="8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 (end of year)</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Inventory, net</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Inventory as of December 31, 2025 and December 31, 2024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8"/>
              </w:rPr>
              <w:t>Successor</w:t>
            </w:r>
          </w:p>
        </w:tc>
      </w:tr>
      <w:tr>
        <w:trPr>
          <w:trHeight w:val="178"/>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7"/>
        </w:trPr>
        <w:tc>
          <w:tcPr>
            <w:tcW w:w="6800" w:type="dxa"/>
            <w:vAlign w:val="bottom"/>
            <w:tcBorders>
              <w:bottom w:val="single" w:sz="8" w:color="DDDDDD"/>
            </w:tcBorders>
          </w:tcPr>
          <w:p>
            <w:pPr>
              <w:spacing w:after="0"/>
              <w:rPr>
                <w:sz w:val="19"/>
                <w:szCs w:val="19"/>
                <w:color w:val="auto"/>
              </w:rPr>
            </w:pPr>
          </w:p>
        </w:tc>
        <w:tc>
          <w:tcPr>
            <w:tcW w:w="1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0"/>
        </w:trPr>
        <w:tc>
          <w:tcPr>
            <w:tcW w:w="680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Raw materials</w:t>
            </w:r>
          </w:p>
        </w:tc>
        <w:tc>
          <w:tcPr>
            <w:tcW w:w="36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1,423</w:t>
            </w:r>
          </w:p>
        </w:tc>
        <w:tc>
          <w:tcPr>
            <w:tcW w:w="40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1,683</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Work-in-Process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w:t>
            </w:r>
          </w:p>
        </w:tc>
      </w:tr>
      <w:tr>
        <w:trPr>
          <w:trHeight w:val="228"/>
        </w:trPr>
        <w:tc>
          <w:tcPr>
            <w:tcW w:w="680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Finished goods</w:t>
            </w:r>
          </w:p>
        </w:tc>
        <w:tc>
          <w:tcPr>
            <w:tcW w:w="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86</w:t>
            </w:r>
          </w:p>
        </w:tc>
        <w:tc>
          <w:tcPr>
            <w:tcW w:w="2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495</w:t>
            </w:r>
          </w:p>
        </w:tc>
      </w:tr>
      <w:tr>
        <w:trPr>
          <w:trHeight w:val="231"/>
        </w:trPr>
        <w:tc>
          <w:tcPr>
            <w:tcW w:w="6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inventory</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1,672</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2,566</w:t>
            </w:r>
          </w:p>
        </w:tc>
      </w:tr>
    </w:tbl>
    <w:p>
      <w:pPr>
        <w:spacing w:after="0" w:line="213"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Obsolete and expired inventory are expensed as incurred. Inventory is recorded net of obsolescence and manufacturing scrap of $0.3 million and $0.9 million as of December 31, 2025 (Successor) and December 31, 2024 (Successor), respectively. As of December 31, 2025 and December 31, 2024, all of the Company’s inventory consisted of catheters and consoles.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720"/>
          </w:cols>
          <w:pgMar w:left="1260" w:top="1248" w:right="1260" w:bottom="719" w:gutter="0" w:footer="0" w:header="0"/>
          <w:type w:val="continuous"/>
        </w:sectPr>
      </w:pPr>
    </w:p>
    <w:bookmarkStart w:id="135" w:name="page136"/>
    <w:bookmarkEnd w:id="135"/>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Property and Equipment</w:t>
      </w:r>
    </w:p>
    <w:p>
      <w:pPr>
        <w:spacing w:after="0" w:line="24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Company’s property and equipment, net, as of December 31, 2025 and December 31, 2024 consists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Successor</w:t>
            </w:r>
          </w:p>
        </w:tc>
      </w:tr>
      <w:tr>
        <w:trPr>
          <w:trHeight w:val="176"/>
        </w:trPr>
        <w:tc>
          <w:tcPr>
            <w:tcW w:w="6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7"/>
        </w:trPr>
        <w:tc>
          <w:tcPr>
            <w:tcW w:w="6940" w:type="dxa"/>
            <w:vAlign w:val="bottom"/>
            <w:tcBorders>
              <w:bottom w:val="single" w:sz="8" w:color="DDDDDD"/>
            </w:tcBorders>
          </w:tcPr>
          <w:p>
            <w:pPr>
              <w:spacing w:after="0"/>
              <w:rPr>
                <w:sz w:val="19"/>
                <w:szCs w:val="19"/>
                <w:color w:val="auto"/>
              </w:rPr>
            </w:pPr>
          </w:p>
        </w:tc>
        <w:tc>
          <w:tcPr>
            <w:tcW w:w="22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69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Consoles</w:t>
            </w:r>
          </w:p>
        </w:tc>
        <w:tc>
          <w:tcPr>
            <w:tcW w:w="380" w:type="dxa"/>
            <w:vAlign w:val="bottom"/>
            <w:gridSpan w:val="2"/>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2,199</w:t>
            </w:r>
          </w:p>
        </w:tc>
        <w:tc>
          <w:tcPr>
            <w:tcW w:w="34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3,060</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equipment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w:t>
            </w:r>
          </w:p>
        </w:tc>
      </w:tr>
      <w:tr>
        <w:trPr>
          <w:trHeight w:val="230"/>
        </w:trPr>
        <w:tc>
          <w:tcPr>
            <w:tcW w:w="69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306</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Tools and molds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r>
      <w:tr>
        <w:trPr>
          <w:trHeight w:val="230"/>
        </w:trPr>
        <w:tc>
          <w:tcPr>
            <w:tcW w:w="69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2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205</w:t>
            </w:r>
          </w:p>
        </w:tc>
      </w:tr>
      <w:tr>
        <w:trPr>
          <w:trHeight w:val="228"/>
        </w:trPr>
        <w:tc>
          <w:tcPr>
            <w:tcW w:w="69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Demo equipment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66</w:t>
            </w:r>
          </w:p>
        </w:tc>
      </w:tr>
      <w:tr>
        <w:trPr>
          <w:trHeight w:val="230"/>
        </w:trPr>
        <w:tc>
          <w:tcPr>
            <w:tcW w:w="69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1"/>
        </w:trPr>
        <w:tc>
          <w:tcPr>
            <w:tcW w:w="69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Vehicles</w:t>
            </w:r>
          </w:p>
        </w:tc>
        <w:tc>
          <w:tcPr>
            <w:tcW w:w="22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20"/>
        </w:trPr>
        <w:tc>
          <w:tcPr>
            <w:tcW w:w="69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Total property and equipment</w:t>
            </w:r>
          </w:p>
        </w:tc>
        <w:tc>
          <w:tcPr>
            <w:tcW w:w="2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4,184</w:t>
            </w:r>
          </w:p>
        </w:tc>
        <w:tc>
          <w:tcPr>
            <w:tcW w:w="2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4,691</w:t>
            </w:r>
          </w:p>
        </w:tc>
      </w:tr>
      <w:tr>
        <w:trPr>
          <w:trHeight w:val="230"/>
        </w:trPr>
        <w:tc>
          <w:tcPr>
            <w:tcW w:w="69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2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(2,649)</w:t>
            </w:r>
          </w:p>
        </w:tc>
        <w:tc>
          <w:tcPr>
            <w:tcW w:w="2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(2,730)</w:t>
            </w:r>
          </w:p>
        </w:tc>
      </w:tr>
      <w:tr>
        <w:trPr>
          <w:trHeight w:val="229"/>
        </w:trPr>
        <w:tc>
          <w:tcPr>
            <w:tcW w:w="69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Property and equipment, net</w:t>
            </w:r>
          </w:p>
        </w:tc>
        <w:tc>
          <w:tcPr>
            <w:tcW w:w="220" w:type="dxa"/>
            <w:vAlign w:val="bottom"/>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1,535</w:t>
            </w:r>
          </w:p>
        </w:tc>
        <w:tc>
          <w:tcPr>
            <w:tcW w:w="200" w:type="dxa"/>
            <w:vAlign w:val="bottom"/>
            <w:shd w:val="clear" w:color="auto" w:fill="DDDDDD"/>
          </w:tcPr>
          <w:p>
            <w:pPr>
              <w:spacing w:after="0"/>
              <w:rPr>
                <w:sz w:val="19"/>
                <w:szCs w:val="19"/>
                <w:color w:val="auto"/>
              </w:rPr>
            </w:pPr>
          </w:p>
        </w:tc>
        <w:tc>
          <w:tcPr>
            <w:tcW w:w="140" w:type="dxa"/>
            <w:vAlign w:val="bottom"/>
            <w:tcBorders>
              <w:bottom w:val="single" w:sz="8" w:color="auto"/>
            </w:tcBorders>
            <w:gridSpan w:val="2"/>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04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1,961</w:t>
            </w:r>
          </w:p>
        </w:tc>
      </w:tr>
    </w:tbl>
    <w:p>
      <w:pPr>
        <w:spacing w:after="0" w:line="21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Depreciation expense was $0.9 million, $0.7 million and $0.3 million for the year ended December 31, 2025 (Successor), and for the periods from July 31, 2024 to December 31, 2024 (Successor), and January 1, 2024 to July 30, 2024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720"/>
          </w:cols>
          <w:pgMar w:left="1260" w:top="1440" w:right="1260" w:bottom="719"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Note 7 – Goodwill, net and Intangible Assets, net</w:t>
      </w:r>
    </w:p>
    <w:p>
      <w:pPr>
        <w:spacing w:after="0" w:line="245"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The Company’s intangible assets, net as of December 31, 2025 and December 31, 2024 consists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200"/>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rPr>
              <w:t>Useful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3"/>
              <w:spacing w:after="0" w:line="156" w:lineRule="exact"/>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160"/>
              <w:spacing w:after="0" w:line="156"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182"/>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Life</w:t>
            </w:r>
          </w:p>
        </w:tc>
        <w:tc>
          <w:tcPr>
            <w:tcW w:w="180" w:type="dxa"/>
            <w:vAlign w:val="bottom"/>
          </w:tcPr>
          <w:p>
            <w:pPr>
              <w:spacing w:after="0"/>
              <w:rPr>
                <w:sz w:val="15"/>
                <w:szCs w:val="15"/>
                <w:color w:val="auto"/>
              </w:rPr>
            </w:pPr>
          </w:p>
        </w:tc>
        <w:tc>
          <w:tcPr>
            <w:tcW w:w="78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DDDDDD"/>
            </w:tcBorders>
          </w:tcPr>
          <w:p>
            <w:pPr>
              <w:spacing w:after="0"/>
              <w:rPr>
                <w:sz w:val="17"/>
                <w:szCs w:val="17"/>
                <w:color w:val="auto"/>
              </w:rPr>
            </w:pPr>
          </w:p>
        </w:tc>
        <w:tc>
          <w:tcPr>
            <w:tcW w:w="160" w:type="dxa"/>
            <w:vAlign w:val="bottom"/>
            <w:tcBorders>
              <w:bottom w:val="single" w:sz="8" w:color="DDDDDD"/>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180" w:type="dxa"/>
            <w:vAlign w:val="bottom"/>
            <w:tcBorders>
              <w:bottom w:val="single" w:sz="8" w:color="DDDDDD"/>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Borders>
              <w:bottom w:val="single" w:sz="8" w:color="DDDDDD"/>
            </w:tcBorders>
          </w:tcPr>
          <w:p>
            <w:pPr>
              <w:spacing w:after="0"/>
              <w:rPr>
                <w:sz w:val="17"/>
                <w:szCs w:val="17"/>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DDDDDD"/>
          </w:tcPr>
          <w:p>
            <w:pPr>
              <w:ind w:left="240"/>
              <w:spacing w:after="0" w:line="220" w:lineRule="exact"/>
              <w:rPr>
                <w:sz w:val="20"/>
                <w:szCs w:val="20"/>
                <w:color w:val="auto"/>
              </w:rPr>
            </w:pPr>
            <w:r>
              <w:rPr>
                <w:rFonts w:ascii="Times New Roman" w:cs="Times New Roman" w:eastAsia="Times New Roman" w:hAnsi="Times New Roman"/>
                <w:sz w:val="20"/>
                <w:szCs w:val="20"/>
                <w:color w:val="auto"/>
              </w:rPr>
              <w:t>IPR&amp;D</w:t>
            </w:r>
          </w:p>
        </w:tc>
        <w:tc>
          <w:tcPr>
            <w:tcW w:w="160" w:type="dxa"/>
            <w:vAlign w:val="bottom"/>
            <w:shd w:val="clear" w:color="auto" w:fill="DDDDDD"/>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DDDDDD"/>
            </w:tcBorders>
            <w:shd w:val="clear" w:color="auto" w:fill="DDDDD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760" w:type="dxa"/>
            <w:vAlign w:val="bottom"/>
            <w:vMerge w:val="continue"/>
            <w:shd w:val="clear" w:color="auto" w:fill="DDDDDD"/>
          </w:tcPr>
          <w:p>
            <w:pPr>
              <w:spacing w:after="0"/>
              <w:rPr>
                <w:sz w:val="20"/>
                <w:szCs w:val="20"/>
                <w:color w:val="auto"/>
              </w:rPr>
            </w:pPr>
          </w:p>
        </w:tc>
        <w:tc>
          <w:tcPr>
            <w:tcW w:w="940" w:type="dxa"/>
            <w:vAlign w:val="bottom"/>
            <w:gridSpan w:val="2"/>
            <w:shd w:val="clear" w:color="auto" w:fill="DDDDDD"/>
          </w:tcPr>
          <w:p>
            <w:pPr>
              <w:jc w:val="center"/>
              <w:ind w:left="60"/>
              <w:spacing w:after="0" w:line="200" w:lineRule="exact"/>
              <w:rPr>
                <w:sz w:val="20"/>
                <w:szCs w:val="20"/>
                <w:color w:val="auto"/>
              </w:rPr>
            </w:pPr>
            <w:r>
              <w:rPr>
                <w:rFonts w:ascii="Times New Roman" w:cs="Times New Roman" w:eastAsia="Times New Roman" w:hAnsi="Times New Roman"/>
                <w:sz w:val="20"/>
                <w:szCs w:val="20"/>
                <w:color w:val="auto"/>
              </w:rPr>
              <w:t>Indefinite</w:t>
            </w:r>
          </w:p>
        </w:tc>
        <w:tc>
          <w:tcPr>
            <w:tcW w:w="280" w:type="dxa"/>
            <w:vAlign w:val="bottom"/>
            <w:gridSpan w:val="2"/>
            <w:shd w:val="clear" w:color="auto" w:fill="DDDDDD"/>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ind w:left="180"/>
              <w:spacing w:after="0" w:line="200" w:lineRule="exact"/>
              <w:rPr>
                <w:sz w:val="20"/>
                <w:szCs w:val="20"/>
                <w:color w:val="auto"/>
              </w:rPr>
            </w:pPr>
            <w:r>
              <w:rPr>
                <w:rFonts w:ascii="Times New Roman" w:cs="Times New Roman" w:eastAsia="Times New Roman" w:hAnsi="Times New Roman"/>
                <w:sz w:val="20"/>
                <w:szCs w:val="20"/>
                <w:color w:val="auto"/>
              </w:rPr>
              <w:t>6,969</w:t>
            </w:r>
          </w:p>
        </w:tc>
        <w:tc>
          <w:tcPr>
            <w:tcW w:w="18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line="200" w:lineRule="exact"/>
              <w:rPr>
                <w:sz w:val="20"/>
                <w:szCs w:val="20"/>
                <w:color w:val="auto"/>
              </w:rPr>
            </w:pPr>
            <w:r>
              <w:rPr>
                <w:rFonts w:ascii="Times New Roman" w:cs="Times New Roman" w:eastAsia="Times New Roman" w:hAnsi="Times New Roman"/>
                <w:sz w:val="20"/>
                <w:szCs w:val="20"/>
                <w:color w:val="auto"/>
                <w:highlight w:val="lightGray"/>
                <w:w w:val="99"/>
              </w:rPr>
              <w:t>$</w:t>
            </w:r>
          </w:p>
        </w:tc>
        <w:tc>
          <w:tcPr>
            <w:tcW w:w="520" w:type="dxa"/>
            <w:vAlign w:val="bottom"/>
            <w:shd w:val="clear" w:color="auto" w:fill="DDDDDD"/>
          </w:tcPr>
          <w:p>
            <w:pPr>
              <w:spacing w:after="0"/>
              <w:rPr>
                <w:sz w:val="20"/>
                <w:szCs w:val="20"/>
                <w:color w:val="auto"/>
              </w:rPr>
            </w:pPr>
          </w:p>
        </w:tc>
        <w:tc>
          <w:tcPr>
            <w:tcW w:w="280" w:type="dxa"/>
            <w:vAlign w:val="bottom"/>
            <w:shd w:val="clear" w:color="auto" w:fill="DDDDDD"/>
          </w:tcPr>
          <w:p>
            <w:pPr>
              <w:ind w:left="20"/>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DDDDDD"/>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ind w:left="180"/>
              <w:spacing w:after="0" w:line="200" w:lineRule="exact"/>
              <w:rPr>
                <w:sz w:val="20"/>
                <w:szCs w:val="20"/>
                <w:color w:val="auto"/>
              </w:rPr>
            </w:pPr>
            <w:r>
              <w:rPr>
                <w:rFonts w:ascii="Times New Roman" w:cs="Times New Roman" w:eastAsia="Times New Roman" w:hAnsi="Times New Roman"/>
                <w:sz w:val="20"/>
                <w:szCs w:val="20"/>
                <w:color w:val="auto"/>
              </w:rPr>
              <w:t>6,969</w:t>
            </w:r>
          </w:p>
        </w:tc>
        <w:tc>
          <w:tcPr>
            <w:tcW w:w="0" w:type="dxa"/>
            <w:vAlign w:val="bottom"/>
          </w:tcPr>
          <w:p>
            <w:pPr>
              <w:spacing w:after="0"/>
              <w:rPr>
                <w:sz w:val="1"/>
                <w:szCs w:val="1"/>
                <w:color w:val="auto"/>
              </w:rPr>
            </w:pPr>
          </w:p>
        </w:tc>
      </w:tr>
      <w:tr>
        <w:trPr>
          <w:trHeight w:val="191"/>
        </w:trPr>
        <w:tc>
          <w:tcPr>
            <w:tcW w:w="5760" w:type="dxa"/>
            <w:vAlign w:val="bottom"/>
            <w:tcBorders>
              <w:top w:val="single" w:sz="8" w:color="DDDDDD"/>
            </w:tcBorders>
          </w:tcPr>
          <w:p>
            <w:pPr>
              <w:spacing w:after="0" w:line="183"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DDDDDD"/>
            </w:tcBorders>
          </w:tcPr>
          <w:p>
            <w:pPr>
              <w:spacing w:after="0"/>
              <w:rPr>
                <w:sz w:val="16"/>
                <w:szCs w:val="16"/>
                <w:color w:val="auto"/>
              </w:rPr>
            </w:pPr>
          </w:p>
        </w:tc>
        <w:tc>
          <w:tcPr>
            <w:tcW w:w="780" w:type="dxa"/>
            <w:vAlign w:val="bottom"/>
            <w:tcBorders>
              <w:top w:val="single" w:sz="8" w:color="DDDDDD"/>
            </w:tcBorders>
          </w:tcPr>
          <w:p>
            <w:pPr>
              <w:spacing w:after="0"/>
              <w:rPr>
                <w:sz w:val="16"/>
                <w:szCs w:val="16"/>
                <w:color w:val="auto"/>
              </w:rPr>
            </w:pPr>
          </w:p>
        </w:tc>
        <w:tc>
          <w:tcPr>
            <w:tcW w:w="180" w:type="dxa"/>
            <w:vAlign w:val="bottom"/>
            <w:tcBorders>
              <w:top w:val="single" w:sz="8" w:color="DDDDDD"/>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180"/>
              <w:spacing w:after="0" w:line="183" w:lineRule="exact"/>
              <w:rPr>
                <w:sz w:val="20"/>
                <w:szCs w:val="20"/>
                <w:color w:val="auto"/>
              </w:rPr>
            </w:pPr>
            <w:r>
              <w:rPr>
                <w:rFonts w:ascii="Times New Roman" w:cs="Times New Roman" w:eastAsia="Times New Roman" w:hAnsi="Times New Roman"/>
                <w:sz w:val="20"/>
                <w:szCs w:val="20"/>
                <w:color w:val="auto"/>
              </w:rPr>
              <w:t>6,969</w:t>
            </w:r>
          </w:p>
        </w:tc>
        <w:tc>
          <w:tcPr>
            <w:tcW w:w="180" w:type="dxa"/>
            <w:vAlign w:val="bottom"/>
            <w:tcBorders>
              <w:top w:val="single" w:sz="8" w:color="DDDDDD"/>
            </w:tcBorders>
          </w:tcPr>
          <w:p>
            <w:pPr>
              <w:spacing w:after="0"/>
              <w:rPr>
                <w:sz w:val="16"/>
                <w:szCs w:val="16"/>
                <w:color w:val="auto"/>
              </w:rPr>
            </w:pPr>
          </w:p>
        </w:tc>
        <w:tc>
          <w:tcPr>
            <w:tcW w:w="120" w:type="dxa"/>
            <w:vAlign w:val="bottom"/>
            <w:tcBorders>
              <w:top w:val="single" w:sz="8" w:color="auto"/>
              <w:bottom w:val="single" w:sz="8" w:color="auto"/>
            </w:tcBorders>
          </w:tcPr>
          <w:p>
            <w:pPr>
              <w:spacing w:after="0" w:line="183" w:lineRule="exact"/>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DDDDDD"/>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ind w:left="180"/>
              <w:spacing w:after="0" w:line="183" w:lineRule="exact"/>
              <w:rPr>
                <w:sz w:val="20"/>
                <w:szCs w:val="20"/>
                <w:color w:val="auto"/>
              </w:rPr>
            </w:pPr>
            <w:r>
              <w:rPr>
                <w:rFonts w:ascii="Times New Roman" w:cs="Times New Roman" w:eastAsia="Times New Roman" w:hAnsi="Times New Roman"/>
                <w:sz w:val="20"/>
                <w:szCs w:val="20"/>
                <w:color w:val="auto"/>
              </w:rPr>
              <w:t>6,969</w:t>
            </w: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center"/>
              <w:ind w:left="491"/>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6"/>
                <w:szCs w:val="16"/>
                <w:b w:val="1"/>
                <w:bCs w:val="1"/>
                <w:color w:val="auto"/>
              </w:rPr>
              <w:t>Useful</w:t>
            </w:r>
          </w:p>
        </w:tc>
        <w:tc>
          <w:tcPr>
            <w:tcW w:w="7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right"/>
              <w:ind w:right="108"/>
              <w:spacing w:after="0" w:line="156"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Life</w:t>
            </w: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Impairment Amount</w:t>
            </w:r>
          </w:p>
        </w:tc>
        <w:tc>
          <w:tcPr>
            <w:tcW w:w="0" w:type="dxa"/>
            <w:vAlign w:val="bottom"/>
          </w:tcPr>
          <w:p>
            <w:pPr>
              <w:spacing w:after="0"/>
              <w:rPr>
                <w:sz w:val="1"/>
                <w:szCs w:val="1"/>
                <w:color w:val="auto"/>
              </w:rPr>
            </w:pPr>
          </w:p>
        </w:tc>
      </w:tr>
      <w:tr>
        <w:trPr>
          <w:trHeight w:val="20"/>
        </w:trPr>
        <w:tc>
          <w:tcPr>
            <w:tcW w:w="5120" w:type="dxa"/>
            <w:vAlign w:val="bottom"/>
            <w:shd w:val="clear" w:color="auto" w:fill="DDDDDD"/>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20" w:type="dxa"/>
            <w:vAlign w:val="bottom"/>
            <w:shd w:val="clear" w:color="auto" w:fill="DDDDDD"/>
          </w:tcPr>
          <w:p>
            <w:pPr>
              <w:ind w:left="240"/>
              <w:spacing w:after="0" w:line="220" w:lineRule="exact"/>
              <w:rPr>
                <w:sz w:val="20"/>
                <w:szCs w:val="20"/>
                <w:color w:val="auto"/>
              </w:rPr>
            </w:pPr>
            <w:r>
              <w:rPr>
                <w:rFonts w:ascii="Times New Roman" w:cs="Times New Roman" w:eastAsia="Times New Roman" w:hAnsi="Times New Roman"/>
                <w:sz w:val="20"/>
                <w:szCs w:val="20"/>
                <w:color w:val="auto"/>
              </w:rPr>
              <w:t>IPR&amp;D</w:t>
            </w:r>
          </w:p>
        </w:tc>
        <w:tc>
          <w:tcPr>
            <w:tcW w:w="940" w:type="dxa"/>
            <w:vAlign w:val="bottom"/>
            <w:gridSpan w:val="2"/>
            <w:shd w:val="clear" w:color="auto" w:fill="DDDDDD"/>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rPr>
              <w:t>Indefinite</w:t>
            </w:r>
          </w:p>
        </w:tc>
        <w:tc>
          <w:tcPr>
            <w:tcW w:w="160" w:type="dxa"/>
            <w:vAlign w:val="bottom"/>
            <w:tcBorders>
              <w:right w:val="single" w:sz="8" w:color="DDDDDD"/>
            </w:tcBorders>
            <w:shd w:val="clear" w:color="auto" w:fill="DDDDDD"/>
          </w:tcPr>
          <w:p>
            <w:pPr>
              <w:spacing w:after="0"/>
              <w:rPr>
                <w:sz w:val="19"/>
                <w:szCs w:val="19"/>
                <w:color w:val="auto"/>
              </w:rPr>
            </w:pPr>
          </w:p>
        </w:tc>
        <w:tc>
          <w:tcPr>
            <w:tcW w:w="76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$ 22,100</w:t>
            </w:r>
          </w:p>
        </w:tc>
        <w:tc>
          <w:tcPr>
            <w:tcW w:w="440" w:type="dxa"/>
            <w:vAlign w:val="bottom"/>
            <w:gridSpan w:val="2"/>
            <w:shd w:val="clear" w:color="auto" w:fill="DDDDDD"/>
          </w:tcPr>
          <w:p>
            <w:pPr>
              <w:ind w:lef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19"/>
                <w:szCs w:val="19"/>
                <w:color w:val="auto"/>
              </w:rPr>
            </w:pPr>
          </w:p>
        </w:tc>
        <w:tc>
          <w:tcPr>
            <w:tcW w:w="840" w:type="dxa"/>
            <w:vAlign w:val="bottom"/>
            <w:gridSpan w:val="2"/>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highlight w:val="lightGray"/>
                <w:w w:val="95"/>
              </w:rPr>
              <w:t>$ (15,131)</w:t>
            </w:r>
          </w:p>
        </w:tc>
        <w:tc>
          <w:tcPr>
            <w:tcW w:w="66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w w:val="96"/>
              </w:rPr>
              <w:t>$ 6,969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DDDDDD"/>
            </w:tcBorders>
          </w:tcPr>
          <w:p>
            <w:pPr>
              <w:ind w:left="240"/>
              <w:spacing w:after="0"/>
              <w:rPr>
                <w:sz w:val="20"/>
                <w:szCs w:val="20"/>
                <w:color w:val="auto"/>
              </w:rPr>
            </w:pPr>
            <w:r>
              <w:rPr>
                <w:rFonts w:ascii="Times New Roman" w:cs="Times New Roman" w:eastAsia="Times New Roman" w:hAnsi="Times New Roman"/>
                <w:sz w:val="20"/>
                <w:szCs w:val="20"/>
                <w:color w:val="auto"/>
              </w:rPr>
              <w:t>Developed technology</w:t>
            </w:r>
          </w:p>
        </w:tc>
        <w:tc>
          <w:tcPr>
            <w:tcW w:w="940" w:type="dxa"/>
            <w:vAlign w:val="bottom"/>
            <w:tcBorders>
              <w:bottom w:val="single" w:sz="8" w:color="DDDDDD"/>
            </w:tcBorders>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5.0</w:t>
            </w:r>
          </w:p>
        </w:tc>
        <w:tc>
          <w:tcPr>
            <w:tcW w:w="160" w:type="dxa"/>
            <w:vAlign w:val="bottom"/>
            <w:tcBorders>
              <w:bottom w:val="single" w:sz="8" w:color="DDDDDD"/>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4,100</w:t>
            </w:r>
          </w:p>
        </w:tc>
        <w:tc>
          <w:tcPr>
            <w:tcW w:w="160" w:type="dxa"/>
            <w:vAlign w:val="bottom"/>
            <w:tcBorders>
              <w:bottom w:val="single" w:sz="8" w:color="DDDDDD"/>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60" w:type="dxa"/>
            <w:vAlign w:val="bottom"/>
            <w:tcBorders>
              <w:bottom w:val="single" w:sz="8" w:color="DDDDDD"/>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(3,747)</w:t>
            </w:r>
          </w:p>
        </w:tc>
        <w:tc>
          <w:tcPr>
            <w:tcW w:w="20" w:type="dxa"/>
            <w:vAlign w:val="bottom"/>
            <w:tcBorders>
              <w:bottom w:val="single" w:sz="8" w:color="DDDDDD"/>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51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160" w:type="dxa"/>
            <w:vAlign w:val="bottom"/>
            <w:tcBorders>
              <w:right w:val="single" w:sz="8" w:color="DDDDDD"/>
            </w:tcBorders>
            <w:shd w:val="clear" w:color="auto" w:fill="DDDDDD"/>
          </w:tcPr>
          <w:p>
            <w:pPr>
              <w:spacing w:after="0"/>
              <w:rPr>
                <w:sz w:val="20"/>
                <w:szCs w:val="20"/>
                <w:color w:val="auto"/>
              </w:rPr>
            </w:pPr>
          </w:p>
        </w:tc>
        <w:tc>
          <w:tcPr>
            <w:tcW w:w="76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w w:val="97"/>
              </w:rPr>
              <w:t>$ 26,200</w:t>
            </w:r>
          </w:p>
        </w:tc>
        <w:tc>
          <w:tcPr>
            <w:tcW w:w="160" w:type="dxa"/>
            <w:vAlign w:val="bottom"/>
            <w:tcBorders>
              <w:right w:val="single" w:sz="8" w:color="DDDDDD"/>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(353)</w:t>
            </w:r>
          </w:p>
        </w:tc>
        <w:tc>
          <w:tcPr>
            <w:tcW w:w="160" w:type="dxa"/>
            <w:vAlign w:val="bottom"/>
            <w:tcBorders>
              <w:right w:val="single" w:sz="8" w:color="DDDDDD"/>
            </w:tcBorders>
            <w:shd w:val="clear" w:color="auto" w:fill="DDDDDD"/>
          </w:tcPr>
          <w:p>
            <w:pPr>
              <w:spacing w:after="0"/>
              <w:rPr>
                <w:sz w:val="20"/>
                <w:szCs w:val="20"/>
                <w:color w:val="auto"/>
              </w:rPr>
            </w:pPr>
          </w:p>
        </w:tc>
        <w:tc>
          <w:tcPr>
            <w:tcW w:w="840" w:type="dxa"/>
            <w:vAlign w:val="bottom"/>
            <w:tcBorders>
              <w:bottom w:val="single" w:sz="8" w:color="auto"/>
            </w:tcBorders>
            <w:gridSpan w:val="2"/>
            <w:shd w:val="clear" w:color="auto" w:fill="DDDDDD"/>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95"/>
              </w:rPr>
              <w:t>$ (18,878)</w:t>
            </w:r>
          </w:p>
        </w:tc>
        <w:tc>
          <w:tcPr>
            <w:tcW w:w="66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highlight w:val="lightGray"/>
                <w:w w:val="96"/>
              </w:rPr>
              <w:t>$ 6,969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5744845</wp:posOffset>
                </wp:positionH>
                <wp:positionV relativeFrom="paragraph">
                  <wp:posOffset>-473710</wp:posOffset>
                </wp:positionV>
                <wp:extent cx="12065" cy="1206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DDDDDD"/>
                        </a:solidFill>
                      </wps:spPr>
                      <wps:bodyPr/>
                    </wps:wsp>
                  </a:graphicData>
                </a:graphic>
              </wp:anchor>
            </w:drawing>
          </mc:Choice>
          <mc:Fallback>
            <w:pict>
              <v:rect id="Shape 24" o:spid="_x0000_s1049" style="position:absolute;margin-left:452.35pt;margin-top:-37.2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5744845</wp:posOffset>
                </wp:positionH>
                <wp:positionV relativeFrom="paragraph">
                  <wp:posOffset>-175260</wp:posOffset>
                </wp:positionV>
                <wp:extent cx="12065" cy="127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DDDDDD"/>
                        </a:solidFill>
                      </wps:spPr>
                      <wps:bodyPr/>
                    </wps:wsp>
                  </a:graphicData>
                </a:graphic>
              </wp:anchor>
            </w:drawing>
          </mc:Choice>
          <mc:Fallback>
            <w:pict>
              <v:rect id="Shape 25" o:spid="_x0000_s1050" style="position:absolute;margin-left:452.35pt;margin-top:-13.7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was no amortization of intangible assets for the year ended December 31, 2025 (Successor).</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For the period from January 1, 2024 to July 30, 2024 (Predecessor),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 Accordingly, no quantitative impairment testing was required. No impairment charges related to indefinite-lived intangible assets were recorded during the period from January 1, 2024 to July 30, 2024 (Predecessor).</w:t>
      </w:r>
    </w:p>
    <w:p>
      <w:pPr>
        <w:spacing w:after="0" w:line="190" w:lineRule="exact"/>
        <w:rPr>
          <w:sz w:val="20"/>
          <w:szCs w:val="20"/>
          <w:color w:val="auto"/>
        </w:rPr>
      </w:pPr>
    </w:p>
    <w:p>
      <w:pPr>
        <w:jc w:val="both"/>
        <w:ind w:right="20" w:firstLine="410"/>
        <w:spacing w:after="0" w:line="249" w:lineRule="auto"/>
        <w:rPr>
          <w:sz w:val="20"/>
          <w:szCs w:val="20"/>
          <w:color w:val="auto"/>
        </w:rPr>
      </w:pPr>
      <w:r>
        <w:rPr>
          <w:rFonts w:ascii="Times New Roman" w:cs="Times New Roman" w:eastAsia="Times New Roman" w:hAnsi="Times New Roman"/>
          <w:sz w:val="20"/>
          <w:szCs w:val="20"/>
          <w:color w:val="auto"/>
        </w:rPr>
        <w:t>During the fourth quarter of 2024, the Company performed an impairment assessment on its indefinite lived intangible assets, and determined that as of December 31, 2024, the fair value of its intangible assets was less than the carrying amount. As a result, the Company recorded an $18.9 million impairment charge during the period from July 31, 2024, to December 31, 2024 (Successor). The impairment was driven by a sustained decline in the Company’s share price and market capitalization.</w:t>
      </w:r>
    </w:p>
    <w:p>
      <w:pPr>
        <w:spacing w:after="0" w:line="18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2025 (Successor),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 Accordingly, no quantitative impairment testing was required. No impairment charges related to indefinite-lived intangible assets were recorded during the year ended December 31, 2025 (Successor).</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changes in goodwill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ind w:right="40"/>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3"/>
              <w:spacing w:after="0" w:line="157"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00" w:type="dxa"/>
            <w:vAlign w:val="bottom"/>
            <w:vMerge w:val="restart"/>
          </w:tcPr>
          <w:p>
            <w:pPr>
              <w:spacing w:after="0"/>
              <w:rPr>
                <w:sz w:val="13"/>
                <w:szCs w:val="13"/>
                <w:color w:val="auto"/>
              </w:rPr>
            </w:pPr>
          </w:p>
        </w:tc>
        <w:tc>
          <w:tcPr>
            <w:tcW w:w="9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Net Carrying</w:t>
            </w:r>
          </w:p>
        </w:tc>
        <w:tc>
          <w:tcPr>
            <w:tcW w:w="0" w:type="dxa"/>
            <w:vAlign w:val="bottom"/>
          </w:tcPr>
          <w:p>
            <w:pPr>
              <w:spacing w:after="0"/>
              <w:rPr>
                <w:sz w:val="1"/>
                <w:szCs w:val="1"/>
                <w:color w:val="auto"/>
              </w:rPr>
            </w:pPr>
          </w:p>
        </w:tc>
      </w:tr>
      <w:tr>
        <w:trPr>
          <w:trHeight w:val="203"/>
        </w:trPr>
        <w:tc>
          <w:tcPr>
            <w:tcW w:w="642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DDDDDD"/>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DDDDDD"/>
            </w:tcBorders>
            <w:shd w:val="clear" w:color="auto" w:fill="DDDDDD"/>
          </w:tcPr>
          <w:p>
            <w:pPr>
              <w:ind w:left="240"/>
              <w:spacing w:after="0" w:line="220" w:lineRule="exact"/>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13,967</w:t>
            </w:r>
          </w:p>
        </w:tc>
        <w:tc>
          <w:tcPr>
            <w:tcW w:w="40" w:type="dxa"/>
            <w:vAlign w:val="bottom"/>
            <w:tcBorders>
              <w:bottom w:val="single" w:sz="8" w:color="auto"/>
            </w:tcBorders>
            <w:shd w:val="clear" w:color="auto" w:fill="DDDDDD"/>
          </w:tcPr>
          <w:p>
            <w:pPr>
              <w:spacing w:after="0"/>
              <w:rPr>
                <w:sz w:val="19"/>
                <w:szCs w:val="19"/>
                <w:color w:val="auto"/>
              </w:rPr>
            </w:pPr>
          </w:p>
        </w:tc>
        <w:tc>
          <w:tcPr>
            <w:tcW w:w="20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auto"/>
            </w:tcBorders>
            <w:gridSpan w:val="2"/>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DDDDD"/>
            </w:tcBorders>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highlight w:val="lightGray"/>
              </w:rPr>
              <w:t>$</w:t>
            </w:r>
          </w:p>
        </w:tc>
        <w:tc>
          <w:tcPr>
            <w:tcW w:w="80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lightGray"/>
              </w:rPr>
              <w:t>13,967</w:t>
            </w:r>
          </w:p>
        </w:tc>
        <w:tc>
          <w:tcPr>
            <w:tcW w:w="0" w:type="dxa"/>
            <w:vAlign w:val="bottom"/>
          </w:tcPr>
          <w:p>
            <w:pPr>
              <w:spacing w:after="0"/>
              <w:rPr>
                <w:sz w:val="1"/>
                <w:szCs w:val="1"/>
                <w:color w:val="auto"/>
              </w:rPr>
            </w:pPr>
          </w:p>
        </w:tc>
      </w:tr>
      <w:tr>
        <w:trPr>
          <w:trHeight w:val="434"/>
        </w:trPr>
        <w:tc>
          <w:tcPr>
            <w:tcW w:w="6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center"/>
              <w:ind w:right="4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3"/>
              <w:spacing w:after="0" w:line="156"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00" w:type="dxa"/>
            <w:vAlign w:val="bottom"/>
            <w:vMerge w:val="restart"/>
          </w:tcPr>
          <w:p>
            <w:pPr>
              <w:spacing w:after="0"/>
              <w:rPr>
                <w:sz w:val="13"/>
                <w:szCs w:val="13"/>
                <w:color w:val="auto"/>
              </w:rPr>
            </w:pPr>
          </w:p>
        </w:tc>
        <w:tc>
          <w:tcPr>
            <w:tcW w:w="9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w w:val="98"/>
              </w:rPr>
              <w:t>Net Carrying</w:t>
            </w:r>
          </w:p>
        </w:tc>
        <w:tc>
          <w:tcPr>
            <w:tcW w:w="0" w:type="dxa"/>
            <w:vAlign w:val="bottom"/>
          </w:tcPr>
          <w:p>
            <w:pPr>
              <w:spacing w:after="0"/>
              <w:rPr>
                <w:sz w:val="1"/>
                <w:szCs w:val="1"/>
                <w:color w:val="auto"/>
              </w:rPr>
            </w:pPr>
          </w:p>
        </w:tc>
      </w:tr>
      <w:tr>
        <w:trPr>
          <w:trHeight w:val="203"/>
        </w:trPr>
        <w:tc>
          <w:tcPr>
            <w:tcW w:w="642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DDDDDD"/>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9"/>
        </w:trPr>
        <w:tc>
          <w:tcPr>
            <w:tcW w:w="6420" w:type="dxa"/>
            <w:vAlign w:val="bottom"/>
            <w:shd w:val="clear" w:color="auto" w:fill="DDDDDD"/>
          </w:tcPr>
          <w:p>
            <w:pPr>
              <w:ind w:left="240"/>
              <w:spacing w:after="0" w:line="218" w:lineRule="exact"/>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Borders>
              <w:bottom w:val="single" w:sz="8" w:color="auto"/>
            </w:tcBorders>
            <w:shd w:val="clear" w:color="auto" w:fill="DDDDDD"/>
          </w:tcPr>
          <w:p>
            <w:pPr>
              <w:jc w:val="right"/>
              <w:spacing w:after="0" w:line="219"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820" w:type="dxa"/>
            <w:vAlign w:val="bottom"/>
            <w:tcBorders>
              <w:bottom w:val="single" w:sz="8" w:color="auto"/>
            </w:tcBorders>
            <w:shd w:val="clear" w:color="auto" w:fill="DDDDDD"/>
          </w:tcPr>
          <w:p>
            <w:pPr>
              <w:jc w:val="right"/>
              <w:spacing w:after="0" w:line="219" w:lineRule="exact"/>
              <w:rPr>
                <w:sz w:val="20"/>
                <w:szCs w:val="20"/>
                <w:color w:val="auto"/>
              </w:rPr>
            </w:pPr>
            <w:r>
              <w:rPr>
                <w:rFonts w:ascii="Times New Roman" w:cs="Times New Roman" w:eastAsia="Times New Roman" w:hAnsi="Times New Roman"/>
                <w:sz w:val="20"/>
                <w:szCs w:val="20"/>
                <w:color w:val="auto"/>
                <w:highlight w:val="lightGray"/>
              </w:rPr>
              <w:t>44,291</w:t>
            </w:r>
          </w:p>
        </w:tc>
        <w:tc>
          <w:tcPr>
            <w:tcW w:w="40" w:type="dxa"/>
            <w:vAlign w:val="bottom"/>
            <w:tcBorders>
              <w:bottom w:val="single" w:sz="8" w:color="auto"/>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80" w:type="dxa"/>
            <w:vAlign w:val="bottom"/>
            <w:tcBorders>
              <w:bottom w:val="single" w:sz="8" w:color="auto"/>
            </w:tcBorders>
            <w:gridSpan w:val="2"/>
            <w:shd w:val="clear" w:color="auto" w:fill="DDDDDD"/>
          </w:tcPr>
          <w:p>
            <w:pPr>
              <w:jc w:val="right"/>
              <w:spacing w:after="0" w:line="219"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760" w:type="dxa"/>
            <w:vAlign w:val="bottom"/>
            <w:tcBorders>
              <w:bottom w:val="single" w:sz="8" w:color="auto"/>
            </w:tcBorders>
            <w:shd w:val="clear" w:color="auto" w:fill="DDDDDD"/>
          </w:tcPr>
          <w:p>
            <w:pPr>
              <w:jc w:val="right"/>
              <w:spacing w:after="0" w:line="219" w:lineRule="exact"/>
              <w:rPr>
                <w:sz w:val="20"/>
                <w:szCs w:val="20"/>
                <w:color w:val="auto"/>
              </w:rPr>
            </w:pPr>
            <w:r>
              <w:rPr>
                <w:rFonts w:ascii="Times New Roman" w:cs="Times New Roman" w:eastAsia="Times New Roman" w:hAnsi="Times New Roman"/>
                <w:sz w:val="20"/>
                <w:szCs w:val="20"/>
                <w:color w:val="auto"/>
                <w:highlight w:val="lightGray"/>
              </w:rPr>
              <w:t>(30,324)</w:t>
            </w:r>
          </w:p>
        </w:tc>
        <w:tc>
          <w:tcPr>
            <w:tcW w:w="200" w:type="dxa"/>
            <w:vAlign w:val="bottom"/>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spacing w:after="0" w:line="21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DDDDDD"/>
          </w:tcPr>
          <w:p>
            <w:pPr>
              <w:jc w:val="right"/>
              <w:spacing w:after="0" w:line="219" w:lineRule="exact"/>
              <w:rPr>
                <w:sz w:val="20"/>
                <w:szCs w:val="20"/>
                <w:color w:val="auto"/>
              </w:rPr>
            </w:pPr>
            <w:r>
              <w:rPr>
                <w:rFonts w:ascii="Times New Roman" w:cs="Times New Roman" w:eastAsia="Times New Roman" w:hAnsi="Times New Roman"/>
                <w:sz w:val="20"/>
                <w:szCs w:val="20"/>
                <w:color w:val="auto"/>
              </w:rPr>
              <w:t>13,967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720"/>
          </w:cols>
          <w:pgMar w:left="1260" w:top="1244" w:right="1260" w:bottom="719" w:gutter="0" w:footer="0" w:header="0"/>
          <w:type w:val="continuous"/>
        </w:sectPr>
      </w:pPr>
    </w:p>
    <w:bookmarkStart w:id="137" w:name="page138"/>
    <w:bookmarkEnd w:id="137"/>
    <w:p>
      <w:pPr>
        <w:spacing w:after="0" w:line="4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period from January 1, 2024 to July 30, 2024 (Predecessor),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period from January 1, 2024 to July 30, 2024 (Predecessor).</w:t>
      </w:r>
    </w:p>
    <w:p>
      <w:pPr>
        <w:spacing w:after="0" w:line="187"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During the fourth quarter of 2024, the Company conducted its annual assessment of goodwill. During its assessment,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spacing w:after="0" w:line="18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year ended December 31, 2025 (Successor).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Accrued Liabilities</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details of accrued liabilities as of December 31, 2025 and December 31, 2024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0" w:type="dxa"/>
            <w:vAlign w:val="bottom"/>
          </w:tcPr>
          <w:p>
            <w:pPr>
              <w:spacing w:after="0"/>
              <w:rPr>
                <w:sz w:val="1"/>
                <w:szCs w:val="1"/>
                <w:color w:val="auto"/>
              </w:rPr>
            </w:pPr>
          </w:p>
        </w:tc>
      </w:tr>
      <w:tr>
        <w:trPr>
          <w:trHeight w:val="178"/>
        </w:trPr>
        <w:tc>
          <w:tcPr>
            <w:tcW w:w="6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7"/>
        </w:trPr>
        <w:tc>
          <w:tcPr>
            <w:tcW w:w="6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Accrued deferred professional fees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Compensation and related expenses</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1,533</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0" w:type="dxa"/>
            <w:vAlign w:val="bottom"/>
          </w:tcPr>
          <w:p>
            <w:pPr>
              <w:spacing w:after="0"/>
              <w:rPr>
                <w:sz w:val="1"/>
                <w:szCs w:val="1"/>
                <w:color w:val="auto"/>
              </w:rPr>
            </w:pPr>
          </w:p>
        </w:tc>
      </w:tr>
      <w:tr>
        <w:trPr>
          <w:trHeight w:val="230"/>
        </w:trPr>
        <w:tc>
          <w:tcPr>
            <w:tcW w:w="6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0" w:type="dxa"/>
            <w:vAlign w:val="bottom"/>
          </w:tcPr>
          <w:p>
            <w:pPr>
              <w:spacing w:after="0"/>
              <w:rPr>
                <w:sz w:val="1"/>
                <w:szCs w:val="1"/>
                <w:color w:val="auto"/>
              </w:rPr>
            </w:pPr>
          </w:p>
        </w:tc>
      </w:tr>
      <w:tr>
        <w:trPr>
          <w:trHeight w:val="232"/>
        </w:trPr>
        <w:tc>
          <w:tcPr>
            <w:tcW w:w="69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accrued liabilities</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6,996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3,676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720"/>
          </w:cols>
          <w:pgMar w:left="1260" w:top="1440" w:right="1260" w:bottom="719"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auto"/>
        </w:rPr>
        <w:t>Note 9 - Debt</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Outstanding debt as of December 31, 2025 and December 31, 2024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196"/>
        </w:trPr>
        <w:tc>
          <w:tcPr>
            <w:tcW w:w="652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14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0" w:type="dxa"/>
            <w:vAlign w:val="bottom"/>
            <w:tcBorders>
              <w:bottom w:val="single" w:sz="8" w:color="DDDDDD"/>
            </w:tcBorders>
          </w:tcPr>
          <w:p>
            <w:pPr>
              <w:spacing w:after="0"/>
              <w:rPr>
                <w:sz w:val="17"/>
                <w:szCs w:val="17"/>
                <w:color w:val="auto"/>
              </w:rPr>
            </w:pPr>
          </w:p>
        </w:tc>
        <w:tc>
          <w:tcPr>
            <w:tcW w:w="14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40"/>
        </w:trPr>
        <w:tc>
          <w:tcPr>
            <w:tcW w:w="65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Convertible Securities Notes (including accrued interest*)</w:t>
            </w:r>
          </w:p>
        </w:tc>
        <w:tc>
          <w:tcPr>
            <w:tcW w:w="380" w:type="dxa"/>
            <w:vAlign w:val="bottom"/>
            <w:gridSpan w:val="2"/>
            <w:shd w:val="clear" w:color="auto" w:fill="DDDDDD"/>
          </w:tcPr>
          <w:p>
            <w:pPr>
              <w:ind w:lef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21,040</w:t>
            </w:r>
          </w:p>
        </w:tc>
        <w:tc>
          <w:tcPr>
            <w:tcW w:w="360" w:type="dxa"/>
            <w:vAlign w:val="bottom"/>
            <w:gridSpan w:val="2"/>
            <w:shd w:val="clear" w:color="auto" w:fill="DDDDDD"/>
          </w:tcPr>
          <w:p>
            <w:pPr>
              <w:ind w:lef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17,180</w:t>
            </w:r>
          </w:p>
        </w:tc>
      </w:tr>
      <w:tr>
        <w:trPr>
          <w:trHeight w:val="235"/>
        </w:trPr>
        <w:tc>
          <w:tcPr>
            <w:tcW w:w="6520" w:type="dxa"/>
            <w:vAlign w:val="bottom"/>
            <w:tcBorders>
              <w:top w:val="single" w:sz="8" w:color="DDDDDD"/>
            </w:tcBorders>
          </w:tcPr>
          <w:p>
            <w:pPr>
              <w:spacing w:after="0"/>
              <w:rPr>
                <w:sz w:val="20"/>
                <w:szCs w:val="20"/>
                <w:color w:val="auto"/>
              </w:rPr>
            </w:pPr>
            <w:r>
              <w:rPr>
                <w:rFonts w:ascii="Times New Roman" w:cs="Times New Roman" w:eastAsia="Times New Roman" w:hAnsi="Times New Roman"/>
                <w:sz w:val="20"/>
                <w:szCs w:val="20"/>
                <w:color w:val="auto"/>
              </w:rPr>
              <w:t>Total outstanding debt</w:t>
            </w:r>
          </w:p>
        </w:tc>
        <w:tc>
          <w:tcPr>
            <w:tcW w:w="140" w:type="dxa"/>
            <w:vAlign w:val="bottom"/>
            <w:tcBorders>
              <w:top w:val="single" w:sz="8" w:color="DDDDDD"/>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21,040</w:t>
            </w:r>
          </w:p>
        </w:tc>
        <w:tc>
          <w:tcPr>
            <w:tcW w:w="140" w:type="dxa"/>
            <w:vAlign w:val="bottom"/>
            <w:tcBorders>
              <w:top w:val="single" w:sz="8" w:color="DDDDDD"/>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4222115</wp:posOffset>
                </wp:positionH>
                <wp:positionV relativeFrom="paragraph">
                  <wp:posOffset>-5080</wp:posOffset>
                </wp:positionV>
                <wp:extent cx="93281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45pt,-0.3999pt" to="405.9pt,-0.3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4222115</wp:posOffset>
                </wp:positionH>
                <wp:positionV relativeFrom="paragraph">
                  <wp:posOffset>-17145</wp:posOffset>
                </wp:positionV>
                <wp:extent cx="93281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8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45pt,-1.3499pt" to="405.9pt,-1.3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5236210</wp:posOffset>
                </wp:positionH>
                <wp:positionV relativeFrom="paragraph">
                  <wp:posOffset>-5080</wp:posOffset>
                </wp:positionV>
                <wp:extent cx="93218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1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3pt,-0.3999pt" to="485.7pt,-0.3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5236210</wp:posOffset>
                </wp:positionH>
                <wp:positionV relativeFrom="paragraph">
                  <wp:posOffset>-17145</wp:posOffset>
                </wp:positionV>
                <wp:extent cx="93218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21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3pt,-1.3499pt" to="485.7pt,-1.3499pt" o:allowincell="f" strokecolor="#000000" strokeweight="0.4799pt"/>
            </w:pict>
          </mc:Fallback>
        </mc:AlternateContent>
      </w:r>
    </w:p>
    <w:p>
      <w:pPr>
        <w:ind w:left="360"/>
        <w:spacing w:after="0"/>
        <w:rPr>
          <w:sz w:val="20"/>
          <w:szCs w:val="20"/>
          <w:color w:val="auto"/>
        </w:rPr>
      </w:pPr>
      <w:r>
        <w:rPr>
          <w:rFonts w:ascii="Times New Roman" w:cs="Times New Roman" w:eastAsia="Times New Roman" w:hAnsi="Times New Roman"/>
          <w:sz w:val="16"/>
          <w:szCs w:val="16"/>
          <w:i w:val="1"/>
          <w:iCs w:val="1"/>
          <w:color w:val="auto"/>
        </w:rPr>
        <w:t>*Accrued interest as of December 31, 2024 is recorded within “Other Accrued Liabilities.”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October 2022 Convertible Notes (Predecessor)</w:t>
      </w:r>
    </w:p>
    <w:p>
      <w:pPr>
        <w:spacing w:after="0" w:line="23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On October 27, 2022, the Legacy Adagio entered into the October 2022 Convertible Notes with investors for the issuance and sale of convertible promissory notes with an aggregate principal amount of $9.5 million at an interest rate of eight percent (8.0%) per annum.</w:t>
      </w:r>
    </w:p>
    <w:p>
      <w:pPr>
        <w:spacing w:after="0" w:line="18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April 4, 2023, the October 2022 Convertible Notes, which had an original maturity date of October 27, 2023, were amended to extend the maturity date to the latest of (i) January 5, 2024, (ii) termination of agreements between the Legacy Adagio and ARYA in connection with a non-binding summary of certain proposed terms and conditions of a potential business combination, or (iii) the termination or lapse of the exclusivity period as defined in the non-binding term sheet as mentioned above. The October 2022 Convertible Notes agreement was also amended to subordinate the October 2022 Convertible Notes to the April 2023 Convertible Notes (as described below) and provide for the conversion of all principals and accrued interest in respect of all the October 2022 Convertible Notes into shares of Series E Preferred Stock of the Legacy Adagio in connection with the Business Combination.</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November 28, 2023, the October 2022 Convertible Notes agreement was further amended to subordinate the October 2022 Convertible Notes to the April 2023 Convertible Notes and the November 2023 Convertible Notes (as described below). Upon the consummation of the Business Combination, all principal and accrued interest in respect of the October 2022 Convertible Notes was converted into shares of the Legacy Adagio common stock, when multiplied by the exchange ratio applicable to the Legacy Adagio common stock in the Business Combination, entitled the holder of this note to receive a number of shares of the same class of common stock that are issued in the 2024 PIPE Financing equal to the then outstanding principal amount and any accrued and unpaid interest under this note, divided by 75% of the effective price of each share of common stock sold in the 2024 PIPE Financing.</w:t>
      </w:r>
    </w:p>
    <w:p>
      <w:pPr>
        <w:spacing w:after="0" w:line="193" w:lineRule="exact"/>
        <w:rPr>
          <w:sz w:val="20"/>
          <w:szCs w:val="20"/>
          <w:color w:val="auto"/>
        </w:rPr>
      </w:pPr>
    </w:p>
    <w:p>
      <w:pPr>
        <w:jc w:val="both"/>
        <w:ind w:right="20" w:firstLine="410"/>
        <w:spacing w:after="0" w:line="251" w:lineRule="auto"/>
        <w:rPr>
          <w:sz w:val="20"/>
          <w:szCs w:val="20"/>
          <w:color w:val="auto"/>
        </w:rPr>
      </w:pPr>
      <w:r>
        <w:rPr>
          <w:rFonts w:ascii="Times New Roman" w:cs="Times New Roman" w:eastAsia="Times New Roman" w:hAnsi="Times New Roman"/>
          <w:sz w:val="20"/>
          <w:szCs w:val="20"/>
          <w:color w:val="auto"/>
        </w:rPr>
        <w:t>On February 13, 2024, the October 2022 Convertible Notes agreement was further amended to extend the maturity date to the termination of the Business Combination Agreement, and subordinate the October 2022 Convertible Notes to the April 2023 Convertible Notes, the November 2023 Convertible Notes, and February 2024 Convertible Notes (as described below).</w:t>
      </w:r>
    </w:p>
    <w:p>
      <w:pPr>
        <w:spacing w:after="0" w:line="18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$9.5 million principal was received by the Legacy Adagio as of December 31, 2022. As of July 30, 2024 (Predecessor), the principal amount outstanding was $9.5 million.</w:t>
      </w:r>
    </w:p>
    <w:p>
      <w:pPr>
        <w:spacing w:after="0" w:line="15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Upon the consummation of the Business Combination, all principal and accrued interest in respect to the October 2022 Convertible Notes were converted into 8,661,985 shares of Legacy Adagio common stock. Further, on Closing Date, the 8,661,985 Legacy Adagio common stocks were converted to 1,444,899 Company’s common stock based on the exchange ratio set forth in the Business Combination Agreement.</w:t>
      </w:r>
    </w:p>
    <w:p>
      <w:pPr>
        <w:spacing w:after="0" w:line="187"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and January 1, 2024 to July 30, 2024 (Predecessor), Legacy Adagio recognized interest expense of $62.5 thousand and $0.4 million, respectively.</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720"/>
          </w:cols>
          <w:pgMar w:left="1260" w:top="1244" w:right="1260" w:bottom="719"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i w:val="1"/>
          <w:iCs w:val="1"/>
          <w:color w:val="auto"/>
        </w:rPr>
        <w:t>Bridge Financing Notes (Predecessor)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April 2023 Convertible Notes</w:t>
      </w:r>
    </w:p>
    <w:p>
      <w:pPr>
        <w:spacing w:after="0" w:line="22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April 4, 2023, Legacy Adagio issued a $5.0 million convertible promissory note that matures on the latest of (i) January 5, 2024, (ii) termination of agreements between Legacy Adagio and ARYA in connection with a non -binding summary of the Business Combination, or (iii) the termination or lapse of the exclusivity period as defined in the non-binding term sheet as mentioned above. The April 2023 Convertible Notes accrue simple interest at eight percent (8.0%) per annum. Additionally, Legacy Adagio obtained the right to issue up to $10.0 million in additional convertible promissory notes available beginning one month after April 4, 2023, through the occurrence of an ARYA stockholder vote with regard to a transaction. During the period from April 4, 2023, to December 31, 2023, Legacy Adagio issued the additional $10.0 million.</w:t>
      </w:r>
    </w:p>
    <w:p>
      <w:pPr>
        <w:spacing w:after="0" w:line="19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On November 28, 2023, the April 2023 Convertible Notes were amended to align certain terms of the April 2023 Convertible Notes with the November 2023 Convertible Notes.</w:t>
      </w:r>
    </w:p>
    <w:p>
      <w:pPr>
        <w:spacing w:after="0" w:line="161"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19"/>
          <w:szCs w:val="19"/>
          <w:color w:val="auto"/>
        </w:rPr>
        <w:t>Upon the consummation of the Business Combination, the April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July 30, 2024 (Predecessor), the principal amount outstanding was $15.0 million.</w:t>
      </w:r>
    </w:p>
    <w:p>
      <w:pPr>
        <w:spacing w:after="0" w:line="23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and January 1, 2024 to July 30, 2024 (Predecessor), Legacy Adagio recognized interest expense of $0.1 million and $0.6 million, respectively.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November 2023 Convertible Notes</w:t>
      </w:r>
    </w:p>
    <w:p>
      <w:pPr>
        <w:spacing w:after="0" w:line="22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November 28, 2023, Legacy Adagio issued to Perceptive PIPE Investor a $2.0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accrues simple interest at eight percent (8.0%) per annum. Additionally, Legacy Adagio obtained the right to issue up to $6.0 million of Delayed Draw Commitment.</w:t>
      </w:r>
    </w:p>
    <w:p>
      <w:pPr>
        <w:spacing w:after="0" w:line="191" w:lineRule="exact"/>
        <w:rPr>
          <w:sz w:val="20"/>
          <w:szCs w:val="20"/>
          <w:color w:val="auto"/>
        </w:rPr>
      </w:pPr>
    </w:p>
    <w:p>
      <w:pPr>
        <w:jc w:val="both"/>
        <w:ind w:right="20" w:firstLine="360"/>
        <w:spacing w:after="0" w:line="251" w:lineRule="auto"/>
        <w:rPr>
          <w:sz w:val="20"/>
          <w:szCs w:val="20"/>
          <w:color w:val="auto"/>
        </w:rPr>
      </w:pPr>
      <w:r>
        <w:rPr>
          <w:rFonts w:ascii="Times New Roman" w:cs="Times New Roman" w:eastAsia="Times New Roman" w:hAnsi="Times New Roman"/>
          <w:sz w:val="20"/>
          <w:szCs w:val="20"/>
          <w:color w:val="auto"/>
        </w:rPr>
        <w:t>Upon the consummation of the Business Combination, the November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8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 December 2023, the November 2023 Convertible Notes were amended to permit the issuance of a Delayed Draw Commitment in the principal amount of $1.0 million and $2.0 million on December 13, 2023, and December 28, 2023, respectively. The combined $3.0 million convertible promissory notes were issued pursuant to the clause and terms in the November 2023 Convertible Notes agreement.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July 30, 2024 (Predecessor), the principal amount outstanding was $8.0 million.</w:t>
      </w:r>
    </w:p>
    <w:p>
      <w:pPr>
        <w:spacing w:after="0" w:line="231"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and from January 1, 2024 to July 30, 2024 (Predecessor), Legacy Adagio recognized interest expense of $50.6 thousand and $0.3 million, respectively.</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720"/>
          </w:cols>
          <w:pgMar w:left="1260" w:top="1248" w:right="1260" w:bottom="719"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i w:val="1"/>
          <w:iCs w:val="1"/>
          <w:color w:val="auto"/>
        </w:rPr>
        <w:t>February 2024 Convertible Notes</w:t>
      </w:r>
    </w:p>
    <w:p>
      <w:pPr>
        <w:spacing w:after="0" w:line="22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On February 13, 2024, the Legacy Adagio issued to Perceptive PIPE Investor a principal of $7.0 million convertible promissory note that matures upon the termination of the Business Combination Agreement in accordance with its terms. The February 2024 Convertible Notes accrue simple interest at eight percent (8.0%) per annum.</w:t>
      </w:r>
    </w:p>
    <w:p>
      <w:pPr>
        <w:spacing w:after="0" w:line="18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Upon the consummation of the Business Combination, the February 2024 Convertible Notes were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July 30, 2024 (Predecessor), the principal amount outstanding was $7.0 million.</w:t>
      </w:r>
    </w:p>
    <w:p>
      <w:pPr>
        <w:spacing w:after="0" w:line="231"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and from January 1, 2024 to July 30, 2024 (Predecessor), Legacy Adagio recognized interest expense of $46.0 thousand and $0.3 million, respectively.</w:t>
      </w:r>
    </w:p>
    <w:p>
      <w:pPr>
        <w:spacing w:after="0" w:line="159"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On the Closing Date, the $7.0 million of February 2024 Convertible Notes were converted into $7.0 million Convertible Securities Notes and 525,000 Convert Warrants.</w:t>
      </w:r>
    </w:p>
    <w:p>
      <w:pPr>
        <w:sectPr>
          <w:pgSz w:w="12240" w:h="15840" w:orient="portrait"/>
          <w:cols w:equalWidth="0" w:num="1">
            <w:col w:w="9720"/>
          </w:cols>
          <w:pgMar w:left="1260" w:top="1250"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720"/>
          </w:cols>
          <w:pgMar w:left="1260" w:top="1250" w:right="1260" w:bottom="719"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i w:val="1"/>
          <w:iCs w:val="1"/>
          <w:color w:val="auto"/>
        </w:rPr>
        <w:t>May 2024 Convertible Notes</w:t>
      </w:r>
    </w:p>
    <w:p>
      <w:pPr>
        <w:spacing w:after="0" w:line="22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On May 21, 2024, Legacy Adagio issued to Perceptive PIPE Investor a $3.0 million convertible promissory note that matured upon the termination of the Business Combination Agreement in accordance with its terms. The May 2024 Convertible Notes accrued simple interest at eight percent (8.0%) per annum.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30, 2024 (Predecessor), the principal amount outstanding was $3.0 million.</w:t>
      </w:r>
    </w:p>
    <w:p>
      <w:pPr>
        <w:spacing w:after="0" w:line="22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and from January 1, 2024 to July 30, 2024 (Predecessor), Legacy Adagio recognized interest expense of $19.7 thousand and $46.0 thousand, respectively.</w:t>
      </w:r>
    </w:p>
    <w:p>
      <w:pPr>
        <w:spacing w:after="0" w:line="16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19"/>
          <w:szCs w:val="19"/>
          <w:color w:val="auto"/>
        </w:rPr>
        <w:t>Upon the consummation of the Business Combination, the May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June 2024 Convertible Notes</w:t>
      </w:r>
    </w:p>
    <w:p>
      <w:pPr>
        <w:spacing w:after="0" w:line="229"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On June 25, 2024, Legacy Adagio issued to Perceptive PIPE Investor a $2.5 million convertible promissory note that matured upon the termination of the Business Combination Agreement in accordance with its terms. The June 2024 Convertible Notes accrued simple interest at eight percent (8.0%) per annum.</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July 30, 2024 (Predecessor), the principal amount outstanding was $2.5 million.</w:t>
      </w:r>
    </w:p>
    <w:p>
      <w:pPr>
        <w:spacing w:after="0" w:line="231"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and from January 1, 2024 to July 30, 2024 (Predecessor), Legacy Adagio recognized interest expense of $16.4 thousand and $19.2 thousand, respectively.</w:t>
      </w:r>
    </w:p>
    <w:p>
      <w:pPr>
        <w:spacing w:after="0" w:line="164"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19"/>
          <w:szCs w:val="19"/>
          <w:color w:val="auto"/>
        </w:rPr>
        <w:t>Upon the consummation of the Business Combination, the June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July 2024 Convertible Notes</w:t>
      </w:r>
    </w:p>
    <w:p>
      <w:pPr>
        <w:spacing w:after="0" w:line="229"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On July 23, 2024, Legacy Adagio issued a $1.0 million convertible promissory note to Perceptive PIPE Investor that matured upon the termination of the Business Combination Agreement in accordance with its terms. It accrued simple interest at eight percent (8.0%) per annum.</w:t>
      </w:r>
    </w:p>
    <w:p>
      <w:pPr>
        <w:spacing w:after="0" w:line="180"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19"/>
          <w:szCs w:val="19"/>
          <w:color w:val="auto"/>
        </w:rPr>
        <w:t>Upon the consummation of the Business Combination, the July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6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Legacy Adagio recognized interest expense of $1.3 thousand.</w:t>
      </w:r>
    </w:p>
    <w:p>
      <w:pPr>
        <w:spacing w:after="0" w:line="16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2024 PIPE Financing.</w:t>
      </w:r>
    </w:p>
    <w:p>
      <w:pPr>
        <w:sectPr>
          <w:pgSz w:w="12240" w:h="15840" w:orient="portrait"/>
          <w:cols w:equalWidth="0" w:num="1">
            <w:col w:w="9720"/>
          </w:cols>
          <w:pgMar w:left="1260" w:top="1250"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720"/>
          </w:cols>
          <w:pgMar w:left="1260" w:top="1250" w:right="1260" w:bottom="719"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i w:val="1"/>
          <w:iCs w:val="1"/>
          <w:color w:val="auto"/>
        </w:rPr>
        <w:t>SVB Term Loan (Predecessor)</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On February 3, 2023, Legacy Adagio entered into an agreement to obtain an initial term loan advance of $3.0 million and a right to issue a subsequent term loan advance of $2.0 million pursuant to the LSA. The loans matured on January 1, 2025, and Legacy Adagio made monthly payments at a floating rate per annum equal to the greater of (1) seven percent (7.0%) and (2) the market prime rate plus one and one half of one percent (1.5%).</w:t>
      </w:r>
    </w:p>
    <w:p>
      <w:pPr>
        <w:spacing w:after="0" w:line="18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connection with the issuance of the SVB Term Loan, Legacy Adagio issued liability - classified warrants with a fair value of $28.5 thousand to purchase 32,720 shares of common stock of Legacy Adagio (“Initial Warrants”), and a contingent right, with a fair value of $7.1 thousand, to obtain an additional 16,360 shares of the common stock (“Additional Warrants”) upon the nonoccurrence of the Interest Only Milestone. The Interest Only Milestone (“Milestone”) refers to a specific condition that was met on or before April 30, 2023. To satisfy this Milestone, Legacy Adagio would have ensured that no event of default had occurred. If this condition was met, Legacy Adagio would have provided SVB (i) the intent for the sale of all capital stock of Legacy Adagio, or (ii) an executed term sheet for a priced equity financing of at least $40.0 million from the sale of Legacy Adagio’s capital stock.</w:t>
      </w:r>
    </w:p>
    <w:p>
      <w:pPr>
        <w:spacing w:after="0" w:line="19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initial recognition of the warrant liabilities and the contingent right resulted in a discount of $35.6 thousand to the SVB Term Loan. The discount was amortized to interest expense over the term of the LSA.</w:t>
      </w:r>
    </w:p>
    <w:p>
      <w:pPr>
        <w:spacing w:after="0" w:line="15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As of July 30, 2024, the subsequent term loan advance of $2.0 million had not been drawn. As of July 30, 2024, the outstanding principal of SVB Term Loan was $1.0 million, and the unamortized debt discount was $9.7 thousand.</w:t>
      </w:r>
    </w:p>
    <w:p>
      <w:pPr>
        <w:spacing w:after="0" w:line="16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For the periods from July 1, 2024 to July 30, 2024 (Predecessor) and January 1, 2024 to July 30, 2024 (Predecessor), Legacy Adagio recognized interest expense of $9.0 thousand and $87.3 thousand, respectively.</w:t>
      </w:r>
    </w:p>
    <w:p>
      <w:pPr>
        <w:spacing w:after="0" w:line="15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Prior to the Closing, the existing SVB Term Loan of Legacy Adagio had a net balance of $1.0 million, including $1.0 million of principal and accrued interest, and an unamortized debt discount of $9.7 thousand. The unpaid principal and accrued interest were carried as assumed liabilities to the Company and paid at the Closing.</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720"/>
          </w:cols>
          <w:pgMar w:left="1260" w:top="1248" w:right="1260" w:bottom="719"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Securities Notes (Successor)</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6" w:lineRule="exact"/>
        <w:rPr>
          <w:sz w:val="20"/>
          <w:szCs w:val="20"/>
          <w:color w:val="auto"/>
        </w:rPr>
      </w:pPr>
    </w:p>
    <w:p>
      <w:pPr>
        <w:jc w:val="both"/>
        <w:ind w:right="20" w:firstLine="360"/>
        <w:spacing w:after="0" w:line="251" w:lineRule="auto"/>
        <w:rPr>
          <w:sz w:val="20"/>
          <w:szCs w:val="20"/>
          <w:color w:val="auto"/>
        </w:rPr>
      </w:pPr>
      <w:r>
        <w:rPr>
          <w:rFonts w:ascii="Times New Roman" w:cs="Times New Roman" w:eastAsia="Times New Roman" w:hAnsi="Times New Roman"/>
          <w:sz w:val="20"/>
          <w:szCs w:val="20"/>
          <w:color w:val="auto"/>
        </w:rPr>
        <w:t>The $20.0 million Convertible Securities Notes are convertible into shares of the Company’s common stock at a conversion price of $10.00 per share, subject to adjustment per the terms of the agreement. In the event of default, the Company may irrevocably elect in the event of default notice to permit the holder to effect alternate conversion, for which the conversion calculation and price are specified in the agreement.</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1,500,000 Convert Warrants, each of which is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 At the Company’s option, payment of interest can either be (i) made quarterly in cash, or (ii) compound and become additional principal of the Convertible Securities Notes. As of December 31, 2025, the Company does not anticipate making a cash interest payment within the next 12 months.</w:t>
      </w:r>
    </w:p>
    <w:p>
      <w:pPr>
        <w:spacing w:after="0" w:line="18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conversion of the February 2024 Convertible Notes was carried out on the same terms as the other Convert Investors executing the Convertible Security Subscription Agreement.</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the year ended December 31, 2025 (Successor), the Company recognized interest expense of $2.9 million.</w:t>
      </w:r>
    </w:p>
    <w:p>
      <w:pPr>
        <w:spacing w:after="0" w:line="231"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For the periods from July 31, 2024 to December 31, 2024 (Successor), the Company recognized interest expense of $1.1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Warrants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SVB Warrants (Predecessor)</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On February 3, 2023, in conjunction with the LSA, the Legacy Adagio issued Initial Warrants to purchase 32,720 shares of common stock of Legacy Adagio, and a contingent right to obtain an additional 16,360 shares of the common stock upon the non-occurrence of the Interest Only Milestone as mentioned above. The Additional Warrants are subject to the same terms as the Initial Warrants (collectively “SVB Warrants”).</w:t>
      </w:r>
    </w:p>
    <w:p>
      <w:pPr>
        <w:spacing w:after="0" w:line="186"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The exercise price of the SVB Warrants was $7.97 per share. The warrants were fully exercisable and would have expired on February 3, 2033.</w:t>
      </w:r>
    </w:p>
    <w:p>
      <w:pPr>
        <w:spacing w:after="0" w:line="164"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SVB Warrants were terminated prior to the consummation of the Business Combination as the fair market value of Legacy Adagio common stock is lower than the exercise price of the SVB Warrants before the Closing.</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720"/>
          </w:cols>
          <w:pgMar w:left="1260" w:top="1248" w:right="1260" w:bottom="719"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i w:val="1"/>
          <w:iCs w:val="1"/>
          <w:color w:val="auto"/>
        </w:rPr>
        <w:t>Series E Pre-funded Warrants (Predecessor)</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 xml:space="preserve">On June 25, 2024, in conjunction with the Series E Preferred Stock exchange agreement (refer to </w:t>
      </w:r>
      <w:r>
        <w:rPr>
          <w:rFonts w:ascii="Times New Roman" w:cs="Times New Roman" w:eastAsia="Times New Roman" w:hAnsi="Times New Roman"/>
          <w:sz w:val="20"/>
          <w:szCs w:val="20"/>
          <w:i w:val="1"/>
          <w:iCs w:val="1"/>
          <w:color w:val="auto"/>
        </w:rPr>
        <w:t>Note 13 - Mezzanine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Equity and Stockholders’ Equity)</w:t>
      </w:r>
      <w:r>
        <w:rPr>
          <w:rFonts w:ascii="Times New Roman" w:cs="Times New Roman" w:eastAsia="Times New Roman" w:hAnsi="Times New Roman"/>
          <w:sz w:val="20"/>
          <w:szCs w:val="20"/>
          <w:color w:val="auto"/>
        </w:rPr>
        <w:t>, Legacy Adagio issued to a certain investor 207,902 shares of pre-funded warrants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207,902 shares of Series E Preferred Stock, in exchange of the investor’s existing holding of 207,902 shares of Series E Preferred Stock.</w:t>
      </w:r>
    </w:p>
    <w:p>
      <w:pPr>
        <w:spacing w:after="0" w:line="18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exercise price of the pre-funded warrants was $0.001 per share. The pre-funded warrants were exercisable, at the option of the holder, on any day on or after the issuance date, in whole or in part. As an alternative to immediate cash payment, the investor could have elected to exercise the pre-funded warrant through a cashless exercise.</w:t>
      </w:r>
    </w:p>
    <w:p>
      <w:pPr>
        <w:spacing w:after="0" w:line="18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Upon the consummation of the Business Combination, the 207,902 Series E Pre-funded Warrants were converted in exchange for 34,680 shares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 Warrants (Successor)</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 xml:space="preserve">As mentioned in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from of issuance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PIPE Pre-funded Warrants (Successor)</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As set forth in the agreement of the 2024 PIPE Pre-Funded Warrants, the 2024 PIPE Pre -Funded Warrants are exercisable on a cashless basis or on a gross basis for one share of the Company’s common stock at an exercise price of $0.01 per share, subject to adjustments. The Company may be required to cash settle the 2024 PIPE Pre-funded Warrants when it fails to timely deliver shares to the holder who exercises the 2024 PIPE Pre-funded Warrants or upon the occurrence of a fundamental transaction.</w:t>
      </w:r>
    </w:p>
    <w:p>
      <w:pPr>
        <w:spacing w:after="0" w:line="18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On December 26, 2024, 670,000 2024 PIPE Pre-Funded Warrant shares were exercised on a cashless basis for 663,096 shares of the Company’s common stock. The exercise price for the 2024 PIPE Pre-Funded Warrants was $0.9705 per share.</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As of December 31, 2025, and December 31, 2024, there were no 2024 PIPE Pre-Funded Warrants outstanding.</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720"/>
          </w:cols>
          <w:pgMar w:left="1260" w:top="1248" w:right="1260" w:bottom="719"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i w:val="1"/>
          <w:iCs w:val="1"/>
          <w:color w:val="auto"/>
        </w:rPr>
        <w:t>PIPE Base Warrants (Successor)</w:t>
      </w:r>
    </w:p>
    <w:p>
      <w:pPr>
        <w:spacing w:after="0" w:line="22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On the Closing Date, the Company issued 3,540,000 Base Warrants along with 4,372,607 shares of the Company’s common shares to settle the outstanding principal and accrued interest of the Bridge Financing Notes.</w:t>
      </w:r>
    </w:p>
    <w:p>
      <w:pPr>
        <w:spacing w:after="0" w:line="16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 also issued 3,345,069 Base Warrants along with 3,287,018 shares of the Company’s common stock and 670,000 2024 PIPE Pre-Funded Warrants to PIPE Investors for cash proceeds received in the 2024 PIPE Financing.</w:t>
      </w:r>
    </w:p>
    <w:p>
      <w:pPr>
        <w:spacing w:after="0" w:line="158"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19"/>
          <w:szCs w:val="19"/>
          <w:color w:val="auto"/>
        </w:rPr>
        <w:t>The Company issued 643,658 Base Warrants along with 761,229 shares of the Company’s common stock in exchange for the non-redeemable 468,941 shares of ARYA’s Class A ordinary shares held by certain Other PIPE Investors.</w:t>
      </w:r>
    </w:p>
    <w:p>
      <w:pPr>
        <w:spacing w:after="0" w:line="138"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spacing w:after="0" w:line="18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and (v) the remaining term is five years.</w:t>
      </w:r>
    </w:p>
    <w:p>
      <w:pPr>
        <w:spacing w:after="0" w:line="17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According to the ASC 815, it is determined that the Base Warrants associated with the 2024 PIPE Financing are indexed to the Company’s common stock under and are accounted for as equity, which is initially measured at fair value. The Base Warrants are classified as equity in the financial statements because they meet the ASC 815 -40 indexation guidance. Specifically, 1) the Base Warrants can be exercised at any time during the exercise period without contingencies;</w:t>
      </w:r>
    </w:p>
    <w:p>
      <w:pPr>
        <w:spacing w:after="0" w:line="3" w:lineRule="exact"/>
        <w:rPr>
          <w:sz w:val="20"/>
          <w:szCs w:val="20"/>
          <w:color w:val="auto"/>
        </w:rPr>
      </w:pPr>
    </w:p>
    <w:p>
      <w:pPr>
        <w:jc w:val="both"/>
        <w:ind w:right="20" w:firstLine="8"/>
        <w:spacing w:after="0" w:line="242" w:lineRule="auto"/>
        <w:tabs>
          <w:tab w:leader="none" w:pos="22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PIPE Milestone and Pre-Funded Warrants (Successor)</w:t>
      </w:r>
    </w:p>
    <w:p>
      <w:pPr>
        <w:spacing w:after="0" w:line="22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On October 14, 2025, the Company entered into a Securities Purchase Agreement (the “Securities Purchase Agreement”) with certain accredited healthcare investors (the “Purchasers”) pursuant to which it issued and sold to the Purchasers in the Private Placement: (i) 9,792,506 shares (the “Shares”) of its common stock, par value $0.0001 per share (the “Common Stock”), or pre -funded warrants (the “2025 PIPE Pre-Funded Warrants”) to purchase shares of Common Stock in lieu thereof, and (ii) accompanying (a) Tranche A Warrants to purchase an aggregate of 6,012,943 shares of Common Stock (or pre-funded warrants in lieu thereof) (the “Tranche A Warrants”), (b) Tranche B Warrants to purchase an aggregate of 6,012,943 shares of Common Stock (or pre-funded warrants in lieu thereof) (the “Tranche B Warrants”) and (c) Tranche C Warrants to purchase an aggregate of 6,012,943 shares of Common Stock (or pre-funded warrants in lieu thereof) (the “Tranche C Warrants” and, together with the Tranche A and Tranche B Warrants, the “Milestone Warrants”), for aggregate gross proceeds of approximately $19 million (excluding up to approximately $31 million of additional aggregate gross proceeds that may be received in the future upon the cash exercise in full of the Milestone Warrants issued in the Private Placement), before deducting placement agent fees and other expenses payable by the Company. Each Share, or Pre-Funded Warrant in lieu thereof, sold pursuant to the Securities Purchase Agreement was accompanied by one Tranche A Warrant, one Tranche B Warrant and one Tranche C Warrant. The combined purchase price of each Share and accompanying Milestone Warrants is $1.9403 and (which includes $0.2303 for the Milestone Warrants sold with each Share in accordance with the rules and regulations of The Nasdaq Stock Market LLC). The combined purchase price of each Pre- Funded Warrant and accompanying Milestone Warrant is $1.9402 (equal to the combined purchase price per Share and accompanying Milestone Warrants, minus $0.0001).</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720"/>
          </w:cols>
          <w:pgMar w:left="1260" w:top="1248" w:right="1260" w:bottom="719" w:gutter="0" w:footer="0" w:header="0"/>
          <w:type w:val="continuous"/>
        </w:sectPr>
      </w:pPr>
    </w:p>
    <w:bookmarkStart w:id="146" w:name="page147"/>
    <w:bookmarkEnd w:id="146"/>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Each Milestone Warrant is exercisable for one share of Common Stock at an exercise price of $1.71 per share. The Milestone Warrants will expire upon the earlier of (i) five years from the date of issuance or (ii) (a) for the Tranche A Warrants, the date that is thirty (30) days following its announcement of results from the Company’s FULCRUM- VT IDE pivotal clinical trial, (b) for the Tranche B Warrants, the date that is thirty (30) days following its announcement of FDA approval of the vCLAS Cryoablation System, and (c) for the Tranche C Warrants, the date that is thirty (30) days following the Company’s announcement of FDA approval of its second generation vCLAS catheter system. The 2025 PIPE Pre-Funded Warrants are exercisable for one share of Common Stock at an exercise price of $0.0001 per share. The 2025 PIPE Pre-Funded Warrants are immediately exercisable and may be exercised at any time until all of the 2025 PIPE Pre-Funded Warrants are exercised in full.</w:t>
      </w:r>
    </w:p>
    <w:p>
      <w:pPr>
        <w:spacing w:after="0" w:line="20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A holder (together with its affiliates) of the 2025 PIPE Pre-Funded Warrants or Milestone Warrants, as the case may be, may not exercise any portion of the 2025 PIPE Pre-Funded Warrants or Milestone Warrants to the extent that the holder would own more than 4.99% (or, at the holder’s option upon issuance, 9.99%) of the Company’s outstanding Common Stock immediately after exercise, which percentage may be changed at the holder’s election to a lower or higher percentage not in excess of 19.99% upon 61 days’ notice to the Company subject to the terms of the 2025 PIPE Pre-Funded Warrants or the Milestone Warrants. In lieu of making the cash payment otherwise contemplated to be made to the Company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spacing w:after="0" w:line="20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lieu of making the cash payment otherwise contemplated to be made to the Company upon exercise of a Pre-Funded Warrant in payment of the aggregate exercise price, the holder may elect instead to receive upon such exercise (either in whole or in part) the net number of shares of Common Stock determined according to a formula set forth in the 2025 PIPE Pre-Funded Warrants.</w:t>
      </w:r>
    </w:p>
    <w:p>
      <w:pPr>
        <w:spacing w:after="0" w:line="193"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In accordance with ASC 815-40, the Company determined that the Milestone Warrants and the 2025 PIPE Pre-Funded Warrants issued in connection with the 2025 PIPE Financing are indexed to the Company’s common stock and qualify for equity classification. Accordingly, the warrants are accounted for as equity and initially measured at fair value.</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Milestone Warrants and the 2025 PIPE Pre-Funded Warrants meet the indexation and settlement guidance in ASC 815 because they can be exercised at any time during the exercise period without contingencies and are exercisable for a fixed number of shares at fixed exercise prices, with any adjustments, such as antidilution and alternative issuance adjustments, consistent with ASC 815 guidance, which does not preclude equity classification. The Milestone Warrants are exercisable for an aggregate of 18,038,829 shares of the Company’s common stock, and the Pre-Funded Warrants are exercisable for 3,994,434 shares of common stock, representing the maximum number of shares issuable under the agreements. As of December 31, 2025, the Company had sufficient authorized shares available to settle the Milestone Warrants and the 2025 PIPE Pre-Funded Warrants, and all the adjustments are in the control of the Company, further supporting the equity classification.</w:t>
      </w:r>
    </w:p>
    <w:p>
      <w:pPr>
        <w:spacing w:after="0" w:line="19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In December 2025, 1,030,822 2025 PIPE Pre-Funded Warrant shares were exercised on a cash basis for 1,030,822 shares of the Company’s common stock. The exercise price for the 2025 PIPE Pre-Funded Warrants was $0.0001 per share.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there were 2,963,612 2025 PIPE Pre-Funded Warrants outstanding.</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720"/>
          </w:cols>
          <w:pgMar w:left="1260" w:top="1248" w:right="1260" w:bottom="719"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Note 11 - Operating Leases</w:t>
      </w:r>
    </w:p>
    <w:p>
      <w:pPr>
        <w:spacing w:after="0" w:line="24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 xml:space="preserve">The Company leases distribution and research and development facilities as well as sub-leases office and manufacturing space from third parties and related parties (refer to </w:t>
      </w:r>
      <w:r>
        <w:rPr>
          <w:rFonts w:ascii="Times New Roman" w:cs="Times New Roman" w:eastAsia="Times New Roman" w:hAnsi="Times New Roman"/>
          <w:sz w:val="20"/>
          <w:szCs w:val="20"/>
          <w:i w:val="1"/>
          <w:iCs w:val="1"/>
          <w:color w:val="auto"/>
        </w:rPr>
        <w:t>Note 17 - Related Party Transactions</w:t>
      </w:r>
      <w:r>
        <w:rPr>
          <w:rFonts w:ascii="Times New Roman" w:cs="Times New Roman" w:eastAsia="Times New Roman" w:hAnsi="Times New Roman"/>
          <w:sz w:val="20"/>
          <w:szCs w:val="20"/>
          <w:color w:val="auto"/>
        </w:rPr>
        <w:t>) under its operating leases. The leases have expirations ranging from March 2026 to January 2030,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spacing w:after="0" w:line="18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 xml:space="preserve">As of December 31, 2025, the Company did not have any related party leases. The sublease agreement with Fjord expired on March 31, 2024. Refer to </w:t>
      </w:r>
      <w:r>
        <w:rPr>
          <w:rFonts w:ascii="Times New Roman" w:cs="Times New Roman" w:eastAsia="Times New Roman" w:hAnsi="Times New Roman"/>
          <w:sz w:val="20"/>
          <w:szCs w:val="20"/>
          <w:i w:val="1"/>
          <w:iCs w:val="1"/>
          <w:color w:val="auto"/>
        </w:rPr>
        <w:t>Note 17 - Related Party Transactions</w:t>
      </w:r>
      <w:r>
        <w:rPr>
          <w:rFonts w:ascii="Times New Roman" w:cs="Times New Roman" w:eastAsia="Times New Roman" w:hAnsi="Times New Roman"/>
          <w:sz w:val="20"/>
          <w:szCs w:val="20"/>
          <w:color w:val="auto"/>
        </w:rPr>
        <w:t xml:space="preserve"> for additional information.</w:t>
      </w:r>
    </w:p>
    <w:p>
      <w:pPr>
        <w:spacing w:after="0" w:line="16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As of December 31, 2025 and December 31, 2024, the Company does not have any finance or short- term leases and has not entered into leases which have not yet commenced that would entitle the Company to significant rights or create additional obligations as of December 31, 2025 and December 31, 2024.</w:t>
      </w:r>
    </w:p>
    <w:p>
      <w:pPr>
        <w:spacing w:after="0" w:line="18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following table summarizes quantitative information of the Company’s operating leases for the year ended December 31, 2025 and for the periods from January 1, 2024 to July 30, 2024 (Predecessor) and from July 31, 2024 to December 31, 2024 (Successor):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4"/>
              <w:spacing w:after="0" w:line="199"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960"/>
              <w:spacing w:after="0" w:line="199"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17"/>
                <w:szCs w:val="17"/>
                <w:color w:val="auto"/>
              </w:rPr>
            </w:pPr>
          </w:p>
        </w:tc>
        <w:tc>
          <w:tcPr>
            <w:tcW w:w="10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78"/>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65"/>
              <w:spacing w:after="0" w:line="178" w:lineRule="exact"/>
              <w:rPr>
                <w:sz w:val="20"/>
                <w:szCs w:val="20"/>
                <w:color w:val="auto"/>
              </w:rPr>
            </w:pPr>
            <w:r>
              <w:rPr>
                <w:rFonts w:ascii="Times New Roman" w:cs="Times New Roman" w:eastAsia="Times New Roman" w:hAnsi="Times New Roman"/>
                <w:sz w:val="18"/>
                <w:szCs w:val="18"/>
                <w:b w:val="1"/>
                <w:bCs w:val="1"/>
                <w:color w:val="auto"/>
                <w:w w:val="98"/>
              </w:rPr>
              <w:t>July 31 to</w:t>
            </w:r>
          </w:p>
        </w:tc>
        <w:tc>
          <w:tcPr>
            <w:tcW w:w="4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January 1 to</w:t>
            </w:r>
          </w:p>
        </w:tc>
      </w:tr>
      <w:tr>
        <w:trPr>
          <w:trHeight w:val="227"/>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7"/>
              </w:rPr>
              <w:t>July 30</w:t>
            </w:r>
          </w:p>
        </w:tc>
      </w:tr>
      <w:tr>
        <w:trPr>
          <w:trHeight w:val="220"/>
        </w:trPr>
        <w:tc>
          <w:tcPr>
            <w:tcW w:w="594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Operating cash flows paid for operating leases</w:t>
            </w:r>
          </w:p>
        </w:tc>
        <w:tc>
          <w:tcPr>
            <w:tcW w:w="18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302</w:t>
            </w:r>
          </w:p>
        </w:tc>
        <w:tc>
          <w:tcPr>
            <w:tcW w:w="16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63</w:t>
            </w:r>
          </w:p>
        </w:tc>
        <w:tc>
          <w:tcPr>
            <w:tcW w:w="400" w:type="dxa"/>
            <w:vAlign w:val="bottom"/>
            <w:tcBorders>
              <w:top w:val="single" w:sz="8" w:color="DDDDDD"/>
              <w:right w:val="single" w:sz="8" w:color="auto"/>
            </w:tcBorders>
            <w:shd w:val="clear" w:color="auto" w:fill="DDDDDD"/>
          </w:tcPr>
          <w:p>
            <w:pPr>
              <w:spacing w:after="0"/>
              <w:rPr>
                <w:sz w:val="19"/>
                <w:szCs w:val="19"/>
                <w:color w:val="auto"/>
              </w:rPr>
            </w:pPr>
          </w:p>
        </w:tc>
        <w:tc>
          <w:tcPr>
            <w:tcW w:w="8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auto"/>
            </w:tcBorders>
            <w:shd w:val="clear" w:color="auto" w:fill="DDDDDD"/>
          </w:tcPr>
          <w:p>
            <w:pPr>
              <w:jc w:val="right"/>
              <w:ind w:right="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shd w:val="clear" w:color="auto" w:fill="DDDDDD"/>
          </w:tcPr>
          <w:p>
            <w:pPr>
              <w:jc w:val="right"/>
              <w:ind w:right="143"/>
              <w:spacing w:after="0" w:line="220" w:lineRule="exact"/>
              <w:rPr>
                <w:sz w:val="20"/>
                <w:szCs w:val="20"/>
                <w:color w:val="auto"/>
              </w:rPr>
            </w:pPr>
            <w:r>
              <w:rPr>
                <w:rFonts w:ascii="Times New Roman" w:cs="Times New Roman" w:eastAsia="Times New Roman" w:hAnsi="Times New Roman"/>
                <w:sz w:val="20"/>
                <w:szCs w:val="20"/>
                <w:color w:val="auto"/>
              </w:rPr>
              <w:t>108</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1.7</w:t>
            </w:r>
          </w:p>
        </w:tc>
      </w:tr>
      <w:tr>
        <w:trPr>
          <w:trHeight w:val="228"/>
        </w:trPr>
        <w:tc>
          <w:tcPr>
            <w:tcW w:w="5940" w:type="dxa"/>
            <w:vAlign w:val="bottom"/>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Weighted average discount rate</w:t>
            </w:r>
          </w:p>
        </w:tc>
        <w:tc>
          <w:tcPr>
            <w:tcW w:w="1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40" w:type="dxa"/>
            <w:vAlign w:val="bottom"/>
            <w:gridSpan w:val="2"/>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8 %</w:t>
            </w:r>
          </w:p>
        </w:tc>
        <w:tc>
          <w:tcPr>
            <w:tcW w:w="16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8</w:t>
            </w:r>
          </w:p>
        </w:tc>
        <w:tc>
          <w:tcPr>
            <w:tcW w:w="400" w:type="dxa"/>
            <w:vAlign w:val="bottom"/>
            <w:tcBorders>
              <w:right w:val="single" w:sz="8" w:color="auto"/>
            </w:tcBorders>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highlight w:val="lightGray"/>
              </w:rPr>
              <w:t>%</w:t>
            </w:r>
          </w:p>
        </w:tc>
        <w:tc>
          <w:tcPr>
            <w:tcW w:w="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8 %</w:t>
            </w:r>
          </w:p>
        </w:tc>
      </w:tr>
    </w:tbl>
    <w:p>
      <w:pPr>
        <w:spacing w:after="0" w:line="21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did not incur any variable lease cost for the year ended December 31, 2025 (Successor) and for the periods from January 1, 2024 to July 30, 2024 (Predecessor) and from July 31, 2024 to December 31, 2024 (Successor).</w:t>
      </w:r>
    </w:p>
    <w:p>
      <w:pPr>
        <w:spacing w:after="0" w:line="16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following table presents the future minimum payments under the non-cancellable operating leases as of December 31,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580" w:type="dxa"/>
            <w:vAlign w:val="bottom"/>
            <w:gridSpan w:val="2"/>
          </w:tcPr>
          <w:p>
            <w:pPr>
              <w:ind w:left="8360"/>
              <w:spacing w:after="0"/>
              <w:rPr>
                <w:sz w:val="20"/>
                <w:szCs w:val="20"/>
                <w:color w:val="auto"/>
              </w:rPr>
            </w:pPr>
            <w:r>
              <w:rPr>
                <w:rFonts w:ascii="PMingLiU" w:cs="PMingLiU" w:eastAsia="PMingLiU" w:hAnsi="PMingLiU"/>
                <w:sz w:val="22"/>
                <w:szCs w:val="22"/>
                <w:b w:val="1"/>
                <w:bCs w:val="1"/>
                <w:color w:val="auto"/>
              </w:rPr>
              <w:t/>
            </w:r>
          </w:p>
        </w:tc>
        <w:tc>
          <w:tcPr>
            <w:tcW w:w="160" w:type="dxa"/>
            <w:vAlign w:val="bottom"/>
            <w:gridSpan w:val="2"/>
          </w:tcPr>
          <w:p>
            <w:pPr>
              <w:spacing w:after="0"/>
              <w:rPr>
                <w:sz w:val="20"/>
                <w:szCs w:val="20"/>
                <w:color w:val="auto"/>
              </w:rPr>
            </w:pPr>
            <w:r>
              <w:rPr>
                <w:rFonts w:ascii="PMingLiU" w:cs="PMingLiU" w:eastAsia="PMingLiU" w:hAnsi="PMingLiU"/>
                <w:sz w:val="22"/>
                <w:szCs w:val="22"/>
                <w:b w:val="1"/>
                <w:bCs w:val="1"/>
                <w:color w:val="auto"/>
              </w:rPr>
              <w:t/>
            </w:r>
          </w:p>
        </w:tc>
        <w:tc>
          <w:tcPr>
            <w:tcW w:w="980" w:type="dxa"/>
            <w:vAlign w:val="bottom"/>
          </w:tcPr>
          <w:p>
            <w:pPr>
              <w:jc w:val="right"/>
              <w:ind w:right="799"/>
              <w:spacing w:after="0"/>
              <w:rPr>
                <w:sz w:val="20"/>
                <w:szCs w:val="20"/>
                <w:color w:val="auto"/>
              </w:rPr>
            </w:pPr>
            <w:r>
              <w:rPr>
                <w:rFonts w:ascii="PMingLiU" w:cs="PMingLiU" w:eastAsia="PMingLiU" w:hAnsi="PMingLiU"/>
                <w:sz w:val="22"/>
                <w:szCs w:val="22"/>
                <w:b w:val="1"/>
                <w:bCs w:val="1"/>
                <w:color w:val="auto"/>
              </w:rPr>
              <w:t/>
            </w:r>
          </w:p>
        </w:tc>
      </w:tr>
      <w:tr>
        <w:trPr>
          <w:trHeight w:val="230"/>
        </w:trPr>
        <w:tc>
          <w:tcPr>
            <w:tcW w:w="83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Year ending December 31, 2026</w:t>
            </w:r>
          </w:p>
        </w:tc>
        <w:tc>
          <w:tcPr>
            <w:tcW w:w="220" w:type="dxa"/>
            <w:vAlign w:val="bottom"/>
            <w:shd w:val="clear" w:color="auto" w:fill="DDDDDD"/>
          </w:tcPr>
          <w:p>
            <w:pPr>
              <w:spacing w:after="0"/>
              <w:rPr>
                <w:sz w:val="20"/>
                <w:szCs w:val="20"/>
                <w:color w:val="auto"/>
              </w:rPr>
            </w:pPr>
          </w:p>
        </w:tc>
        <w:tc>
          <w:tcPr>
            <w:tcW w:w="1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205</w:t>
            </w:r>
          </w:p>
        </w:tc>
      </w:tr>
      <w:tr>
        <w:trPr>
          <w:trHeight w:val="233"/>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 2027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r>
      <w:tr>
        <w:trPr>
          <w:trHeight w:val="230"/>
        </w:trPr>
        <w:tc>
          <w:tcPr>
            <w:tcW w:w="83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Year ending December 31, 2028</w:t>
            </w:r>
          </w:p>
        </w:tc>
        <w:tc>
          <w:tcPr>
            <w:tcW w:w="2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206</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 2029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30"/>
        </w:trPr>
        <w:tc>
          <w:tcPr>
            <w:tcW w:w="83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Year ending December 31, 2030</w:t>
            </w:r>
          </w:p>
        </w:tc>
        <w:tc>
          <w:tcPr>
            <w:tcW w:w="2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2"/>
        </w:trPr>
        <w:tc>
          <w:tcPr>
            <w:tcW w:w="8360" w:type="dxa"/>
            <w:vAlign w:val="bottom"/>
          </w:tcPr>
          <w:p>
            <w:pPr>
              <w:ind w:left="360"/>
              <w:spacing w:after="0" w:line="223" w:lineRule="exact"/>
              <w:rPr>
                <w:sz w:val="20"/>
                <w:szCs w:val="20"/>
                <w:color w:val="auto"/>
              </w:rPr>
            </w:pPr>
            <w:r>
              <w:rPr>
                <w:rFonts w:ascii="Times New Roman" w:cs="Times New Roman" w:eastAsia="Times New Roman" w:hAnsi="Times New Roman"/>
                <w:sz w:val="20"/>
                <w:szCs w:val="20"/>
                <w:color w:val="auto"/>
              </w:rPr>
              <w:t>Total undiscounted future cash flows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840</w:t>
            </w:r>
          </w:p>
        </w:tc>
      </w:tr>
      <w:tr>
        <w:trPr>
          <w:trHeight w:val="230"/>
        </w:trPr>
        <w:tc>
          <w:tcPr>
            <w:tcW w:w="83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20"/>
                <w:szCs w:val="20"/>
                <w:color w:val="auto"/>
              </w:rPr>
              <w:t>Less: imputed interest</w:t>
            </w:r>
          </w:p>
        </w:tc>
        <w:tc>
          <w:tcPr>
            <w:tcW w:w="2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1"/>
        </w:trPr>
        <w:tc>
          <w:tcPr>
            <w:tcW w:w="8360" w:type="dxa"/>
            <w:vAlign w:val="bottom"/>
          </w:tcPr>
          <w:p>
            <w:pPr>
              <w:ind w:left="360"/>
              <w:spacing w:after="0" w:line="223" w:lineRule="exact"/>
              <w:rPr>
                <w:sz w:val="20"/>
                <w:szCs w:val="20"/>
                <w:color w:val="auto"/>
              </w:rPr>
            </w:pPr>
            <w:r>
              <w:rPr>
                <w:rFonts w:ascii="Times New Roman" w:cs="Times New Roman" w:eastAsia="Times New Roman" w:hAnsi="Times New Roman"/>
                <w:sz w:val="20"/>
                <w:szCs w:val="20"/>
                <w:color w:val="auto"/>
              </w:rPr>
              <w:t>Total operating lease liability</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718</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720"/>
          </w:cols>
          <w:pgMar w:left="1260" w:top="1244" w:right="1260" w:bottom="719"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Note 13 - Mezzanine Equity and Stockholders’ Equity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Shares (Predecessor)</w:t>
      </w:r>
    </w:p>
    <w:p>
      <w:pPr>
        <w:spacing w:after="0" w:line="22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Legacy Adagio’s Amended and Restated Articles of Incorporation authorized the issuance of two classes of stock designated as common and preferred stock, each having a par value of $0.001 per share. The number of shares authorized as of July 30, 2024 was 11,534,892 consisting of 6,594,946 shares of common stock and 4,939,946 shares of preferred stock, designated as Series A, Series B, Series C, Series D, and Series E preferred stock in the amounts included in the table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Preferred Stock (Predecessor)</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Legacy Adagio classified convertible preferred stock as temporary equity on the accompanying consolidated balance sheets, as all such preferred stock was redeemable either at the option of the holder or upon an event outside the control of Legacy Adagio. The requirements of a deemed liquidation event, as defined within its amended and restated certificate of incorporation filed in November 2020, were not entirely within Legacy Adagio’s control. In the event of such a deemed liquidation event, the proceeds from the event would have been distributed in accordance with the liquidation preferences, provided that the holders of preferred stock had not converted their shares into common stock. Legacy Adagio recorded the issuance of preferred stock at the issuance price less related issuance costs. Legacy Adagio had not adjusted the carrying value of outstanding preferred stock to its liquidation preference because a deemed liquidation event was not probable as of the end of the reporting period.</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the period from January 1, 2024 to July 30, 2024 (Predecessor), the following transactions were executed:</w:t>
      </w:r>
    </w:p>
    <w:p>
      <w:pPr>
        <w:spacing w:after="0" w:line="245" w:lineRule="exact"/>
        <w:rPr>
          <w:sz w:val="20"/>
          <w:szCs w:val="20"/>
          <w:color w:val="auto"/>
        </w:rPr>
      </w:pPr>
    </w:p>
    <w:p>
      <w:pPr>
        <w:jc w:val="both"/>
        <w:ind w:left="720" w:hanging="352"/>
        <w:spacing w:after="0" w:line="248"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On June 25, 2024, 207,902 shares of Series E Preferred Stock were extinguished and exchanged for 207,902 shares of pre-funded warrants to purchase Series E Preferred Stock. Refer to </w:t>
      </w:r>
      <w:r>
        <w:rPr>
          <w:rFonts w:ascii="Times New Roman" w:cs="Times New Roman" w:eastAsia="Times New Roman" w:hAnsi="Times New Roman"/>
          <w:sz w:val="20"/>
          <w:szCs w:val="20"/>
          <w:i w:val="1"/>
          <w:iCs w:val="1"/>
          <w:color w:val="auto"/>
        </w:rPr>
        <w:t>Note 10 - Warrants</w:t>
      </w:r>
      <w:r>
        <w:rPr>
          <w:rFonts w:ascii="Times New Roman" w:cs="Times New Roman" w:eastAsia="Times New Roman" w:hAnsi="Times New Roman"/>
          <w:sz w:val="20"/>
          <w:szCs w:val="20"/>
          <w:color w:val="auto"/>
        </w:rPr>
        <w:t xml:space="preserve"> for additional information regarding the Series E Pre-funded Warrants. The difference between the carrying value of the extinguished Series E Preferred Stock and the fair value of the issued Series E Pre-funded Warrants was recorded in additional paid-in capital.</w:t>
      </w:r>
    </w:p>
    <w:p>
      <w:pPr>
        <w:spacing w:after="0" w:line="19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On the Closing Date, the Legacy Adagio’s 4,732,044 convertible preferred stocks were converted into shares of Legacy Adagio common stock on a one-to-one basis prior to Adagio Merger Effective Time and then converted into 789,337 shares of the Company’s Common Stock and additional paid-in capital at the Closing based on the exchange ratio set forth in the Business Combination Agreement.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were no other preferred stock transactions during the year ended December 31, 2024 (Successor).</w:t>
      </w:r>
    </w:p>
    <w:p>
      <w:pPr>
        <w:spacing w:after="0" w:line="228"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summarizes information related to the issuance of Legacy Adagio’s preferred stock as of July 30, 2024 (Predecessor)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Conversion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Common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and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48"/>
              <w:spacing w:after="0" w:line="169" w:lineRule="exact"/>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Equivalent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 Stock Class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0" w:type="dxa"/>
            <w:vAlign w:val="bottom"/>
          </w:tcPr>
          <w:p>
            <w:pPr>
              <w:spacing w:after="0"/>
              <w:rPr>
                <w:sz w:val="1"/>
                <w:szCs w:val="1"/>
                <w:color w:val="auto"/>
              </w:rPr>
            </w:pPr>
          </w:p>
        </w:tc>
      </w:tr>
      <w:tr>
        <w:trPr>
          <w:trHeight w:val="41"/>
        </w:trPr>
        <w:tc>
          <w:tcPr>
            <w:tcW w:w="2180" w:type="dxa"/>
            <w:vAlign w:val="bottom"/>
            <w:tcBorders>
              <w:bottom w:val="single" w:sz="8" w:color="auto"/>
            </w:tcBorders>
            <w:vMerge w:val="continue"/>
          </w:tcPr>
          <w:p>
            <w:pPr>
              <w:spacing w:after="0"/>
              <w:rPr>
                <w:sz w:val="3"/>
                <w:szCs w:val="3"/>
                <w:color w:val="auto"/>
              </w:rPr>
            </w:pPr>
          </w:p>
        </w:tc>
        <w:tc>
          <w:tcPr>
            <w:tcW w:w="18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180" w:type="dxa"/>
            <w:vAlign w:val="bottom"/>
            <w:shd w:val="clear" w:color="auto" w:fill="DDDDDD"/>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Series A</w:t>
            </w:r>
          </w:p>
        </w:tc>
        <w:tc>
          <w:tcPr>
            <w:tcW w:w="118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270,856</w:t>
            </w:r>
          </w:p>
        </w:tc>
        <w:tc>
          <w:tcPr>
            <w:tcW w:w="118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270,856</w:t>
            </w:r>
          </w:p>
        </w:tc>
        <w:tc>
          <w:tcPr>
            <w:tcW w:w="500" w:type="dxa"/>
            <w:vAlign w:val="bottom"/>
            <w:gridSpan w:val="3"/>
            <w:shd w:val="clear" w:color="auto" w:fill="DDDDDD"/>
          </w:tcPr>
          <w:p>
            <w:pPr>
              <w:jc w:val="right"/>
              <w:ind w:right="9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2,500</w:t>
            </w:r>
          </w:p>
        </w:tc>
        <w:tc>
          <w:tcPr>
            <w:tcW w:w="340" w:type="dxa"/>
            <w:vAlign w:val="bottom"/>
            <w:gridSpan w:val="2"/>
            <w:shd w:val="clear" w:color="auto" w:fill="DDDDDD"/>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9.23</w:t>
            </w:r>
          </w:p>
        </w:tc>
        <w:tc>
          <w:tcPr>
            <w:tcW w:w="118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270,856</w:t>
            </w:r>
          </w:p>
        </w:tc>
        <w:tc>
          <w:tcPr>
            <w:tcW w:w="34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31"/>
        </w:trPr>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Series B</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815,730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815,730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815,730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10,637</w:t>
            </w:r>
          </w:p>
        </w:tc>
        <w:tc>
          <w:tcPr>
            <w:tcW w:w="0" w:type="dxa"/>
            <w:vAlign w:val="bottom"/>
          </w:tcPr>
          <w:p>
            <w:pPr>
              <w:spacing w:after="0"/>
              <w:rPr>
                <w:sz w:val="1"/>
                <w:szCs w:val="1"/>
                <w:color w:val="auto"/>
              </w:rPr>
            </w:pPr>
          </w:p>
        </w:tc>
      </w:tr>
      <w:tr>
        <w:trPr>
          <w:trHeight w:val="228"/>
        </w:trPr>
        <w:tc>
          <w:tcPr>
            <w:tcW w:w="2180" w:type="dxa"/>
            <w:vAlign w:val="bottom"/>
            <w:shd w:val="clear" w:color="auto" w:fill="DDDDDD"/>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Series C</w:t>
            </w:r>
          </w:p>
        </w:tc>
        <w:tc>
          <w:tcPr>
            <w:tcW w:w="1180" w:type="dxa"/>
            <w:vAlign w:val="bottom"/>
            <w:gridSpan w:val="3"/>
            <w:shd w:val="clear" w:color="auto" w:fill="DDDDDD"/>
          </w:tcPr>
          <w:p>
            <w:pPr>
              <w:jc w:val="right"/>
              <w:spacing w:after="0" w:line="229" w:lineRule="exact"/>
              <w:rPr>
                <w:sz w:val="20"/>
                <w:szCs w:val="20"/>
                <w:color w:val="auto"/>
              </w:rPr>
            </w:pPr>
            <w:r>
              <w:rPr>
                <w:rFonts w:ascii="Times New Roman" w:cs="Times New Roman" w:eastAsia="Times New Roman" w:hAnsi="Times New Roman"/>
                <w:sz w:val="20"/>
                <w:szCs w:val="20"/>
                <w:color w:val="auto"/>
              </w:rPr>
              <w:t>981,596</w:t>
            </w:r>
          </w:p>
        </w:tc>
        <w:tc>
          <w:tcPr>
            <w:tcW w:w="1180" w:type="dxa"/>
            <w:vAlign w:val="bottom"/>
            <w:gridSpan w:val="3"/>
            <w:shd w:val="clear" w:color="auto" w:fill="DDDDDD"/>
          </w:tcPr>
          <w:p>
            <w:pPr>
              <w:jc w:val="right"/>
              <w:spacing w:after="0" w:line="229" w:lineRule="exact"/>
              <w:rPr>
                <w:sz w:val="20"/>
                <w:szCs w:val="20"/>
                <w:color w:val="auto"/>
              </w:rPr>
            </w:pPr>
            <w:r>
              <w:rPr>
                <w:rFonts w:ascii="Times New Roman" w:cs="Times New Roman" w:eastAsia="Times New Roman" w:hAnsi="Times New Roman"/>
                <w:sz w:val="20"/>
                <w:szCs w:val="20"/>
                <w:color w:val="auto"/>
              </w:rPr>
              <w:t>981,596</w:t>
            </w:r>
          </w:p>
        </w:tc>
        <w:tc>
          <w:tcPr>
            <w:tcW w:w="2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line="229" w:lineRule="exact"/>
              <w:rPr>
                <w:sz w:val="20"/>
                <w:szCs w:val="20"/>
                <w:color w:val="auto"/>
              </w:rPr>
            </w:pPr>
            <w:r>
              <w:rPr>
                <w:rFonts w:ascii="Times New Roman" w:cs="Times New Roman" w:eastAsia="Times New Roman" w:hAnsi="Times New Roman"/>
                <w:sz w:val="20"/>
                <w:szCs w:val="20"/>
                <w:color w:val="auto"/>
              </w:rPr>
              <w:t>15,988</w:t>
            </w:r>
          </w:p>
        </w:tc>
        <w:tc>
          <w:tcPr>
            <w:tcW w:w="2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line="229" w:lineRule="exact"/>
              <w:rPr>
                <w:sz w:val="20"/>
                <w:szCs w:val="20"/>
                <w:color w:val="auto"/>
              </w:rPr>
            </w:pPr>
            <w:r>
              <w:rPr>
                <w:rFonts w:ascii="Times New Roman" w:cs="Times New Roman" w:eastAsia="Times New Roman" w:hAnsi="Times New Roman"/>
                <w:sz w:val="20"/>
                <w:szCs w:val="20"/>
                <w:color w:val="auto"/>
              </w:rPr>
              <w:t>16.30</w:t>
            </w:r>
          </w:p>
        </w:tc>
        <w:tc>
          <w:tcPr>
            <w:tcW w:w="1180" w:type="dxa"/>
            <w:vAlign w:val="bottom"/>
            <w:gridSpan w:val="3"/>
            <w:shd w:val="clear" w:color="auto" w:fill="DDDDDD"/>
          </w:tcPr>
          <w:p>
            <w:pPr>
              <w:jc w:val="right"/>
              <w:spacing w:after="0" w:line="229" w:lineRule="exact"/>
              <w:rPr>
                <w:sz w:val="20"/>
                <w:szCs w:val="20"/>
                <w:color w:val="auto"/>
              </w:rPr>
            </w:pPr>
            <w:r>
              <w:rPr>
                <w:rFonts w:ascii="Times New Roman" w:cs="Times New Roman" w:eastAsia="Times New Roman" w:hAnsi="Times New Roman"/>
                <w:sz w:val="20"/>
                <w:szCs w:val="20"/>
                <w:color w:val="auto"/>
              </w:rPr>
              <w:t>981,596</w:t>
            </w:r>
          </w:p>
        </w:tc>
        <w:tc>
          <w:tcPr>
            <w:tcW w:w="2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line="229" w:lineRule="exact"/>
              <w:rPr>
                <w:sz w:val="20"/>
                <w:szCs w:val="20"/>
                <w:color w:val="auto"/>
              </w:rPr>
            </w:pPr>
            <w:r>
              <w:rPr>
                <w:rFonts w:ascii="Times New Roman" w:cs="Times New Roman" w:eastAsia="Times New Roman" w:hAnsi="Times New Roman"/>
                <w:sz w:val="20"/>
                <w:szCs w:val="20"/>
                <w:color w:val="auto"/>
              </w:rPr>
              <w:t>16,000</w:t>
            </w:r>
          </w:p>
        </w:tc>
        <w:tc>
          <w:tcPr>
            <w:tcW w:w="0" w:type="dxa"/>
            <w:vAlign w:val="bottom"/>
          </w:tcPr>
          <w:p>
            <w:pPr>
              <w:spacing w:after="0"/>
              <w:rPr>
                <w:sz w:val="1"/>
                <w:szCs w:val="1"/>
                <w:color w:val="auto"/>
              </w:rPr>
            </w:pPr>
          </w:p>
        </w:tc>
      </w:tr>
      <w:tr>
        <w:trPr>
          <w:trHeight w:val="230"/>
        </w:trPr>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Series 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992,064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992,064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992,064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0" w:type="dxa"/>
            <w:vAlign w:val="bottom"/>
          </w:tcPr>
          <w:p>
            <w:pPr>
              <w:spacing w:after="0"/>
              <w:rPr>
                <w:sz w:val="1"/>
                <w:szCs w:val="1"/>
                <w:color w:val="auto"/>
              </w:rPr>
            </w:pPr>
          </w:p>
        </w:tc>
      </w:tr>
      <w:tr>
        <w:trPr>
          <w:trHeight w:val="230"/>
        </w:trPr>
        <w:tc>
          <w:tcPr>
            <w:tcW w:w="2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w w:val="99"/>
              </w:rPr>
              <w:t>Series E</w:t>
            </w:r>
          </w:p>
        </w:tc>
        <w:tc>
          <w:tcPr>
            <w:tcW w:w="11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1,879,700</w:t>
            </w:r>
          </w:p>
        </w:tc>
        <w:tc>
          <w:tcPr>
            <w:tcW w:w="11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1,671,798</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37,679</w:t>
            </w:r>
          </w:p>
        </w:tc>
        <w:tc>
          <w:tcPr>
            <w:tcW w:w="2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11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1,671,798</w:t>
            </w:r>
          </w:p>
        </w:tc>
        <w:tc>
          <w:tcPr>
            <w:tcW w:w="2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37,799</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4,939,946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4,732,044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86,783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4,732,044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86,936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133985</wp:posOffset>
                </wp:positionV>
                <wp:extent cx="154178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55pt" to="121.7pt,10.55pt" o:allowincell="f" strokecolor="#000000" strokeweight="0.95pt"/>
            </w:pict>
          </mc:Fallback>
        </mc:AlternateConten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The carrying value reflects the gross proceeds received from the sale of the preferred stock less issuance costs.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720"/>
          </w:cols>
          <w:pgMar w:left="1260" w:top="1244" w:right="1260" w:bottom="719" w:gutter="0" w:footer="0" w:header="0"/>
          <w:type w:val="continuous"/>
        </w:sectPr>
      </w:pPr>
    </w:p>
    <w:bookmarkStart w:id="149" w:name="page150"/>
    <w:bookmarkEnd w:id="149"/>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relative rights, terms, privileges, and restrictions granted to or imposed upon preferred stockholders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Preferred Stock - Dividends</w:t>
      </w:r>
    </w:p>
    <w:p>
      <w:pPr>
        <w:spacing w:after="0" w:line="229"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Prior and in preference to any declaration or payment of any dividends to the holders of common stock, the holders of preferred stock were entitled to receive dividends out of any assets legally available therefore, at the rate of eight percent (8%) of the original issue price per share per annum. The original issue price of Series A, Series B, Series C, Series D, and Series E was $9.23, $13.04, $16.30, $20.16, and $22.61, respectively. The dividends were not cumulative.</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the event that the dividend amount declared by the Board of Directors of Legacy Adagio was insufficient to permit payment of the full aforesaid dividends, such dividends would have been paid ratably to each holder of preferred stock in proportion to the dividend amounts to which each holder of preferred stock was entitled. After payment of the full amount of the aforesaid dividends, any additional dividends declared would have been distributed to the holder of common stock and preferred stock in proportion to the number of shares of common stock that were held by such holder on an as-converted to common stock basis.</w:t>
      </w:r>
    </w:p>
    <w:p>
      <w:pPr>
        <w:spacing w:after="0" w:line="19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No dividends on preferred stock or common stock had been declared by the Board of Directors as of July 30, 2024 (Predecessor) or as of the Closing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Liquidation Preference</w:t>
      </w:r>
    </w:p>
    <w:p>
      <w:pPr>
        <w:spacing w:after="0" w:line="229"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In the event of liquidation of Legacy Adagio, including a merger, acquisition, or sale of all or substantially all the assets of Legacy Adagio, holders of preferred stock were entitled to receive an amount equal to the original issue price of each share of preferred stock held plus any dividends declared but not yet paid, prior to any distribution of assets or surplus funds of Legacy Adagio to common stock shareholders. After payment had been made to the holders of the preferred stock of the full amounts to which they were entitled as noted above, the remaining assets would have been distributed among the holders of the common stock pro rata based on the number of shares of common stock held by each holder.</w:t>
      </w:r>
    </w:p>
    <w:p>
      <w:pPr>
        <w:spacing w:after="0" w:line="179"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If, at the time of liquidation, the assets were insufficient to permit full payment of the liquidation preferences of the series listed in the order above, the assets would have been distributed ratably among the holders of the series in proportion to the full preferential amount each such holder was otherwise entitled to receive in respect to such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22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So long as the shares of preferred stock that were convertible into at least 1,000,000 shares of common stock (subject to appropriate adjustment in the event of any stock dividends, stock split, combination or other similar recapitalization with respect to the common stock) were issued and outstanding, the holders of preferred stock, voting as a separate class on an as-converted to common stock basis, had the right to elect four members of the Board of Directors of Legacy Adagio. The holders of common stock, voting as a separate class, had the right to elect one member of the Board of Directors. The remaining directors would be elected by the holders of the common stock and the preferred stock, voting together as a single class on an as-converted to common stock basis.</w:t>
      </w:r>
    </w:p>
    <w:p>
      <w:pPr>
        <w:spacing w:after="0" w:line="18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On all other matters, the holders of the preferred stock had full voting rights and powers equal to the voting rights and powers of the holders of common stock.</w:t>
      </w:r>
    </w:p>
    <w:p>
      <w:pPr>
        <w:spacing w:after="0" w:line="16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Fractional votes by the holders of preferred stock were not permitted and any fractional voting rights would be rounded to the nearest whole number.</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720"/>
          </w:cols>
          <w:pgMar w:left="1260" w:top="1248" w:right="1260" w:bottom="719"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i w:val="1"/>
          <w:iCs w:val="1"/>
          <w:color w:val="auto"/>
        </w:rPr>
        <w:t>Conversion Rights</w:t>
      </w:r>
    </w:p>
    <w:p>
      <w:pPr>
        <w:spacing w:after="0" w:line="22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Each share of preferred stock was convertible, at the option of the holder, into shares of common stock without the payment of any additional consideration. The preferred stock was convertible into the number of fully paid and nonassessable shares of common stock, which results from dividing the conversion price per share in effect for the preferred stock at the time of conversion into the per share conversion value. The initial per share conversion price of Series A, Series B, Series C, Series D, and Series E was $9.23, $13.04, $16.30, $20.16, and $22.61, respectively. The initial conversion price was subject to adjustment for antidilution provisions, as defined. The per share conversion value of Series A, Series B, Series C, Series D, and Series E was $9.23, $13.04, $16.30, $20.16, and $22.61, respectively.</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Each share of preferred stock would automatically be converted into shares of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 common stock in a firm commitment, underwritten public offering registered under the Securities Act of 1933, as amended, with aggregate offering proceeds to Legacy Adagio (before deduction for underwriters’ discounts and expenses relating to the issuance) of at least $75 million and a public offering price per share equal to at least $67.83 (subject to adjustments for stock dividends, splits, combinations and similar events).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Protective Provisions</w:t>
      </w:r>
    </w:p>
    <w:p>
      <w:pPr>
        <w:spacing w:after="0" w:line="226"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So long as there were at least 1,000,000 shares of preferred stock outstanding, Legacy Adagio shall not (by merger, reclassification, amendment or otherwise), without first obtaining the approval of the holders of at least seventy percent (70%) of the then outstanding shares of preferred stock, voting separately as a class, to, among other things: (i) amend the certificate of incorporation or bylaws; (ii) adversely alter or change the rights, preferences or privileges of the preferred stock; (iii) increase or decrease the aggregate number of authorized shares of any class of the capital stock of Legacy Adagio.</w:t>
      </w:r>
    </w:p>
    <w:p>
      <w:pPr>
        <w:spacing w:after="0" w:line="19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So long as shares of Series E preferred stock that were convertible into at least 500,000 shares of common stock (subject to appropriate adjustment in the event of any stock dividend, stock split, combination or other similar recapitalization with respect to the common stock) were issued and outstanding, Legacy Adagio did not, directly or indirectly (by merger, reclassification, amendment or otherwise), without first obtaining the approval of the holders of at least a majority of the voting power of the then outstanding shares of Series E preferred stock, voting separately as a class, do, among other things: (i) amend, alter, repeal or waive any provision of the certificate of incorporation or bylaws of Legacy Adagio in a manner that adversely affected the holders of the Series E preferred stock in a manner different from any other series of preferred stock; (ii) create or authorize the creation of or issue any other security convertible into or exercisable for any equity security having rights, preferences or privileges senior to the Series E preferred stock; or (iii) increase or decrease the authorized number of shares of Series E preferred stock.</w:t>
      </w:r>
    </w:p>
    <w:p>
      <w:pPr>
        <w:sectPr>
          <w:pgSz w:w="12240" w:h="15840" w:orient="portrait"/>
          <w:cols w:equalWidth="0" w:num="1">
            <w:col w:w="9720"/>
          </w:cols>
          <w:pgMar w:left="1260" w:top="1250"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720"/>
          </w:cols>
          <w:pgMar w:left="1260" w:top="1250" w:right="1260" w:bottom="719"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(Predecessor)</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Prior to the Business Combination, each share of Legacy Adagio common stock was entitled to one vote. As of December 31, 2024 (Predecessor), Legacy Adagio was authorized to issue up to 6,594,946 of common stock at a par value of $0.001 per share out of which 786,510 shares were issued and 779,908 shares were outstanding.</w:t>
      </w:r>
    </w:p>
    <w:p>
      <w:pPr>
        <w:spacing w:after="0" w:line="18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 xml:space="preserve">On the Closing Date, as explained in </w:t>
      </w:r>
      <w:r>
        <w:rPr>
          <w:rFonts w:ascii="Times New Roman" w:cs="Times New Roman" w:eastAsia="Times New Roman" w:hAnsi="Times New Roman"/>
          <w:sz w:val="20"/>
          <w:szCs w:val="20"/>
          <w:i w:val="1"/>
          <w:iCs w:val="1"/>
          <w:color w:val="auto"/>
        </w:rPr>
        <w:t>Note 3 - Forward Merger</w:t>
      </w:r>
      <w:r>
        <w:rPr>
          <w:rFonts w:ascii="Times New Roman" w:cs="Times New Roman" w:eastAsia="Times New Roman" w:hAnsi="Times New Roman"/>
          <w:sz w:val="20"/>
          <w:szCs w:val="20"/>
          <w:color w:val="auto"/>
        </w:rPr>
        <w:t>, each share of Legacy Adagio issued and outstanding prior to the Closing Date was converted into the Company’s common stock based on the exchange ratio set forth in the Business Combination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(Successor)</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As of December 31, 2025 (Successor), the Company’s certificate of incorporation, as amended and restated, authorized the Company to issue up to 210,000,000 of common stock at a par value of $0.0001 per share, and 20,000,000 shares of preferred stock, par value $0.0001 per share. As of December 31, 2025 (Successor), 22,210,459 shares were issued and outstanding, including 1,147,500 Sponsor Earnout (as defined below).</w:t>
      </w:r>
    </w:p>
    <w:p>
      <w:pPr>
        <w:spacing w:after="0" w:line="18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September 2024, the Company issued 1,147,500 shares of the Company’s Common Stock (such issuance, the “Sponsor Earnout”) to the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for any 20 trading days within any 30 trading day period from and after the Closing Date and (ii) immediately prior to the consummation of a company sale during the Earn-Out Period.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the reporting date, the vesting of the Sponsor Earnout was not considered probable.</w:t>
      </w:r>
    </w:p>
    <w:p>
      <w:pPr>
        <w:spacing w:after="0" w:line="23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spacing w:after="0" w:line="19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holders of the Company’s common stock are entitled to receive dividends whenever funds are legally available, when and if declared by the Company’s Board of Directors. As of December 31, 2025 (Successor), no cash dividend has been declared to date. Each share of the Company’s common stock is entitled to one vote.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720"/>
          </w:cols>
          <w:pgMar w:left="1260" w:top="1248" w:right="1260" w:bottom="719" w:gutter="0" w:footer="0" w:header="0"/>
          <w:type w:val="continuous"/>
        </w:sectPr>
      </w:pPr>
    </w:p>
    <w:bookmarkStart w:id="152" w:name="page153"/>
    <w:bookmarkEnd w:id="152"/>
    <w:p>
      <w:pPr>
        <w:ind w:left="360"/>
        <w:spacing w:after="0"/>
        <w:rPr>
          <w:sz w:val="20"/>
          <w:szCs w:val="20"/>
          <w:color w:val="auto"/>
        </w:rPr>
      </w:pPr>
      <w:r>
        <w:rPr>
          <w:rFonts w:ascii="Times New Roman" w:cs="Times New Roman" w:eastAsia="Times New Roman" w:hAnsi="Times New Roman"/>
          <w:sz w:val="20"/>
          <w:szCs w:val="20"/>
          <w:color w:val="auto"/>
        </w:rPr>
        <w:t>The table below summarizes the number of shares of common stock outstanding immediately following the Closing: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20"/>
        </w:trPr>
        <w:tc>
          <w:tcPr>
            <w:tcW w:w="8080" w:type="dxa"/>
            <w:vAlign w:val="bottom"/>
            <w:tcBorders>
              <w:top w:val="single" w:sz="8" w:color="DDDDDD"/>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Contribution from 2024 PIPE Financing for cash</w:t>
            </w:r>
          </w:p>
        </w:tc>
        <w:tc>
          <w:tcPr>
            <w:tcW w:w="240" w:type="dxa"/>
            <w:vAlign w:val="bottom"/>
            <w:tcBorders>
              <w:top w:val="single" w:sz="8" w:color="DDDDDD"/>
            </w:tcBorders>
            <w:gridSpan w:val="2"/>
            <w:shd w:val="clear" w:color="auto" w:fill="DDDDDD"/>
          </w:tcPr>
          <w:p>
            <w:pPr>
              <w:spacing w:after="0"/>
              <w:rPr>
                <w:sz w:val="19"/>
                <w:szCs w:val="19"/>
                <w:color w:val="auto"/>
              </w:rPr>
            </w:pPr>
          </w:p>
        </w:tc>
        <w:tc>
          <w:tcPr>
            <w:tcW w:w="1400" w:type="dxa"/>
            <w:vAlign w:val="bottom"/>
            <w:tcBorders>
              <w:top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3,287,018</w:t>
            </w: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Conversion of ARYA convertible promissory notes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355,100</w:t>
            </w:r>
          </w:p>
        </w:tc>
      </w:tr>
      <w:tr>
        <w:trPr>
          <w:trHeight w:val="230"/>
        </w:trPr>
        <w:tc>
          <w:tcPr>
            <w:tcW w:w="80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20"/>
                <w:szCs w:val="20"/>
                <w:color w:val="auto"/>
              </w:rPr>
              <w:t>Conversion of ARYA Class A ordinary shares and Class B ordinary shares</w:t>
            </w:r>
          </w:p>
        </w:tc>
        <w:tc>
          <w:tcPr>
            <w:tcW w:w="16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2,089,000</w:t>
            </w: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Conversion of Class A ordinary shares subject to redemption</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123,520</w:t>
            </w:r>
          </w:p>
        </w:tc>
      </w:tr>
      <w:tr>
        <w:trPr>
          <w:trHeight w:val="228"/>
        </w:trPr>
        <w:tc>
          <w:tcPr>
            <w:tcW w:w="8080" w:type="dxa"/>
            <w:vAlign w:val="bottom"/>
            <w:shd w:val="clear" w:color="auto" w:fill="DDDDDD"/>
          </w:tcPr>
          <w:p>
            <w:pPr>
              <w:ind w:left="240"/>
              <w:spacing w:after="0" w:line="228" w:lineRule="exact"/>
              <w:rPr>
                <w:sz w:val="20"/>
                <w:szCs w:val="20"/>
                <w:color w:val="auto"/>
              </w:rPr>
            </w:pPr>
            <w:r>
              <w:rPr>
                <w:rFonts w:ascii="Times New Roman" w:cs="Times New Roman" w:eastAsia="Times New Roman" w:hAnsi="Times New Roman"/>
                <w:sz w:val="20"/>
                <w:szCs w:val="20"/>
                <w:color w:val="auto"/>
              </w:rPr>
              <w:t>Shares issued in purchase consideration</w:t>
            </w:r>
          </w:p>
        </w:tc>
        <w:tc>
          <w:tcPr>
            <w:tcW w:w="1640" w:type="dxa"/>
            <w:vAlign w:val="bottom"/>
            <w:gridSpan w:val="3"/>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6,771,769</w:t>
            </w:r>
          </w:p>
        </w:tc>
      </w:tr>
      <w:tr>
        <w:trPr>
          <w:trHeight w:val="212"/>
        </w:trPr>
        <w:tc>
          <w:tcPr>
            <w:tcW w:w="80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Additional shares issued and reclassification of Class A ordinary shares subject to non-redemption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9"/>
        </w:trPr>
        <w:tc>
          <w:tcPr>
            <w:tcW w:w="808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agreements and open market subscription agreements</w:t>
            </w:r>
          </w:p>
        </w:tc>
        <w:tc>
          <w:tcPr>
            <w:tcW w:w="240" w:type="dxa"/>
            <w:vAlign w:val="bottom"/>
            <w:tcBorders>
              <w:bottom w:val="single" w:sz="8" w:color="DDDDDD"/>
            </w:tcBorders>
            <w:gridSpan w:val="2"/>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761,229</w:t>
            </w:r>
          </w:p>
        </w:tc>
      </w:tr>
      <w:tr>
        <w:trPr>
          <w:trHeight w:val="231"/>
        </w:trPr>
        <w:tc>
          <w:tcPr>
            <w:tcW w:w="808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shd w:val="clear" w:color="auto" w:fill="DDDDDD"/>
          </w:tcPr>
          <w:p>
            <w:pPr>
              <w:spacing w:after="0"/>
              <w:rPr>
                <w:sz w:val="20"/>
                <w:szCs w:val="20"/>
                <w:color w:val="auto"/>
              </w:rPr>
            </w:pPr>
          </w:p>
        </w:tc>
        <w:tc>
          <w:tcPr>
            <w:tcW w:w="1420" w:type="dxa"/>
            <w:vAlign w:val="bottom"/>
            <w:tcBorders>
              <w:bottom w:val="single" w:sz="8" w:color="auto"/>
            </w:tcBorders>
            <w:gridSpan w:val="2"/>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13,387,636</w:t>
            </w:r>
          </w:p>
        </w:tc>
      </w:tr>
    </w:tbl>
    <w:p>
      <w:pPr>
        <w:spacing w:after="0" w:line="21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table below summarizes the Company’s reserved common stock for further issuance as of December 31, 2025 (Successor) and December 31, 2024 (Successor):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Successor</w:t>
            </w:r>
          </w:p>
        </w:tc>
      </w:tr>
      <w:tr>
        <w:trPr>
          <w:trHeight w:val="177"/>
        </w:trPr>
        <w:tc>
          <w:tcPr>
            <w:tcW w:w="6760" w:type="dxa"/>
            <w:vAlign w:val="bottom"/>
            <w:tcBorders>
              <w:bottom w:val="single" w:sz="8" w:color="DDDDDD"/>
            </w:tcBorders>
          </w:tcPr>
          <w:p>
            <w:pPr>
              <w:spacing w:after="0"/>
              <w:rPr>
                <w:sz w:val="15"/>
                <w:szCs w:val="15"/>
                <w:color w:val="auto"/>
              </w:rPr>
            </w:pPr>
          </w:p>
        </w:tc>
        <w:tc>
          <w:tcPr>
            <w:tcW w:w="18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2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16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3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20"/>
        </w:trPr>
        <w:tc>
          <w:tcPr>
            <w:tcW w:w="676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Base Warrants</w:t>
            </w:r>
          </w:p>
        </w:tc>
        <w:tc>
          <w:tcPr>
            <w:tcW w:w="148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7,528,727</w:t>
            </w:r>
          </w:p>
        </w:tc>
        <w:tc>
          <w:tcPr>
            <w:tcW w:w="1480" w:type="dxa"/>
            <w:vAlign w:val="bottom"/>
            <w:gridSpan w:val="3"/>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7,528,727</w:t>
            </w: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2025 PIPE Pre-funded Warrants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2,963,612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7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Convertible Securities Notes</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3,231,327</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3,231,327</w:t>
            </w:r>
          </w:p>
        </w:tc>
      </w:tr>
      <w:tr>
        <w:trPr>
          <w:trHeight w:val="233"/>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2025 PIPE Milestone Warrants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18,038,829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7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Convert Warrants</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1,500,000</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1,500,000</w:t>
            </w:r>
          </w:p>
        </w:tc>
      </w:tr>
      <w:tr>
        <w:trPr>
          <w:trHeight w:val="212"/>
        </w:trPr>
        <w:tc>
          <w:tcPr>
            <w:tcW w:w="67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Company’s common stock issuable upon the exercise of outstanding options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9"/>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Legacy Adagio’s equity plans that were assumed in the Business Combination</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7,587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7,587</w:t>
            </w:r>
          </w:p>
        </w:tc>
      </w:tr>
      <w:tr>
        <w:trPr>
          <w:trHeight w:val="230"/>
        </w:trPr>
        <w:tc>
          <w:tcPr>
            <w:tcW w:w="67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Common stock reserved for future issuance under the 2024 Equity Incentive Plan</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6,197,737</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4,472,592</w:t>
            </w:r>
          </w:p>
        </w:tc>
      </w:tr>
      <w:tr>
        <w:trPr>
          <w:trHeight w:val="212"/>
        </w:trPr>
        <w:tc>
          <w:tcPr>
            <w:tcW w:w="67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Common stock reserved for future issuance under the 2024 Key Employee Equity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9"/>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3,354,444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3,354,444</w:t>
            </w:r>
          </w:p>
        </w:tc>
      </w:tr>
      <w:tr>
        <w:trPr>
          <w:trHeight w:val="230"/>
        </w:trPr>
        <w:tc>
          <w:tcPr>
            <w:tcW w:w="67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Common stock reserved for future issuance under the 2024 Employee Stock</w:t>
            </w:r>
          </w:p>
        </w:tc>
        <w:tc>
          <w:tcPr>
            <w:tcW w:w="1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8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300" w:type="dxa"/>
            <w:vAlign w:val="bottom"/>
            <w:shd w:val="clear" w:color="auto" w:fill="DDDDDD"/>
          </w:tcPr>
          <w:p>
            <w:pPr>
              <w:spacing w:after="0"/>
              <w:rPr>
                <w:sz w:val="20"/>
                <w:szCs w:val="20"/>
                <w:color w:val="auto"/>
              </w:rPr>
            </w:pPr>
          </w:p>
        </w:tc>
      </w:tr>
      <w:tr>
        <w:trPr>
          <w:trHeight w:val="230"/>
        </w:trPr>
        <w:tc>
          <w:tcPr>
            <w:tcW w:w="67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Purchase Plan</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441,293</w:t>
            </w:r>
          </w:p>
        </w:tc>
        <w:tc>
          <w:tcPr>
            <w:tcW w:w="14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441,293</w:t>
            </w:r>
          </w:p>
        </w:tc>
      </w:tr>
      <w:tr>
        <w:trPr>
          <w:trHeight w:val="231"/>
        </w:trPr>
        <w:tc>
          <w:tcPr>
            <w:tcW w:w="676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Common stock reserved for future issuance</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43,263,556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20,535,970</w:t>
            </w:r>
          </w:p>
        </w:tc>
      </w:tr>
    </w:tbl>
    <w:p>
      <w:pPr>
        <w:spacing w:after="0" w:line="200" w:lineRule="exact"/>
        <w:rPr>
          <w:sz w:val="20"/>
          <w:szCs w:val="20"/>
          <w:color w:val="auto"/>
        </w:rPr>
      </w:pP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720"/>
          </w:cols>
          <w:pgMar w:left="1260" w:top="1248" w:right="1260" w:bottom="719"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color w:val="auto"/>
        </w:rPr>
        <w:t>Note 14 - Stock-Based Compensation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Predecessor Periods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2012 Stock Incentive Plan</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 January 2011, Legacy Adagio’s Board approved the 2012 Stock Incentive Plan (the “2012 Plan”), which permitted grants of Incentive Stock Options (“ISOs”) and Non- statutory Stock Options (“NSOs”) to employees, directors and consultants. The maximum number of shares that can be granted under the 2012 Plan cannot exceed 1,255,000 shares. The 2012 Plan had a maximum 10-year term and as such, terminated in January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Stock Incentive Plan</w:t>
      </w:r>
    </w:p>
    <w:p>
      <w:pPr>
        <w:spacing w:after="0" w:line="231"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In April 2022, the Legacy Adagio’s Board approved, in conjunction with the termination of the 2012 Plan, the 2022 Stock Incentive Plan (the “2022 Plan”), permitting ISOs and NSOs to employees, directors and consultants. The maximum number of shares granted under the 2022 Plan cannot exceed 203,855 plus any shares subject to stock options granted under the 2012 Plan that expired or were otherwise terminated without having been exercised in full, were forfeited, or were repurchased by the Company. The 2022 Plan is intended as the successor to and continuation of the 2012 Plan (thereafter both the 2012 and 2022 Plans are referred to as the “Stock Incentive Plan”).</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Stock Incentive Plan provides a means whereby participants may purchase shares of common stock pursuant to ISOs or NSOs and such persons may be granted shares of common stock for consideration consisting of cash and/or past services rendered to or on behalf of Legacy Adagio. ISOs may only be granted to employees. NSOs and stock purchase rights may be granted to employees and consultants. Generally, options awards only have service conditions that need to be met for the awards to vest, with the exception of grants to two non-employees that had performance obligations that were deemed to be immaterial.</w:t>
      </w:r>
    </w:p>
    <w:p>
      <w:pPr>
        <w:spacing w:after="0" w:line="19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stock options generally vest over four years and have a ten -year contractual term. The fair value of each employee and non-employee stock option grant is estimated on the date of grant using the Black-Scholes -Merton option pricing model. As Legacy Adagio lacks company-specific historical and implied volatility information required for valuation, Legacy Adagio estimates its expected stock volatility based on the historical volatility of a publicly traded set of peer companies. Due to the lack of historical exercise history, the expected life term of ISOs that were granted after 2013 was determined using the “simplified method” provided by the Securities and Exchange Commission in Staff Accounting Bulletins Number 107 and 110. The expected life term of NSOs is determined either by using the “simplified method,” or by calculating the time to expiry from the grant date. The risk-free interest rate is determined by reference to the U.S. Treasury yield curve in effect at the time of grant for time periods approximately equal to the expected term of the award. Expected dividend yield is zero as Legacy Adagio has never paid nor does it expect to pay any cash dividend in the near future.</w:t>
      </w:r>
    </w:p>
    <w:p>
      <w:pPr>
        <w:spacing w:after="0" w:line="199"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 following table summarizes stock option activity during the periods from January 1, 2024 to July 30, 2024 (Predecessor):</w:t>
      </w: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gridSpan w:val="2"/>
          </w:tcPr>
          <w:p>
            <w:pPr>
              <w:jc w:val="right"/>
              <w:spacing w:after="0" w:line="188" w:lineRule="exact"/>
              <w:rPr>
                <w:sz w:val="20"/>
                <w:szCs w:val="20"/>
                <w:color w:val="auto"/>
              </w:rPr>
            </w:pPr>
            <w:r>
              <w:rPr>
                <w:rFonts w:ascii="PMingLiU" w:cs="PMingLiU" w:eastAsia="PMingLiU" w:hAnsi="PMingLiU"/>
                <w:sz w:val="16"/>
                <w:szCs w:val="16"/>
                <w:color w:val="auto"/>
              </w:rPr>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200" w:type="dxa"/>
            <w:vAlign w:val="bottom"/>
            <w:gridSpan w:val="3"/>
          </w:tcPr>
          <w:p>
            <w:pPr>
              <w:jc w:val="right"/>
              <w:spacing w:after="0" w:line="188" w:lineRule="exact"/>
              <w:rPr>
                <w:sz w:val="20"/>
                <w:szCs w:val="20"/>
                <w:color w:val="auto"/>
              </w:rPr>
            </w:pPr>
            <w:r>
              <w:rPr>
                <w:rFonts w:ascii="PMingLiU" w:cs="PMingLiU" w:eastAsia="PMingLiU" w:hAnsi="PMingLiU"/>
                <w:sz w:val="16"/>
                <w:szCs w:val="16"/>
                <w:color w:val="auto"/>
              </w:rPr>
              <w:t>   </w:t>
            </w:r>
          </w:p>
        </w:tc>
        <w:tc>
          <w:tcPr>
            <w:tcW w:w="860" w:type="dxa"/>
            <w:vAlign w:val="bottom"/>
          </w:tcPr>
          <w:p>
            <w:pPr>
              <w:jc w:val="right"/>
              <w:ind w:right="289"/>
              <w:spacing w:after="0" w:line="188" w:lineRule="exact"/>
              <w:rPr>
                <w:sz w:val="20"/>
                <w:szCs w:val="20"/>
                <w:color w:val="auto"/>
              </w:rPr>
            </w:pPr>
            <w:r>
              <w:rPr>
                <w:rFonts w:ascii="PMingLiU" w:cs="PMingLiU" w:eastAsia="PMingLiU" w:hAnsi="PMingLiU"/>
                <w:sz w:val="16"/>
                <w:szCs w:val="16"/>
                <w:color w:val="auto"/>
              </w:rPr>
              <w:t/>
            </w:r>
          </w:p>
        </w:tc>
      </w:tr>
      <w:tr>
        <w:trPr>
          <w:trHeight w:val="194"/>
        </w:trPr>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4"/>
        </w:trPr>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90"/>
        </w:trPr>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6"/>
                <w:szCs w:val="16"/>
                <w:b w:val="1"/>
                <w:bCs w:val="1"/>
                <w:color w:val="auto"/>
              </w:rPr>
              <w:t xml:space="preserve">Exercise Price </w:t>
            </w:r>
            <w:r>
              <w:rPr>
                <w:rFonts w:ascii="PMingLiU" w:cs="PMingLiU" w:eastAsia="PMingLiU" w:hAnsi="PMingLiU"/>
                <w:sz w:val="16"/>
                <w:szCs w:val="16"/>
                <w:color w:val="auto"/>
              </w:rPr>
              <w:t/>
            </w:r>
            <w:r>
              <w:rPr>
                <w:rFonts w:ascii="Times New Roman" w:cs="Times New Roman" w:eastAsia="Times New Roman" w:hAnsi="Times New Roman"/>
                <w:sz w:val="16"/>
                <w:szCs w:val="16"/>
                <w:b w:val="1"/>
                <w:bCs w:val="1"/>
                <w:color w:val="auto"/>
              </w:rPr>
              <w:t>Contractual</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3"/>
        </w:trPr>
        <w:tc>
          <w:tcPr>
            <w:tcW w:w="5200" w:type="dxa"/>
            <w:vAlign w:val="bottom"/>
            <w:tcBorders>
              <w:bottom w:val="single" w:sz="8" w:color="DDDDDD"/>
            </w:tcBorders>
          </w:tcPr>
          <w:p>
            <w:pPr>
              <w:spacing w:after="0"/>
              <w:rPr>
                <w:sz w:val="17"/>
                <w:szCs w:val="17"/>
                <w:color w:val="auto"/>
              </w:rPr>
            </w:pPr>
          </w:p>
        </w:tc>
        <w:tc>
          <w:tcPr>
            <w:tcW w:w="46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60" w:type="dxa"/>
            <w:vAlign w:val="bottom"/>
            <w:tcBorders>
              <w:bottom w:val="single" w:sz="8" w:color="DDDDDD"/>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4"/>
        </w:trPr>
        <w:tc>
          <w:tcPr>
            <w:tcW w:w="5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Outstanding, December 31, 2023 (Predecessor)</w:t>
            </w:r>
          </w:p>
        </w:tc>
        <w:tc>
          <w:tcPr>
            <w:tcW w:w="46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747,001</w:t>
            </w:r>
          </w:p>
        </w:tc>
        <w:tc>
          <w:tcPr>
            <w:tcW w:w="140" w:type="dxa"/>
            <w:vAlign w:val="bottom"/>
            <w:shd w:val="clear" w:color="auto" w:fill="DDDDDD"/>
          </w:tcPr>
          <w:p>
            <w:pPr>
              <w:spacing w:after="0"/>
              <w:rPr>
                <w:sz w:val="20"/>
                <w:szCs w:val="20"/>
                <w:color w:val="auto"/>
              </w:rPr>
            </w:pPr>
          </w:p>
        </w:tc>
        <w:tc>
          <w:tcPr>
            <w:tcW w:w="1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60" w:type="dxa"/>
            <w:vAlign w:val="bottom"/>
            <w:shd w:val="clear" w:color="auto" w:fill="DDDDDD"/>
          </w:tcPr>
          <w:p>
            <w:pPr>
              <w:jc w:val="right"/>
              <w:spacing w:after="0" w:line="234" w:lineRule="exact"/>
              <w:rPr>
                <w:sz w:val="20"/>
                <w:szCs w:val="20"/>
                <w:color w:val="auto"/>
              </w:rPr>
            </w:pPr>
            <w:r>
              <w:rPr>
                <w:rFonts w:ascii="PMingLiU" w:cs="PMingLiU" w:eastAsia="PMingLiU" w:hAnsi="PMingLiU"/>
                <w:sz w:val="20"/>
                <w:szCs w:val="20"/>
                <w:color w:val="auto"/>
              </w:rPr>
              <w:t/>
            </w:r>
          </w:p>
        </w:tc>
        <w:tc>
          <w:tcPr>
            <w:tcW w:w="20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45"/>
        </w:trPr>
        <w:tc>
          <w:tcPr>
            <w:tcW w:w="52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Forfeited</w:t>
            </w:r>
          </w:p>
        </w:tc>
        <w:tc>
          <w:tcPr>
            <w:tcW w:w="460" w:type="dxa"/>
            <w:vAlign w:val="bottom"/>
            <w:tcBorders>
              <w:bottom w:val="single" w:sz="8" w:color="DDDDDD"/>
            </w:tcBorders>
          </w:tcPr>
          <w:p>
            <w:pPr>
              <w:spacing w:after="0"/>
              <w:rPr>
                <w:sz w:val="21"/>
                <w:szCs w:val="21"/>
                <w:color w:val="auto"/>
              </w:rPr>
            </w:pPr>
          </w:p>
        </w:tc>
        <w:tc>
          <w:tcPr>
            <w:tcW w:w="1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(6,592)</w:t>
            </w:r>
          </w:p>
        </w:tc>
        <w:tc>
          <w:tcPr>
            <w:tcW w:w="1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5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Outstanding, July 30, 2024 (Predecessor)</w:t>
            </w:r>
          </w:p>
        </w:tc>
        <w:tc>
          <w:tcPr>
            <w:tcW w:w="46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740,409</w:t>
            </w:r>
          </w:p>
        </w:tc>
        <w:tc>
          <w:tcPr>
            <w:tcW w:w="140" w:type="dxa"/>
            <w:vAlign w:val="bottom"/>
            <w:shd w:val="clear" w:color="auto" w:fill="DDDDDD"/>
          </w:tcPr>
          <w:p>
            <w:pPr>
              <w:spacing w:after="0"/>
              <w:rPr>
                <w:sz w:val="21"/>
                <w:szCs w:val="21"/>
                <w:color w:val="auto"/>
              </w:rPr>
            </w:pPr>
          </w:p>
        </w:tc>
        <w:tc>
          <w:tcPr>
            <w:tcW w:w="1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jc w:val="right"/>
              <w:spacing w:after="0" w:line="234" w:lineRule="exact"/>
              <w:rPr>
                <w:sz w:val="20"/>
                <w:szCs w:val="20"/>
                <w:color w:val="auto"/>
              </w:rPr>
            </w:pPr>
            <w:r>
              <w:rPr>
                <w:rFonts w:ascii="PMingLiU" w:cs="PMingLiU" w:eastAsia="PMingLiU" w:hAnsi="PMingLiU"/>
                <w:sz w:val="20"/>
                <w:szCs w:val="20"/>
                <w:color w:val="auto"/>
              </w:rPr>
              <w:t/>
            </w:r>
          </w:p>
        </w:tc>
        <w:tc>
          <w:tcPr>
            <w:tcW w:w="20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52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b w:val="1"/>
                <w:bCs w:val="1"/>
                <w:color w:val="auto"/>
              </w:rPr>
              <w:t>Vested and expected to vest, July 30, 2024 (Predecessor)</w:t>
            </w:r>
          </w:p>
        </w:tc>
        <w:tc>
          <w:tcPr>
            <w:tcW w:w="460" w:type="dxa"/>
            <w:vAlign w:val="bottom"/>
            <w:tcBorders>
              <w:bottom w:val="single" w:sz="8" w:color="DDDDDD"/>
            </w:tcBorders>
          </w:tcPr>
          <w:p>
            <w:pPr>
              <w:spacing w:after="0"/>
              <w:rPr>
                <w:sz w:val="22"/>
                <w:szCs w:val="22"/>
                <w:color w:val="auto"/>
              </w:rPr>
            </w:pPr>
          </w:p>
        </w:tc>
        <w:tc>
          <w:tcPr>
            <w:tcW w:w="1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5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Vested and exercisable, July 30, 2024 (Predecessor)</w:t>
            </w:r>
          </w:p>
        </w:tc>
        <w:tc>
          <w:tcPr>
            <w:tcW w:w="460" w:type="dxa"/>
            <w:vAlign w:val="bottom"/>
            <w:shd w:val="clear" w:color="auto" w:fill="DDDDDD"/>
          </w:tcPr>
          <w:p>
            <w:pPr>
              <w:spacing w:after="0"/>
              <w:rPr>
                <w:sz w:val="22"/>
                <w:szCs w:val="22"/>
                <w:color w:val="auto"/>
              </w:rPr>
            </w:pPr>
          </w:p>
        </w:tc>
        <w:tc>
          <w:tcPr>
            <w:tcW w:w="140" w:type="dxa"/>
            <w:vAlign w:val="bottom"/>
            <w:shd w:val="clear" w:color="auto" w:fill="DDDDDD"/>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DDDDDD"/>
          </w:tcPr>
          <w:p>
            <w:pPr>
              <w:spacing w:after="0"/>
              <w:rPr>
                <w:sz w:val="22"/>
                <w:szCs w:val="22"/>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DDDDD"/>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DDDDDD"/>
          </w:tcPr>
          <w:p>
            <w:pPr>
              <w:spacing w:after="0"/>
              <w:rPr>
                <w:sz w:val="22"/>
                <w:szCs w:val="22"/>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720"/>
          </w:cols>
          <w:pgMar w:left="1260" w:top="1244" w:right="1260" w:bottom="719" w:gutter="0" w:footer="0" w:header="0"/>
          <w:type w:val="continuous"/>
        </w:sectPr>
      </w:pPr>
    </w:p>
    <w:bookmarkStart w:id="154" w:name="page155"/>
    <w:bookmarkEnd w:id="154"/>
    <w:p>
      <w:pPr>
        <w:spacing w:after="0" w:line="40"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There were no stock options exercised during the period from January 1, 2024 to July 30, 2024 (Predecessor). Certain stock option grants under the Stock Incentive Plan allow the recipient to exercise the options prior to the options becoming fully vested. Under the Stock Incentive Plan, the Company retains the right to repurchase common shares that have been issued upon early exercise of options at the original issue price. Cash received for the early exercise of unvested stock options is initially recorded as a liability. At each reporting date, the vested shares are released to equity.</w:t>
      </w:r>
    </w:p>
    <w:p>
      <w:pPr>
        <w:spacing w:after="0" w:line="187"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fair value of awards vested was $0.3 million during the period from January 1, 2024 to July 30, 2024 (Predecessor). As of July 30, 2024 prior to the Closing (Predecessor), the total unrecognized compensation cost of $0.4 million was accelerated at the Closing, which was recognized and expensed in accordance with the terms of the 2012 Stock Incentive Plan and the 2022 Stock Incentive Plan.</w:t>
      </w:r>
    </w:p>
    <w:p>
      <w:pPr>
        <w:spacing w:after="0" w:line="188" w:lineRule="exact"/>
        <w:rPr>
          <w:sz w:val="20"/>
          <w:szCs w:val="20"/>
          <w:color w:val="auto"/>
        </w:rPr>
      </w:pPr>
    </w:p>
    <w:p>
      <w:pPr>
        <w:jc w:val="both"/>
        <w:ind w:firstLine="360"/>
        <w:spacing w:after="0" w:line="302" w:lineRule="auto"/>
        <w:rPr>
          <w:sz w:val="20"/>
          <w:szCs w:val="20"/>
          <w:color w:val="auto"/>
        </w:rPr>
      </w:pPr>
      <w:r>
        <w:rPr>
          <w:rFonts w:ascii="Times New Roman" w:cs="Times New Roman" w:eastAsia="Times New Roman" w:hAnsi="Times New Roman"/>
          <w:sz w:val="19"/>
          <w:szCs w:val="19"/>
          <w:color w:val="auto"/>
        </w:rPr>
        <w:t>Upon the consummation of the Business Combination, 45,544 In-the-Money Adagio Options were canceled and extinguished in exchange for 7,587 options to purchase the Company’s common stock, and the 2022 Plan was terminated.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245"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following table summarizes the total stock-based compensation expense related to stock options recorded in the consolidated statements of operations and comprehensive loss for the year ended December 31, 2025 (Successor), and for the periods from July 31, 2024 to December 31, 2024 (Successor), and January 1, 2024 to July 30, 2024 (Predecessor)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194"/>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8"/>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54"/>
        </w:trPr>
        <w:tc>
          <w:tcPr>
            <w:tcW w:w="6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56"/>
        </w:trPr>
        <w:tc>
          <w:tcPr>
            <w:tcW w:w="6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January 1 to</w:t>
            </w:r>
          </w:p>
        </w:tc>
      </w:tr>
      <w:tr>
        <w:trPr>
          <w:trHeight w:val="203"/>
        </w:trPr>
        <w:tc>
          <w:tcPr>
            <w:tcW w:w="618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 w:type="dxa"/>
            <w:vAlign w:val="bottom"/>
            <w:tcBorders>
              <w:bottom w:val="single" w:sz="8" w:color="DDDDDD"/>
              <w:right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July 30</w:t>
            </w:r>
          </w:p>
        </w:tc>
      </w:tr>
      <w:tr>
        <w:trPr>
          <w:trHeight w:val="220"/>
        </w:trPr>
        <w:tc>
          <w:tcPr>
            <w:tcW w:w="618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shd w:val="clear" w:color="auto" w:fill="DDDDDD"/>
          </w:tcPr>
          <w:p>
            <w:pPr>
              <w:spacing w:after="0"/>
              <w:rPr>
                <w:sz w:val="19"/>
                <w:szCs w:val="19"/>
                <w:color w:val="auto"/>
              </w:rPr>
            </w:pPr>
          </w:p>
        </w:tc>
        <w:tc>
          <w:tcPr>
            <w:tcW w:w="2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314</w:t>
            </w:r>
          </w:p>
        </w:tc>
        <w:tc>
          <w:tcPr>
            <w:tcW w:w="600" w:type="dxa"/>
            <w:vAlign w:val="bottom"/>
            <w:gridSpan w:val="3"/>
            <w:shd w:val="clear" w:color="auto" w:fill="DDDDDD"/>
          </w:tcPr>
          <w:p>
            <w:pPr>
              <w:ind w:left="2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DDDDDD"/>
          </w:tcPr>
          <w:p>
            <w:pPr>
              <w:ind w:lef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auto"/>
            </w:tcBorders>
            <w:shd w:val="clear" w:color="auto" w:fill="DDDDDD"/>
          </w:tcPr>
          <w:p>
            <w:pPr>
              <w:spacing w:after="0"/>
              <w:rPr>
                <w:sz w:val="19"/>
                <w:szCs w:val="19"/>
                <w:color w:val="auto"/>
              </w:rPr>
            </w:pPr>
          </w:p>
        </w:tc>
        <w:tc>
          <w:tcPr>
            <w:tcW w:w="280" w:type="dxa"/>
            <w:vAlign w:val="bottom"/>
            <w:gridSpan w:val="3"/>
            <w:shd w:val="clear" w:color="auto" w:fill="DDDDDD"/>
          </w:tcPr>
          <w:p>
            <w:pPr>
              <w:ind w:left="16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527</w:t>
            </w:r>
          </w:p>
        </w:tc>
      </w:tr>
      <w:tr>
        <w:trPr>
          <w:trHeight w:val="228"/>
        </w:trPr>
        <w:tc>
          <w:tcPr>
            <w:tcW w:w="6180" w:type="dxa"/>
            <w:vAlign w:val="bottom"/>
            <w:tcBorders>
              <w:bottom w:val="single" w:sz="8" w:color="DDDDDD"/>
            </w:tcBorders>
          </w:tcPr>
          <w:p>
            <w:pPr>
              <w:spacing w:after="0" w:line="228" w:lineRule="exact"/>
              <w:rPr>
                <w:sz w:val="20"/>
                <w:szCs w:val="20"/>
                <w:color w:val="auto"/>
              </w:rPr>
            </w:pPr>
            <w:r>
              <w:rPr>
                <w:rFonts w:ascii="Times New Roman" w:cs="Times New Roman" w:eastAsia="Times New Roman" w:hAnsi="Times New Roman"/>
                <w:sz w:val="20"/>
                <w:szCs w:val="20"/>
                <w:color w:val="auto"/>
              </w:rPr>
              <w:t>Selling, general, and administration</w:t>
            </w:r>
          </w:p>
        </w:tc>
        <w:tc>
          <w:tcPr>
            <w:tcW w:w="20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1,165</w:t>
            </w:r>
          </w:p>
        </w:tc>
        <w:tc>
          <w:tcPr>
            <w:tcW w:w="18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DDDDD"/>
              <w:right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115</w:t>
            </w:r>
          </w:p>
        </w:tc>
      </w:tr>
      <w:tr>
        <w:trPr>
          <w:trHeight w:val="231"/>
        </w:trPr>
        <w:tc>
          <w:tcPr>
            <w:tcW w:w="6180" w:type="dxa"/>
            <w:vAlign w:val="bottom"/>
            <w:shd w:val="clear" w:color="auto" w:fill="DDDDDD"/>
          </w:tcPr>
          <w:p>
            <w:pPr>
              <w:spacing w:after="0" w:line="221" w:lineRule="exact"/>
              <w:rPr>
                <w:sz w:val="20"/>
                <w:szCs w:val="20"/>
                <w:color w:val="auto"/>
              </w:rPr>
            </w:pPr>
            <w:r>
              <w:rPr>
                <w:rFonts w:ascii="Times New Roman" w:cs="Times New Roman" w:eastAsia="Times New Roman" w:hAnsi="Times New Roman"/>
                <w:sz w:val="20"/>
                <w:szCs w:val="20"/>
                <w:color w:val="auto"/>
              </w:rPr>
              <w:t>Total stock-based compensation expense</w:t>
            </w:r>
          </w:p>
        </w:tc>
        <w:tc>
          <w:tcPr>
            <w:tcW w:w="200" w:type="dxa"/>
            <w:vAlign w:val="bottom"/>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jc w:val="right"/>
              <w:ind w:right="2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1,479</w:t>
            </w:r>
          </w:p>
        </w:tc>
        <w:tc>
          <w:tcPr>
            <w:tcW w:w="180" w:type="dxa"/>
            <w:vAlign w:val="bottom"/>
            <w:shd w:val="clear" w:color="auto" w:fill="DDDDDD"/>
          </w:tcPr>
          <w:p>
            <w:pPr>
              <w:spacing w:after="0"/>
              <w:rPr>
                <w:sz w:val="20"/>
                <w:szCs w:val="20"/>
                <w:color w:val="auto"/>
              </w:rPr>
            </w:pPr>
          </w:p>
        </w:tc>
        <w:tc>
          <w:tcPr>
            <w:tcW w:w="420" w:type="dxa"/>
            <w:vAlign w:val="bottom"/>
            <w:tcBorders>
              <w:bottom w:val="single" w:sz="8" w:color="auto"/>
            </w:tcBorders>
            <w:gridSpan w:val="2"/>
            <w:shd w:val="clear" w:color="auto" w:fill="DDDDDD"/>
          </w:tcPr>
          <w:p>
            <w:pPr>
              <w:ind w:lef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shd w:val="clear" w:color="auto" w:fill="DDDDDD"/>
          </w:tcPr>
          <w:p>
            <w:pPr>
              <w:ind w:left="2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tcBorders>
              <w:bottom w:val="single" w:sz="8" w:color="auto"/>
            </w:tcBorders>
            <w:gridSpan w:val="2"/>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642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9720"/>
          </w:cols>
          <w:pgMar w:left="1260" w:top="1440" w:right="1260" w:bottom="719"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 xml:space="preserve">Successor </w:t>
      </w:r>
      <w:r>
        <w:rPr>
          <w:rFonts w:ascii="Times New Roman" w:cs="Times New Roman" w:eastAsia="Times New Roman" w:hAnsi="Times New Roman"/>
          <w:sz w:val="20"/>
          <w:szCs w:val="20"/>
          <w:b w:val="1"/>
          <w:bCs w:val="1"/>
          <w:i w:val="1"/>
          <w:iCs w:val="1"/>
          <w:color w:val="auto"/>
        </w:rPr>
        <w:t>Periods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Equity Incentive Plan</w:t>
      </w:r>
    </w:p>
    <w:p>
      <w:pPr>
        <w:spacing w:after="0" w:line="23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The Board of Directors of the Company adopted the 2024 Equity Incentive Plan on July 26, 2024. The purpose of the 2024 Equity Incentive Plan is to promote the success and enhance the value of the Company by linking the individual interests of the members of the Board of Directors,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Accordingly, on January 1, 2025, the number of shares of common stock available for issuance under the 2024 Equity Incentive Plan increased by 1,725,144 shares. The Company may grant an option, a stock appreciation right, a restricted stock award, a restricted stock unit award, a performance stock award, a performance stock unit award, or other stock- or cash -based award, or a dividend equivalent award, which may be awarded or granted under the 2024 Equity Incentive Plan. The awards can be issued to any person who is an employee, a consultant, or a non-employee director.</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the year ended December 31, 2025, the Company granted 5,777,965 awards under this plan.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Key Employee Equity Incentive Plan</w:t>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The Board of Directors of the Company adopted the 2024 Key Employee Equity Incentive Plan on July 26, 2024. The purpose of the 2024 Key Employee Equity Incentive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2024 Key Employee Equity Incentive Plan who are an employee, a consultant, or a non-employee director.</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not granted any awards under this plan as of December 31,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Employee Stock Purchase Plan</w:t>
      </w:r>
    </w:p>
    <w:p>
      <w:pPr>
        <w:spacing w:after="0" w:line="22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Board of Directors of the Company adopted the 2024 Employee Stock Purchase Plan on July 26, 2024. The 2024 Employee Stock Purchase Plan provides a means by which eligible employees of the Company and certain designated related corporations may be given an opportunity to purchase shares of the Company’s Common Stock. The 2024 Employee Stock Purchase Plan permits the Company to grant a series of purchase rights to eligible employees. The 2024 Employee Stock Purchase Plan authorizes the issuance of up to 441,293 shares of the Company’s Common Stock, plus an annual increase on the first day of each year for the ten (10) calendar years immediately after the first Offering Date (as defined in the 2024 Employee Stock Purchase Plan) equal to one percent (1%) of the share of common stock outstanding on a fully diluted basis on the last day of the immediately preceding fiscal year, provided that the Board or its compensation committee may reduce the amount of the increase in any particular year.</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not granted any purchase rights under this plan as of December 31, 2025.</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9720"/>
          </w:cols>
          <w:pgMar w:left="1260" w:top="1244" w:right="1260" w:bottom="719" w:gutter="0" w:footer="0" w:header="0"/>
          <w:type w:val="continuous"/>
        </w:sectPr>
      </w:pPr>
    </w:p>
    <w:bookmarkStart w:id="156" w:name="page157"/>
    <w:bookmarkEnd w:id="156"/>
    <w:p>
      <w:pPr>
        <w:ind w:left="360"/>
        <w:spacing w:after="0"/>
        <w:rPr>
          <w:sz w:val="20"/>
          <w:szCs w:val="20"/>
          <w:color w:val="auto"/>
        </w:rPr>
      </w:pPr>
      <w:r>
        <w:rPr>
          <w:rFonts w:ascii="Times New Roman" w:cs="Times New Roman" w:eastAsia="Times New Roman" w:hAnsi="Times New Roman"/>
          <w:sz w:val="20"/>
          <w:szCs w:val="20"/>
          <w:color w:val="auto"/>
        </w:rPr>
        <w:t>The following table summarizes stock option activity during the year ended December 31, 2025 (Successor):</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gridSpan w:val="3"/>
          </w:tcPr>
          <w:p>
            <w:pPr>
              <w:jc w:val="right"/>
              <w:spacing w:after="0"/>
              <w:rPr>
                <w:sz w:val="20"/>
                <w:szCs w:val="20"/>
                <w:color w:val="auto"/>
              </w:rPr>
            </w:pPr>
            <w:r>
              <w:rPr>
                <w:rFonts w:ascii="PMingLiU" w:cs="PMingLiU" w:eastAsia="PMingLiU" w:hAnsi="PMingLiU"/>
                <w:sz w:val="16"/>
                <w:szCs w:val="16"/>
                <w:color w:val="auto"/>
              </w:rPr>
              <w:t>   </w:t>
            </w:r>
          </w:p>
        </w:tc>
        <w:tc>
          <w:tcPr>
            <w:tcW w:w="860" w:type="dxa"/>
            <w:vAlign w:val="bottom"/>
          </w:tcPr>
          <w:p>
            <w:pPr>
              <w:jc w:val="right"/>
              <w:ind w:right="289"/>
              <w:spacing w:after="0"/>
              <w:rPr>
                <w:sz w:val="20"/>
                <w:szCs w:val="20"/>
                <w:color w:val="auto"/>
              </w:rPr>
            </w:pPr>
            <w:r>
              <w:rPr>
                <w:rFonts w:ascii="PMingLiU" w:cs="PMingLiU" w:eastAsia="PMingLiU" w:hAnsi="PMingLiU"/>
                <w:sz w:val="16"/>
                <w:szCs w:val="16"/>
                <w:color w:val="auto"/>
              </w:rPr>
              <w:t/>
            </w:r>
          </w:p>
        </w:tc>
      </w:tr>
      <w:tr>
        <w:trPr>
          <w:trHeight w:val="194"/>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4"/>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85"/>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Exercise PriceContractual</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3"/>
        </w:trPr>
        <w:tc>
          <w:tcPr>
            <w:tcW w:w="548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40" w:type="dxa"/>
            <w:vAlign w:val="bottom"/>
            <w:tcBorders>
              <w:bottom w:val="single" w:sz="8" w:color="DDDDDD"/>
            </w:tcBorders>
          </w:tcPr>
          <w:p>
            <w:pPr>
              <w:spacing w:after="0"/>
              <w:rPr>
                <w:sz w:val="17"/>
                <w:szCs w:val="17"/>
                <w:color w:val="auto"/>
              </w:rPr>
            </w:pPr>
          </w:p>
        </w:tc>
        <w:tc>
          <w:tcPr>
            <w:tcW w:w="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34"/>
        </w:trPr>
        <w:tc>
          <w:tcPr>
            <w:tcW w:w="54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Outstanding, December 31, 2024 (Successor)</w:t>
            </w:r>
          </w:p>
        </w:tc>
        <w:tc>
          <w:tcPr>
            <w:tcW w:w="120" w:type="dxa"/>
            <w:vAlign w:val="bottom"/>
            <w:shd w:val="clear" w:color="auto" w:fill="DDDDDD"/>
          </w:tcPr>
          <w:p>
            <w:pPr>
              <w:spacing w:after="0"/>
              <w:rPr>
                <w:sz w:val="20"/>
                <w:szCs w:val="20"/>
                <w:color w:val="auto"/>
              </w:rPr>
            </w:pPr>
          </w:p>
        </w:tc>
        <w:tc>
          <w:tcPr>
            <w:tcW w:w="10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7,587</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w w:val="99"/>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DDDDD"/>
          </w:tcPr>
          <w:p>
            <w:pPr>
              <w:jc w:val="right"/>
              <w:spacing w:after="0" w:line="234" w:lineRule="exact"/>
              <w:rPr>
                <w:sz w:val="20"/>
                <w:szCs w:val="20"/>
                <w:color w:val="auto"/>
              </w:rPr>
            </w:pPr>
            <w:r>
              <w:rPr>
                <w:rFonts w:ascii="PMingLiU" w:cs="PMingLiU" w:eastAsia="PMingLiU" w:hAnsi="PMingLiU"/>
                <w:sz w:val="20"/>
                <w:szCs w:val="20"/>
                <w:color w:val="auto"/>
              </w:rPr>
              <w:t/>
            </w:r>
          </w:p>
        </w:tc>
        <w:tc>
          <w:tcPr>
            <w:tcW w:w="18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48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Options granted</w:t>
            </w:r>
          </w:p>
        </w:tc>
        <w:tc>
          <w:tcPr>
            <w:tcW w:w="120" w:type="dxa"/>
            <w:vAlign w:val="bottom"/>
            <w:tcBorders>
              <w:bottom w:val="single" w:sz="8" w:color="DDDDDD"/>
            </w:tcBorders>
          </w:tcPr>
          <w:p>
            <w:pPr>
              <w:spacing w:after="0"/>
              <w:rPr>
                <w:sz w:val="21"/>
                <w:szCs w:val="21"/>
                <w:color w:val="auto"/>
              </w:rPr>
            </w:pPr>
          </w:p>
        </w:tc>
        <w:tc>
          <w:tcPr>
            <w:tcW w:w="160" w:type="dxa"/>
            <w:vAlign w:val="bottom"/>
            <w:tcBorders>
              <w:bottom w:val="single" w:sz="8" w:color="DDDDDD"/>
            </w:tcBorders>
            <w:gridSpan w:val="2"/>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5,777,965</w:t>
            </w:r>
          </w:p>
        </w:tc>
        <w:tc>
          <w:tcPr>
            <w:tcW w:w="1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DDDDDD"/>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54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Outstanding, December 31, 2025 (Successor)</w:t>
            </w:r>
          </w:p>
        </w:tc>
        <w:tc>
          <w:tcPr>
            <w:tcW w:w="120" w:type="dxa"/>
            <w:vAlign w:val="bottom"/>
            <w:shd w:val="clear" w:color="auto" w:fill="DDDDDD"/>
          </w:tcPr>
          <w:p>
            <w:pPr>
              <w:spacing w:after="0"/>
              <w:rPr>
                <w:sz w:val="21"/>
                <w:szCs w:val="21"/>
                <w:color w:val="auto"/>
              </w:rPr>
            </w:pPr>
          </w:p>
        </w:tc>
        <w:tc>
          <w:tcPr>
            <w:tcW w:w="10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rPr>
              <w:t>5,785,552</w:t>
            </w:r>
          </w:p>
        </w:tc>
        <w:tc>
          <w:tcPr>
            <w:tcW w:w="140" w:type="dxa"/>
            <w:vAlign w:val="bottom"/>
            <w:shd w:val="clear" w:color="auto" w:fill="DDDDDD"/>
          </w:tcPr>
          <w:p>
            <w:pPr>
              <w:spacing w:after="0"/>
              <w:rPr>
                <w:sz w:val="21"/>
                <w:szCs w:val="21"/>
                <w:color w:val="auto"/>
              </w:rPr>
            </w:pPr>
          </w:p>
        </w:tc>
        <w:tc>
          <w:tcPr>
            <w:tcW w:w="14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20"/>
                <w:szCs w:val="20"/>
                <w:color w:val="auto"/>
                <w:highlight w:val="lightGray"/>
                <w:w w:val="99"/>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8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40" w:type="dxa"/>
            <w:vAlign w:val="bottom"/>
            <w:shd w:val="clear" w:color="auto" w:fill="DDDDDD"/>
          </w:tcPr>
          <w:p>
            <w:pPr>
              <w:jc w:val="right"/>
              <w:spacing w:after="0" w:line="234" w:lineRule="exact"/>
              <w:rPr>
                <w:sz w:val="20"/>
                <w:szCs w:val="20"/>
                <w:color w:val="auto"/>
              </w:rPr>
            </w:pPr>
            <w:r>
              <w:rPr>
                <w:rFonts w:ascii="PMingLiU" w:cs="PMingLiU" w:eastAsia="PMingLiU" w:hAnsi="PMingLiU"/>
                <w:sz w:val="20"/>
                <w:szCs w:val="20"/>
                <w:color w:val="auto"/>
              </w:rPr>
              <w:t/>
            </w:r>
          </w:p>
        </w:tc>
        <w:tc>
          <w:tcPr>
            <w:tcW w:w="180" w:type="dxa"/>
            <w:vAlign w:val="bottom"/>
            <w:gridSpan w:val="3"/>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703</w:t>
            </w:r>
          </w:p>
        </w:tc>
      </w:tr>
      <w:tr>
        <w:trPr>
          <w:trHeight w:val="253"/>
        </w:trPr>
        <w:tc>
          <w:tcPr>
            <w:tcW w:w="548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b w:val="1"/>
                <w:bCs w:val="1"/>
                <w:color w:val="auto"/>
              </w:rPr>
              <w:t>Options vested, December 31, 2025 (Successor)</w:t>
            </w:r>
          </w:p>
        </w:tc>
        <w:tc>
          <w:tcPr>
            <w:tcW w:w="260" w:type="dxa"/>
            <w:vAlign w:val="bottom"/>
            <w:tcBorders>
              <w:bottom w:val="single" w:sz="8" w:color="DDDDDD"/>
            </w:tcBorders>
            <w:gridSpan w:val="2"/>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2,057,844</w:t>
            </w:r>
          </w:p>
        </w:tc>
        <w:tc>
          <w:tcPr>
            <w:tcW w:w="1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9.17</w:t>
            </w:r>
          </w:p>
        </w:tc>
        <w:tc>
          <w:tcPr>
            <w:tcW w:w="40" w:type="dxa"/>
            <w:vAlign w:val="bottom"/>
            <w:tcBorders>
              <w:bottom w:val="single" w:sz="8" w:color="DDDDDD"/>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w:t>
            </w:r>
          </w:p>
        </w:tc>
      </w:tr>
      <w:tr>
        <w:trPr>
          <w:trHeight w:val="256"/>
        </w:trPr>
        <w:tc>
          <w:tcPr>
            <w:tcW w:w="54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Options vested and exercisable, December 31, 2025 (Successor)</w:t>
            </w:r>
          </w:p>
        </w:tc>
        <w:tc>
          <w:tcPr>
            <w:tcW w:w="120" w:type="dxa"/>
            <w:vAlign w:val="bottom"/>
            <w:shd w:val="clear" w:color="auto" w:fill="DDDDDD"/>
          </w:tcPr>
          <w:p>
            <w:pPr>
              <w:spacing w:after="0"/>
              <w:rPr>
                <w:sz w:val="22"/>
                <w:szCs w:val="22"/>
                <w:color w:val="auto"/>
              </w:rPr>
            </w:pPr>
          </w:p>
        </w:tc>
        <w:tc>
          <w:tcPr>
            <w:tcW w:w="140" w:type="dxa"/>
            <w:vAlign w:val="bottom"/>
            <w:shd w:val="clear" w:color="auto" w:fill="DDDDDD"/>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DDDDDD"/>
          </w:tcPr>
          <w:p>
            <w:pPr>
              <w:spacing w:after="0"/>
              <w:rPr>
                <w:sz w:val="22"/>
                <w:szCs w:val="22"/>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5,785,552</w:t>
            </w:r>
          </w:p>
        </w:tc>
        <w:tc>
          <w:tcPr>
            <w:tcW w:w="140" w:type="dxa"/>
            <w:vAlign w:val="bottom"/>
            <w:shd w:val="clear" w:color="auto" w:fill="DDDDDD"/>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84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40" w:type="dxa"/>
            <w:vAlign w:val="bottom"/>
            <w:shd w:val="clear" w:color="auto" w:fill="DDDDDD"/>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703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4953000</wp:posOffset>
                </wp:positionH>
                <wp:positionV relativeFrom="paragraph">
                  <wp:posOffset>-848360</wp:posOffset>
                </wp:positionV>
                <wp:extent cx="13335" cy="1206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DDDDDD"/>
                        </a:solidFill>
                      </wps:spPr>
                      <wps:bodyPr/>
                    </wps:wsp>
                  </a:graphicData>
                </a:graphic>
              </wp:anchor>
            </w:drawing>
          </mc:Choice>
          <mc:Fallback>
            <w:pict>
              <v:rect id="Shape 31" o:spid="_x0000_s1056" style="position:absolute;margin-left:390pt;margin-top:-66.7999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4953000</wp:posOffset>
                </wp:positionH>
                <wp:positionV relativeFrom="paragraph">
                  <wp:posOffset>-531495</wp:posOffset>
                </wp:positionV>
                <wp:extent cx="13335" cy="1206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DDDDDD"/>
                        </a:solidFill>
                      </wps:spPr>
                      <wps:bodyPr/>
                    </wps:wsp>
                  </a:graphicData>
                </a:graphic>
              </wp:anchor>
            </w:drawing>
          </mc:Choice>
          <mc:Fallback>
            <w:pict>
              <v:rect id="Shape 32" o:spid="_x0000_s1057" style="position:absolute;margin-left:390pt;margin-top:-41.8499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4959985</wp:posOffset>
                </wp:positionH>
                <wp:positionV relativeFrom="paragraph">
                  <wp:posOffset>-193040</wp:posOffset>
                </wp:positionV>
                <wp:extent cx="0" cy="1968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7">
                          <a:solidFill>
                            <a:srgbClr val="DDDDDD"/>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55pt,-15.1999pt" to="390.55pt,-13.6499pt" o:allowincell="f" strokecolor="#DDDDDD" strokeweight="0.2399pt"/>
            </w:pict>
          </mc:Fallback>
        </mc:AlternateContent>
      </w:r>
    </w:p>
    <w:p>
      <w:pPr>
        <w:spacing w:after="0" w:line="19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As discussed above, the Company has not granted any options under the 2024 Key Employee Equity Incentive Plan and the 2024 Employee Stock Purchase Plan.</w:t>
      </w:r>
    </w:p>
    <w:p>
      <w:pPr>
        <w:spacing w:after="0" w:line="161"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As of December 31, 2025, the total unrecognized stock-based compensation expense related to unvested stock options was $2.6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Loss Per Share (“LPS”)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Predecessor</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Basic net loss per common share is computed by dividing net loss attributable to common stockholders by the weighted -average number of shares of common stock outstanding for the period. Diluted net loss per common share excludes the potential impact of the Company’s convertible preferred stock, common stock warrants, and common stock options because the Company’s net losses would cause such shares to be anti-dilutive. Therefore, as the Company recorded net losses in the periods presented, basic and diluted net loss per common share are the same.</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except share and per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15240</wp:posOffset>
                </wp:positionV>
                <wp:extent cx="5298440" cy="14605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8440" cy="146050"/>
                        </a:xfrm>
                        <a:prstGeom prst="rect">
                          <a:avLst/>
                        </a:prstGeom>
                        <a:solidFill>
                          <a:srgbClr val="DDDDDD"/>
                        </a:solidFill>
                      </wps:spPr>
                      <wps:bodyPr/>
                    </wps:wsp>
                  </a:graphicData>
                </a:graphic>
              </wp:anchor>
            </w:drawing>
          </mc:Choice>
          <mc:Fallback>
            <w:pict>
              <v:rect id="Shape 34" o:spid="_x0000_s1059" style="position:absolute;margin-left:0.35pt;margin-top:1.2pt;width:417.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12065</wp:posOffset>
                </wp:positionV>
                <wp:extent cx="52984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84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95pt" to="417.55pt,0.95pt" o:allowincell="f" strokecolor="#000000" strokeweight="0.48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Numerator: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-5715</wp:posOffset>
                </wp:positionV>
                <wp:extent cx="5298440" cy="14605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8440" cy="146050"/>
                        </a:xfrm>
                        <a:prstGeom prst="rect">
                          <a:avLst/>
                        </a:prstGeom>
                        <a:solidFill>
                          <a:srgbClr val="DDDDDD"/>
                        </a:solidFill>
                      </wps:spPr>
                      <wps:bodyPr/>
                    </wps:wsp>
                  </a:graphicData>
                </a:graphic>
              </wp:anchor>
            </w:drawing>
          </mc:Choice>
          <mc:Fallback>
            <w:pict>
              <v:rect id="Shape 36" o:spid="_x0000_s1061" style="position:absolute;margin-left:0.35pt;margin-top:-0.4499pt;width:417.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38" w:lineRule="auto"/>
        <w:rPr>
          <w:sz w:val="20"/>
          <w:szCs w:val="20"/>
          <w:color w:val="auto"/>
        </w:rPr>
      </w:pPr>
      <w:r>
        <w:rPr>
          <w:rFonts w:ascii="Times New Roman" w:cs="Times New Roman" w:eastAsia="Times New Roman" w:hAnsi="Times New Roman"/>
          <w:sz w:val="20"/>
          <w:szCs w:val="20"/>
          <w:b w:val="1"/>
          <w:bCs w:val="1"/>
          <w:color w:val="auto"/>
        </w:rPr>
        <w:t>Denominator:</w:t>
      </w:r>
    </w:p>
    <w:p>
      <w:pPr>
        <w:ind w:right="20"/>
        <w:spacing w:after="0" w:line="244" w:lineRule="auto"/>
        <w:rPr>
          <w:sz w:val="20"/>
          <w:szCs w:val="20"/>
          <w:color w:val="auto"/>
        </w:rPr>
      </w:pPr>
      <w:r>
        <w:rPr>
          <w:rFonts w:ascii="Times New Roman" w:cs="Times New Roman" w:eastAsia="Times New Roman" w:hAnsi="Times New Roman"/>
          <w:sz w:val="20"/>
          <w:szCs w:val="20"/>
          <w:color w:val="auto"/>
        </w:rPr>
        <w:t>Weighted-average shares outstanding used in computing net loss per share attributable to common stockholders - basic and diluted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-10160</wp:posOffset>
                </wp:positionV>
                <wp:extent cx="5298440" cy="1517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8440" cy="151765"/>
                        </a:xfrm>
                        <a:prstGeom prst="rect">
                          <a:avLst/>
                        </a:prstGeom>
                        <a:solidFill>
                          <a:srgbClr val="DDDDDD"/>
                        </a:solidFill>
                      </wps:spPr>
                      <wps:bodyPr/>
                    </wps:wsp>
                  </a:graphicData>
                </a:graphic>
              </wp:anchor>
            </w:drawing>
          </mc:Choice>
          <mc:Fallback>
            <w:pict>
              <v:rect id="Shape 37" o:spid="_x0000_s1062" style="position:absolute;margin-left:0.35pt;margin-top:-0.7999pt;width:417.2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Net income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left="40" w:right="60" w:firstLine="43"/>
        <w:spacing w:after="0" w:line="292"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Predecessor </w:t>
      </w:r>
      <w:r>
        <w:rPr>
          <w:rFonts w:ascii="Times New Roman" w:cs="Times New Roman" w:eastAsia="Times New Roman" w:hAnsi="Times New Roman"/>
          <w:sz w:val="17"/>
          <w:szCs w:val="17"/>
          <w:b w:val="1"/>
          <w:bCs w:val="1"/>
          <w:color w:val="auto"/>
        </w:rPr>
        <w:t xml:space="preserve">January 1 to </w:t>
      </w:r>
      <w:r>
        <w:rPr>
          <w:rFonts w:ascii="Times New Roman" w:cs="Times New Roman" w:eastAsia="Times New Roman" w:hAnsi="Times New Roman"/>
          <w:sz w:val="17"/>
          <w:szCs w:val="17"/>
          <w:b w:val="1"/>
          <w:bCs w:val="1"/>
          <w:u w:val="single" w:color="auto"/>
          <w:color w:val="auto"/>
        </w:rPr>
        <w:t>July 30,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-170180</wp:posOffset>
                </wp:positionH>
                <wp:positionV relativeFrom="paragraph">
                  <wp:posOffset>-32385</wp:posOffset>
                </wp:positionV>
                <wp:extent cx="864870" cy="14541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4870" cy="145415"/>
                        </a:xfrm>
                        <a:prstGeom prst="rect">
                          <a:avLst/>
                        </a:prstGeom>
                        <a:solidFill>
                          <a:srgbClr val="DDDDDD"/>
                        </a:solidFill>
                      </wps:spPr>
                      <wps:bodyPr/>
                    </wps:wsp>
                  </a:graphicData>
                </a:graphic>
              </wp:anchor>
            </w:drawing>
          </mc:Choice>
          <mc:Fallback>
            <w:pict>
              <v:rect id="Shape 38" o:spid="_x0000_s1063" style="position:absolute;margin-left:-13.3999pt;margin-top:-2.5499pt;width:68.1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-170180</wp:posOffset>
                </wp:positionH>
                <wp:positionV relativeFrom="paragraph">
                  <wp:posOffset>-35560</wp:posOffset>
                </wp:positionV>
                <wp:extent cx="16764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 cy="4763"/>
                        </a:xfrm>
                        <a:prstGeom prst="line">
                          <a:avLst/>
                        </a:prstGeom>
                        <a:solidFill>
                          <a:srgbClr val="FFFFFF"/>
                        </a:solidFill>
                        <a:ln w="6096">
                          <a:solidFill>
                            <a:srgbClr val="DDDDDD"/>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999pt,-2.7999pt" to="-0.1999pt,-2.7999pt" o:allowincell="f" strokecolor="#DDDDDD" strokeweight="0.48pt"/>
            </w:pict>
          </mc:Fallback>
        </mc:AlternateContent>
      </w:r>
    </w:p>
    <w:p>
      <w:pPr>
        <w:spacing w:after="0" w:line="1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(21,278)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-170180</wp:posOffset>
                </wp:positionH>
                <wp:positionV relativeFrom="paragraph">
                  <wp:posOffset>19050</wp:posOffset>
                </wp:positionV>
                <wp:extent cx="864870" cy="14605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4870" cy="146050"/>
                        </a:xfrm>
                        <a:prstGeom prst="rect">
                          <a:avLst/>
                        </a:prstGeom>
                        <a:solidFill>
                          <a:srgbClr val="DDDDDD"/>
                        </a:solidFill>
                      </wps:spPr>
                      <wps:bodyPr/>
                    </wps:wsp>
                  </a:graphicData>
                </a:graphic>
              </wp:anchor>
            </w:drawing>
          </mc:Choice>
          <mc:Fallback>
            <w:pict>
              <v:rect id="Shape 40" o:spid="_x0000_s1065" style="position:absolute;margin-left:-13.3999pt;margin-top:1.5pt;width:68.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35" w:lineRule="exact"/>
        <w:rPr>
          <w:sz w:val="20"/>
          <w:szCs w:val="20"/>
          <w:color w:val="auto"/>
        </w:rPr>
      </w:pPr>
    </w:p>
    <w:p>
      <w:pPr>
        <w:jc w:val="right"/>
        <w:spacing w:after="0" w:line="407" w:lineRule="auto"/>
        <w:rPr>
          <w:sz w:val="20"/>
          <w:szCs w:val="20"/>
          <w:color w:val="auto"/>
        </w:rPr>
      </w:pPr>
      <w:r>
        <w:rPr>
          <w:rFonts w:ascii="Times New Roman" w:cs="Times New Roman" w:eastAsia="Times New Roman" w:hAnsi="Times New Roman"/>
          <w:sz w:val="20"/>
          <w:szCs w:val="20"/>
          <w:color w:val="auto"/>
        </w:rPr>
        <w:t>815,854 $    (26.08)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-170180</wp:posOffset>
                </wp:positionH>
                <wp:positionV relativeFrom="paragraph">
                  <wp:posOffset>-257810</wp:posOffset>
                </wp:positionV>
                <wp:extent cx="864870" cy="14605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4870" cy="146050"/>
                        </a:xfrm>
                        <a:prstGeom prst="rect">
                          <a:avLst/>
                        </a:prstGeom>
                        <a:solidFill>
                          <a:srgbClr val="DDDDDD"/>
                        </a:solidFill>
                      </wps:spPr>
                      <wps:bodyPr/>
                    </wps:wsp>
                  </a:graphicData>
                </a:graphic>
              </wp:anchor>
            </w:drawing>
          </mc:Choice>
          <mc:Fallback>
            <w:pict>
              <v:rect id="Shape 41" o:spid="_x0000_s1066" style="position:absolute;margin-left:-13.3999pt;margin-top:-20.2999pt;width:68.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-170180</wp:posOffset>
                </wp:positionH>
                <wp:positionV relativeFrom="paragraph">
                  <wp:posOffset>-260985</wp:posOffset>
                </wp:positionV>
                <wp:extent cx="1676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 cy="4763"/>
                        </a:xfrm>
                        <a:prstGeom prst="line">
                          <a:avLst/>
                        </a:prstGeom>
                        <a:solidFill>
                          <a:srgbClr val="FFFFFF"/>
                        </a:solidFill>
                        <a:ln w="6096">
                          <a:solidFill>
                            <a:srgbClr val="DDDDDD"/>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999pt,-20.5499pt" to="-0.1999pt,-20.5499pt" o:allowincell="f" strokecolor="#DDDDDD"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-260985</wp:posOffset>
                </wp:positionV>
                <wp:extent cx="69723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0.5499pt" to="54.7pt,-20.5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-94615</wp:posOffset>
                </wp:positionV>
                <wp:extent cx="70612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7.4499pt" to="54.7pt,-7.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-106680</wp:posOffset>
                </wp:positionV>
                <wp:extent cx="70612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8.3999pt" to="54.7pt,-8.3999pt" o:allowincell="f" strokecolor="#000000" strokeweight="0.4799pt"/>
            </w:pict>
          </mc:Fallback>
        </mc:AlternateContent>
      </w:r>
    </w:p>
    <w:p>
      <w:pPr>
        <w:spacing w:after="0" w:line="65" w:lineRule="exact"/>
        <w:rPr>
          <w:sz w:val="20"/>
          <w:szCs w:val="20"/>
          <w:color w:val="auto"/>
        </w:rPr>
      </w:pPr>
    </w:p>
    <w:p>
      <w:pPr>
        <w:sectPr>
          <w:pgSz w:w="12240" w:h="15840" w:orient="portrait"/>
          <w:cols w:equalWidth="0" w:num="2">
            <w:col w:w="7900" w:space="720"/>
            <w:col w:w="1100"/>
          </w:cols>
          <w:pgMar w:left="1260" w:top="1248" w:right="1260" w:bottom="719" w:gutter="0" w:footer="0" w:header="0"/>
          <w:type w:val="continuous"/>
        </w:sectPr>
      </w:pPr>
    </w:p>
    <w:p>
      <w:pPr>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potentially dilutive securities were excluded from the computation of diluted net loss per share calculations for the periods presented because the impact of including them would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56"/>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824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July 30, 2024</w:t>
            </w:r>
          </w:p>
        </w:tc>
      </w:tr>
      <w:tr>
        <w:trPr>
          <w:trHeight w:val="220"/>
        </w:trPr>
        <w:tc>
          <w:tcPr>
            <w:tcW w:w="82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Convertible preferred stock</w:t>
            </w: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4,732,044</w:t>
            </w:r>
          </w:p>
        </w:tc>
      </w:tr>
      <w:tr>
        <w:trPr>
          <w:trHeight w:val="229"/>
        </w:trPr>
        <w:tc>
          <w:tcPr>
            <w:tcW w:w="8240" w:type="dxa"/>
            <w:vAlign w:val="bottom"/>
            <w:tcBorders>
              <w:bottom w:val="single" w:sz="8" w:color="DDDDDD"/>
            </w:tcBorders>
          </w:tcPr>
          <w:p>
            <w:pPr>
              <w:spacing w:after="0" w:line="229" w:lineRule="exact"/>
              <w:rPr>
                <w:sz w:val="20"/>
                <w:szCs w:val="20"/>
                <w:color w:val="auto"/>
              </w:rPr>
            </w:pPr>
            <w:r>
              <w:rPr>
                <w:rFonts w:ascii="Times New Roman" w:cs="Times New Roman" w:eastAsia="Times New Roman" w:hAnsi="Times New Roman"/>
                <w:sz w:val="20"/>
                <w:szCs w:val="20"/>
                <w:color w:val="auto"/>
              </w:rPr>
              <w:t>Stock options</w:t>
            </w:r>
          </w:p>
        </w:tc>
        <w:tc>
          <w:tcPr>
            <w:tcW w:w="2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740,409</w:t>
            </w:r>
          </w:p>
        </w:tc>
      </w:tr>
      <w:tr>
        <w:trPr>
          <w:trHeight w:val="231"/>
        </w:trPr>
        <w:tc>
          <w:tcPr>
            <w:tcW w:w="8240" w:type="dxa"/>
            <w:vAlign w:val="bottom"/>
            <w:shd w:val="clear" w:color="auto" w:fill="DDDDDD"/>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 potentially dilutive securities</w:t>
            </w:r>
          </w:p>
        </w:tc>
        <w:tc>
          <w:tcPr>
            <w:tcW w:w="24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122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5,472,453</w:t>
            </w:r>
          </w:p>
        </w:tc>
      </w:tr>
    </w:tbl>
    <w:p>
      <w:pPr>
        <w:spacing w:after="0" w:line="200" w:lineRule="exact"/>
        <w:rPr>
          <w:sz w:val="20"/>
          <w:szCs w:val="20"/>
          <w:color w:val="auto"/>
        </w:rPr>
      </w:pPr>
    </w:p>
    <w:p>
      <w:pPr>
        <w:sectPr>
          <w:pgSz w:w="12240" w:h="15840" w:orient="portrait"/>
          <w:cols w:equalWidth="0" w:num="1">
            <w:col w:w="9720"/>
          </w:cols>
          <w:pgMar w:left="1260" w:top="1248" w:right="1260" w:bottom="7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9720"/>
          </w:cols>
          <w:pgMar w:left="1260" w:top="1248" w:right="1260" w:bottom="719"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b w:val="1"/>
          <w:bCs w:val="1"/>
          <w:i w:val="1"/>
          <w:iCs w:val="1"/>
          <w:color w:val="auto"/>
        </w:rPr>
        <w:t>Successor</w:t>
      </w:r>
    </w:p>
    <w:p>
      <w:pPr>
        <w:spacing w:after="0" w:line="229" w:lineRule="exact"/>
        <w:rPr>
          <w:sz w:val="20"/>
          <w:szCs w:val="20"/>
          <w:color w:val="auto"/>
        </w:rPr>
      </w:pPr>
    </w:p>
    <w:p>
      <w:pPr>
        <w:jc w:val="both"/>
        <w:ind w:right="20" w:firstLine="360"/>
        <w:spacing w:after="0" w:line="246" w:lineRule="auto"/>
        <w:rPr>
          <w:sz w:val="20"/>
          <w:szCs w:val="20"/>
          <w:color w:val="auto"/>
        </w:rPr>
      </w:pPr>
      <w:r>
        <w:rPr>
          <w:rFonts w:ascii="Times New Roman" w:cs="Times New Roman" w:eastAsia="Times New Roman" w:hAnsi="Times New Roman"/>
          <w:sz w:val="20"/>
          <w:szCs w:val="20"/>
          <w:color w:val="auto"/>
        </w:rPr>
        <w:t>After the Business Combination, the Successor calculated basic LPS and diluted LPS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w:t>
      </w:r>
    </w:p>
    <w:p>
      <w:pPr>
        <w:spacing w:after="0" w:line="191"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20"/>
          <w:szCs w:val="20"/>
          <w:color w:val="auto"/>
        </w:rPr>
        <w:t>Under the two-class method, undistributed earnings allocated to these participating securities were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period from July 31, 2024 to December 31, 2024 (Successor), the Convertible Securities Notes were not considered participating securities, and were excluded from the two-class method LPS calculation for those periods.</w:t>
      </w:r>
    </w:p>
    <w:p>
      <w:pPr>
        <w:spacing w:after="0" w:line="19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Further, Basic LPS under the two-class method includes the impact of the Company’s PIPE Pre-funded Warrants as the PIPE Pre-funded Warrants are exercisable for only $ 0.01 per share (i.e., de minimis cash consideration) without an expiration date and not subject to exercise contingencies.</w:t>
      </w:r>
    </w:p>
    <w:p>
      <w:pPr>
        <w:spacing w:after="0" w:line="18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discloses the Diluted LPS under the if-converted method as such diluted LPS is lower than the diluted LPS calculated under the two-class method. The Earn-out shares subject to vesting conditions are not considered in the denominator for the calculation of diluted LPS as the vesting conditions for the Earn-out shares were not met during the successor reporting period.</w:t>
      </w:r>
    </w:p>
    <w:p>
      <w:pPr>
        <w:spacing w:after="0" w:line="184"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computation of basic earnings per share attributable to common stockholders and the participating securities for the periods presented (in thousands, except share and per share data):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Basic LPS: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9"/>
          </w:tcPr>
          <w:p>
            <w:pPr>
              <w:jc w:val="center"/>
              <w:ind w:right="3"/>
              <w:spacing w:after="0" w:line="196" w:lineRule="exact"/>
              <w:rPr>
                <w:sz w:val="20"/>
                <w:szCs w:val="20"/>
                <w:color w:val="auto"/>
              </w:rPr>
            </w:pPr>
            <w:r>
              <w:rPr>
                <w:rFonts w:ascii="Times New Roman" w:cs="Times New Roman" w:eastAsia="Times New Roman" w:hAnsi="Times New Roman"/>
                <w:sz w:val="18"/>
                <w:szCs w:val="18"/>
                <w:b w:val="1"/>
                <w:bCs w:val="1"/>
                <w:color w:val="auto"/>
                <w:w w:val="99"/>
              </w:rPr>
              <w:t>July 31, 2024 to December 31, 2024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5"/>
                <w:szCs w:val="15"/>
                <w:color w:val="auto"/>
              </w:rPr>
            </w:pPr>
          </w:p>
        </w:tc>
        <w:tc>
          <w:tcPr>
            <w:tcW w:w="9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Earnout</w:t>
            </w:r>
          </w:p>
        </w:tc>
        <w:tc>
          <w:tcPr>
            <w:tcW w:w="0" w:type="dxa"/>
            <w:vAlign w:val="bottom"/>
          </w:tcPr>
          <w:p>
            <w:pPr>
              <w:spacing w:after="0"/>
              <w:rPr>
                <w:sz w:val="1"/>
                <w:szCs w:val="1"/>
                <w:color w:val="auto"/>
              </w:rPr>
            </w:pPr>
          </w:p>
        </w:tc>
      </w:tr>
      <w:tr>
        <w:trPr>
          <w:trHeight w:val="143"/>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6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8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1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00" w:type="dxa"/>
            <w:vAlign w:val="bottom"/>
            <w:tcBorders>
              <w:top w:val="single" w:sz="8" w:color="auto"/>
            </w:tcBorders>
            <w:shd w:val="clear" w:color="auto" w:fill="DDDDDD"/>
          </w:tcPr>
          <w:p>
            <w:pPr>
              <w:spacing w:after="0"/>
              <w:rPr>
                <w:sz w:val="19"/>
                <w:szCs w:val="19"/>
                <w:color w:val="auto"/>
              </w:rPr>
            </w:pPr>
          </w:p>
        </w:tc>
        <w:tc>
          <w:tcPr>
            <w:tcW w:w="960" w:type="dxa"/>
            <w:vAlign w:val="bottom"/>
            <w:tcBorders>
              <w:top w:val="single" w:sz="8" w:color="auto"/>
            </w:tcBorders>
            <w:shd w:val="clear" w:color="auto" w:fill="DDDDDD"/>
          </w:tcPr>
          <w:p>
            <w:pPr>
              <w:spacing w:after="0"/>
              <w:rPr>
                <w:sz w:val="19"/>
                <w:szCs w:val="19"/>
                <w:color w:val="auto"/>
              </w:rPr>
            </w:pPr>
          </w:p>
        </w:tc>
        <w:tc>
          <w:tcPr>
            <w:tcW w:w="8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auto"/>
            </w:tcBorders>
            <w:shd w:val="clear" w:color="auto" w:fill="DDDDDD"/>
          </w:tcPr>
          <w:p>
            <w:pPr>
              <w:spacing w:after="0"/>
              <w:rPr>
                <w:sz w:val="19"/>
                <w:szCs w:val="19"/>
                <w:color w:val="auto"/>
              </w:rPr>
            </w:pPr>
          </w:p>
        </w:tc>
        <w:tc>
          <w:tcPr>
            <w:tcW w:w="74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00" w:type="dxa"/>
            <w:vAlign w:val="bottom"/>
            <w:tcBorders>
              <w:top w:val="single" w:sz="8" w:color="auto"/>
            </w:tcBorders>
            <w:shd w:val="clear" w:color="auto" w:fill="DDDDDD"/>
          </w:tcPr>
          <w:p>
            <w:pPr>
              <w:spacing w:after="0"/>
              <w:rPr>
                <w:sz w:val="19"/>
                <w:szCs w:val="19"/>
                <w:color w:val="auto"/>
              </w:rPr>
            </w:pPr>
          </w:p>
        </w:tc>
        <w:tc>
          <w:tcPr>
            <w:tcW w:w="86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Net loss allocated to each class of participating securities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(49,888)</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outstanding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14,772,692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Shares issuable to Convertible Securities Notes</w:t>
            </w:r>
          </w:p>
        </w:tc>
        <w:tc>
          <w:tcPr>
            <w:tcW w:w="1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740" w:type="dxa"/>
            <w:vAlign w:val="bottom"/>
            <w:shd w:val="clear" w:color="auto" w:fill="DDDDDD"/>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Borders>
              <w:bottom w:val="single" w:sz="8" w:color="DDDDDD"/>
            </w:tcBorders>
          </w:tcPr>
          <w:p>
            <w:pPr>
              <w:spacing w:after="0" w:line="228" w:lineRule="exact"/>
              <w:rPr>
                <w:sz w:val="20"/>
                <w:szCs w:val="20"/>
                <w:color w:val="auto"/>
              </w:rPr>
            </w:pPr>
            <w:r>
              <w:rPr>
                <w:rFonts w:ascii="Times New Roman" w:cs="Times New Roman" w:eastAsia="Times New Roman" w:hAnsi="Times New Roman"/>
                <w:sz w:val="20"/>
                <w:szCs w:val="20"/>
                <w:color w:val="auto"/>
              </w:rPr>
              <w:t>Sponsor Earnout</w:t>
            </w:r>
          </w:p>
        </w:tc>
        <w:tc>
          <w:tcPr>
            <w:tcW w:w="12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97"/>
              </w:rPr>
              <w:t>1,147,500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80" w:type="dxa"/>
            <w:vAlign w:val="bottom"/>
            <w:shd w:val="clear" w:color="auto" w:fill="DDDDDD"/>
          </w:tcPr>
          <w:p>
            <w:pPr>
              <w:spacing w:after="0" w:line="221" w:lineRule="exact"/>
              <w:rPr>
                <w:sz w:val="20"/>
                <w:szCs w:val="20"/>
                <w:color w:val="auto"/>
              </w:rPr>
            </w:pPr>
            <w:r>
              <w:rPr>
                <w:rFonts w:ascii="Times New Roman" w:cs="Times New Roman" w:eastAsia="Times New Roman" w:hAnsi="Times New Roman"/>
                <w:sz w:val="20"/>
                <w:szCs w:val="20"/>
                <w:color w:val="auto"/>
              </w:rPr>
              <w:t>Net loss per share attributable to each class of participating securities – Basic</w:t>
            </w:r>
          </w:p>
        </w:tc>
        <w:tc>
          <w:tcPr>
            <w:tcW w:w="120" w:type="dxa"/>
            <w:vAlign w:val="bottom"/>
            <w:shd w:val="clear" w:color="auto" w:fill="DDDDDD"/>
          </w:tcPr>
          <w:p>
            <w:pPr>
              <w:spacing w:after="0"/>
              <w:rPr>
                <w:sz w:val="20"/>
                <w:szCs w:val="20"/>
                <w:color w:val="auto"/>
              </w:rPr>
            </w:pPr>
          </w:p>
        </w:tc>
        <w:tc>
          <w:tcPr>
            <w:tcW w:w="120" w:type="dxa"/>
            <w:vAlign w:val="bottom"/>
            <w:tcBorders>
              <w:bottom w:val="single" w:sz="8" w:color="auto"/>
            </w:tcBorders>
            <w:gridSpan w:val="2"/>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(3.38)</w:t>
            </w:r>
          </w:p>
        </w:tc>
        <w:tc>
          <w:tcPr>
            <w:tcW w:w="80" w:type="dxa"/>
            <w:vAlign w:val="bottom"/>
            <w:shd w:val="clear" w:color="auto" w:fill="DDDDDD"/>
          </w:tcPr>
          <w:p>
            <w:pPr>
              <w:spacing w:after="0"/>
              <w:rPr>
                <w:sz w:val="20"/>
                <w:szCs w:val="20"/>
                <w:color w:val="auto"/>
              </w:rPr>
            </w:pPr>
          </w:p>
        </w:tc>
        <w:tc>
          <w:tcPr>
            <w:tcW w:w="200" w:type="dxa"/>
            <w:vAlign w:val="bottom"/>
            <w:tcBorders>
              <w:bottom w:val="single" w:sz="8" w:color="auto"/>
            </w:tcBorders>
            <w:gridSpan w:val="2"/>
            <w:shd w:val="clear" w:color="auto" w:fill="DDDDDD"/>
          </w:tcPr>
          <w:p>
            <w:pPr>
              <w:ind w:lef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DDDDDD"/>
          </w:tcPr>
          <w:p>
            <w:pPr>
              <w:ind w:left="4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DDDDD"/>
          </w:tcPr>
          <w:p>
            <w:pPr>
              <w:spacing w:after="0"/>
              <w:rPr>
                <w:sz w:val="20"/>
                <w:szCs w:val="20"/>
                <w:color w:val="auto"/>
              </w:rPr>
            </w:pPr>
          </w:p>
        </w:tc>
        <w:tc>
          <w:tcPr>
            <w:tcW w:w="120" w:type="dxa"/>
            <w:vAlign w:val="bottom"/>
            <w:tcBorders>
              <w:bottom w:val="single" w:sz="8" w:color="auto"/>
            </w:tcBorders>
            <w:gridSpan w:val="2"/>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gridSpan w:val="2"/>
            <w:shd w:val="clear" w:color="auto" w:fill="DDDDDD"/>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9720"/>
          </w:cols>
          <w:pgMar w:left="1260" w:top="1248" w:right="1260" w:bottom="719"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0" w:type="dxa"/>
            <w:vAlign w:val="bottom"/>
          </w:tcPr>
          <w:p>
            <w:pPr>
              <w:spacing w:after="0"/>
              <w:rPr>
                <w:sz w:val="1"/>
                <w:szCs w:val="1"/>
                <w:color w:val="auto"/>
              </w:rPr>
            </w:pPr>
          </w:p>
        </w:tc>
      </w:tr>
      <w:tr>
        <w:trPr>
          <w:trHeight w:val="154"/>
        </w:trPr>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83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6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2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tcBorders>
            <w:shd w:val="clear" w:color="auto" w:fill="DDDDDD"/>
          </w:tcPr>
          <w:p>
            <w:pPr>
              <w:spacing w:after="0"/>
              <w:rPr>
                <w:sz w:val="19"/>
                <w:szCs w:val="19"/>
                <w:color w:val="auto"/>
              </w:rPr>
            </w:pPr>
          </w:p>
        </w:tc>
        <w:tc>
          <w:tcPr>
            <w:tcW w:w="140" w:type="dxa"/>
            <w:vAlign w:val="bottom"/>
            <w:tcBorders>
              <w:top w:val="single" w:sz="8" w:color="auto"/>
            </w:tcBorders>
            <w:shd w:val="clear" w:color="auto" w:fill="DDDDDD"/>
          </w:tcPr>
          <w:p>
            <w:pPr>
              <w:spacing w:after="0"/>
              <w:rPr>
                <w:sz w:val="19"/>
                <w:szCs w:val="19"/>
                <w:color w:val="auto"/>
              </w:rPr>
            </w:pPr>
          </w:p>
        </w:tc>
        <w:tc>
          <w:tcPr>
            <w:tcW w:w="116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Weighted-average shares outstanding used in computing net loss per share attributable to common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 Basic</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16,577,126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gridSpan w:val="2"/>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loss per share attributable to common stockholders - Basic</w:t>
            </w:r>
          </w:p>
        </w:tc>
        <w:tc>
          <w:tcPr>
            <w:tcW w:w="20" w:type="dxa"/>
            <w:vAlign w:val="bottom"/>
            <w:tcBorders>
              <w:top w:val="single" w:sz="8" w:color="DDDDDD"/>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The following table sets forth the computation of basic loss per share attributable to common stockholders and the participating securities for the periods presented (in thousands, except share and per share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Diluted LPS: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0" w:type="dxa"/>
            <w:vAlign w:val="bottom"/>
          </w:tcPr>
          <w:p>
            <w:pPr>
              <w:spacing w:after="0"/>
              <w:rPr>
                <w:sz w:val="1"/>
                <w:szCs w:val="1"/>
                <w:color w:val="auto"/>
              </w:rPr>
            </w:pPr>
          </w:p>
        </w:tc>
      </w:tr>
      <w:tr>
        <w:trPr>
          <w:trHeight w:val="154"/>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45"/>
              <w:spacing w:after="0" w:line="154"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46"/>
              <w:spacing w:after="0" w:line="154" w:lineRule="exact"/>
              <w:rPr>
                <w:sz w:val="20"/>
                <w:szCs w:val="20"/>
                <w:color w:val="auto"/>
              </w:rPr>
            </w:pPr>
            <w:r>
              <w:rPr>
                <w:rFonts w:ascii="Times New Roman" w:cs="Times New Roman" w:eastAsia="Times New Roman" w:hAnsi="Times New Roman"/>
                <w:sz w:val="16"/>
                <w:szCs w:val="16"/>
                <w:b w:val="1"/>
                <w:bCs w:val="1"/>
                <w:color w:val="auto"/>
                <w:w w:val="98"/>
              </w:rPr>
              <w:t>July 31 to</w:t>
            </w:r>
          </w:p>
        </w:tc>
        <w:tc>
          <w:tcPr>
            <w:tcW w:w="0" w:type="dxa"/>
            <w:vAlign w:val="bottom"/>
          </w:tcPr>
          <w:p>
            <w:pPr>
              <w:spacing w:after="0"/>
              <w:rPr>
                <w:sz w:val="1"/>
                <w:szCs w:val="1"/>
                <w:color w:val="auto"/>
              </w:rPr>
            </w:pPr>
          </w:p>
        </w:tc>
      </w:tr>
      <w:tr>
        <w:trPr>
          <w:trHeight w:val="203"/>
        </w:trPr>
        <w:tc>
          <w:tcPr>
            <w:tcW w:w="6940" w:type="dxa"/>
            <w:vAlign w:val="bottom"/>
            <w:gridSpan w:val="2"/>
            <w:vMerge w:val="continue"/>
          </w:tcPr>
          <w:p>
            <w:pPr>
              <w:spacing w:after="0"/>
              <w:rPr>
                <w:sz w:val="17"/>
                <w:szCs w:val="17"/>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20" w:type="dxa"/>
            <w:vAlign w:val="bottom"/>
            <w:tcBorders>
              <w:top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180" w:type="dxa"/>
            <w:vAlign w:val="bottom"/>
            <w:tcBorders>
              <w:top w:val="single" w:sz="8" w:color="auto"/>
            </w:tcBorders>
            <w:shd w:val="clear" w:color="auto" w:fill="DDDDDD"/>
          </w:tcPr>
          <w:p>
            <w:pPr>
              <w:spacing w:after="0"/>
              <w:rPr>
                <w:sz w:val="19"/>
                <w:szCs w:val="19"/>
                <w:color w:val="auto"/>
              </w:rPr>
            </w:pPr>
          </w:p>
        </w:tc>
        <w:tc>
          <w:tcPr>
            <w:tcW w:w="1120" w:type="dxa"/>
            <w:vAlign w:val="bottom"/>
            <w:tcBorders>
              <w:top w:val="single" w:sz="8" w:color="auto"/>
            </w:tcBorders>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auto"/>
            </w:tcBorders>
            <w:shd w:val="clear" w:color="auto" w:fill="DDDDDD"/>
          </w:tcPr>
          <w:p>
            <w:pPr>
              <w:spacing w:after="0"/>
              <w:rPr>
                <w:sz w:val="19"/>
                <w:szCs w:val="19"/>
                <w:color w:val="auto"/>
              </w:rPr>
            </w:pPr>
          </w:p>
        </w:tc>
        <w:tc>
          <w:tcPr>
            <w:tcW w:w="112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Net loss – Basic</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(25,084)</w:t>
            </w:r>
          </w:p>
        </w:tc>
        <w:tc>
          <w:tcPr>
            <w:tcW w:w="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Less: Adjustment for fair value changes to convertible securities notes</w:t>
            </w:r>
          </w:p>
        </w:tc>
        <w:tc>
          <w:tcPr>
            <w:tcW w:w="180" w:type="dxa"/>
            <w:vAlign w:val="bottom"/>
            <w:tcBorders>
              <w:bottom w:val="single" w:sz="8" w:color="auto"/>
            </w:tcBorders>
            <w:shd w:val="clear" w:color="auto" w:fill="DDDDDD"/>
          </w:tcPr>
          <w:p>
            <w:pPr>
              <w:spacing w:after="0"/>
              <w:rPr>
                <w:sz w:val="20"/>
                <w:szCs w:val="20"/>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20" w:type="dxa"/>
            <w:vAlign w:val="bottom"/>
            <w:tcBorders>
              <w:bottom w:val="single" w:sz="8" w:color="DDDDDD"/>
            </w:tcBorders>
          </w:tcPr>
          <w:p>
            <w:pPr>
              <w:spacing w:after="0" w:line="220" w:lineRule="exact"/>
              <w:rPr>
                <w:sz w:val="20"/>
                <w:szCs w:val="20"/>
                <w:color w:val="auto"/>
              </w:rPr>
            </w:pPr>
            <w:r>
              <w:rPr>
                <w:rFonts w:ascii="Times New Roman" w:cs="Times New Roman" w:eastAsia="Times New Roman" w:hAnsi="Times New Roman"/>
                <w:sz w:val="20"/>
                <w:szCs w:val="20"/>
                <w:color w:val="auto"/>
              </w:rPr>
              <w:t>Net loss attributable to common stockholders – Diluted</w:t>
            </w: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(25,084)</w:t>
            </w:r>
          </w:p>
        </w:tc>
        <w:tc>
          <w:tcPr>
            <w:tcW w:w="20" w:type="dxa"/>
            <w:vAlign w:val="bottom"/>
          </w:tcPr>
          <w:p>
            <w:pPr>
              <w:spacing w:after="0"/>
              <w:rPr>
                <w:sz w:val="19"/>
                <w:szCs w:val="19"/>
                <w:color w:val="auto"/>
              </w:rPr>
            </w:pPr>
          </w:p>
        </w:tc>
        <w:tc>
          <w:tcPr>
            <w:tcW w:w="18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(54,692)</w:t>
            </w: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69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Weighted-average shares outstanding – Basic</w:t>
            </w:r>
          </w:p>
        </w:tc>
        <w:tc>
          <w:tcPr>
            <w:tcW w:w="18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16,577,126</w:t>
            </w:r>
          </w:p>
        </w:tc>
        <w:tc>
          <w:tcPr>
            <w:tcW w:w="20" w:type="dxa"/>
            <w:vAlign w:val="bottom"/>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14,772,692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Weighted-average effect of shares issuable to Convertible Securities Notes (if-</w:t>
            </w:r>
          </w:p>
        </w:tc>
        <w:tc>
          <w:tcPr>
            <w:tcW w:w="180" w:type="dxa"/>
            <w:vAlign w:val="bottom"/>
          </w:tcPr>
          <w:p>
            <w:pPr>
              <w:spacing w:after="0"/>
              <w:rPr>
                <w:sz w:val="18"/>
                <w:szCs w:val="18"/>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converted method)</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Weighted-average shares outstanding – Diluted</w:t>
            </w:r>
          </w:p>
        </w:tc>
        <w:tc>
          <w:tcPr>
            <w:tcW w:w="18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16,577,126</w:t>
            </w:r>
          </w:p>
        </w:tc>
        <w:tc>
          <w:tcPr>
            <w:tcW w:w="20" w:type="dxa"/>
            <w:vAlign w:val="bottom"/>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14,772,692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Borders>
              <w:bottom w:val="single" w:sz="8" w:color="DDDDDD"/>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1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Net loss per share attributable to common shares – Diluted (if-converted method)</w:t>
            </w:r>
          </w:p>
        </w:tc>
        <w:tc>
          <w:tcPr>
            <w:tcW w:w="180" w:type="dxa"/>
            <w:vAlign w:val="bottom"/>
            <w:tcBorders>
              <w:bottom w:val="single" w:sz="8" w:color="auto"/>
            </w:tcBorders>
            <w:shd w:val="clear" w:color="auto" w:fill="DDDDDD"/>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(1.51)</w:t>
            </w:r>
          </w:p>
        </w:tc>
        <w:tc>
          <w:tcPr>
            <w:tcW w:w="20" w:type="dxa"/>
            <w:vAlign w:val="bottom"/>
            <w:vMerge w:val="continue"/>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60" w:type="dxa"/>
            <w:vAlign w:val="bottom"/>
            <w:tcBorders>
              <w:bottom w:val="single" w:sz="8" w:color="auto"/>
            </w:tcBorders>
            <w:gridSpan w:val="2"/>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(3.70)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potentially dilutive securities were excluded from the computation of diluted net loss per share calculations for the periods presented because the impact of including them would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0" w:type="dxa"/>
            <w:vAlign w:val="bottom"/>
          </w:tcPr>
          <w:p>
            <w:pPr>
              <w:spacing w:after="0"/>
              <w:rPr>
                <w:sz w:val="1"/>
                <w:szCs w:val="1"/>
                <w:color w:val="auto"/>
              </w:rPr>
            </w:pPr>
          </w:p>
        </w:tc>
      </w:tr>
      <w:tr>
        <w:trPr>
          <w:trHeight w:val="238"/>
        </w:trPr>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2025 Milestone Warrants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0" w:type="dxa"/>
            <w:vAlign w:val="bottom"/>
            <w:gridSpan w:val="2"/>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0"/>
        </w:trPr>
        <w:tc>
          <w:tcPr>
            <w:tcW w:w="7160" w:type="dxa"/>
            <w:vAlign w:val="bottom"/>
            <w:gridSpan w:val="2"/>
            <w:vMerge w:val="continue"/>
          </w:tcPr>
          <w:p>
            <w:pPr>
              <w:spacing w:after="0"/>
              <w:rPr>
                <w:sz w:val="19"/>
                <w:szCs w:val="19"/>
                <w:color w:val="auto"/>
              </w:rPr>
            </w:pPr>
          </w:p>
        </w:tc>
        <w:tc>
          <w:tcPr>
            <w:tcW w:w="11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18,038,829</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7160" w:type="dxa"/>
            <w:vAlign w:val="bottom"/>
            <w:gridSpan w:val="2"/>
            <w:shd w:val="clear" w:color="auto" w:fill="DDDDDD"/>
          </w:tcPr>
          <w:p>
            <w:pPr>
              <w:spacing w:after="0" w:line="228" w:lineRule="exact"/>
              <w:rPr>
                <w:sz w:val="20"/>
                <w:szCs w:val="20"/>
                <w:color w:val="auto"/>
              </w:rPr>
            </w:pPr>
            <w:r>
              <w:rPr>
                <w:rFonts w:ascii="Times New Roman" w:cs="Times New Roman" w:eastAsia="Times New Roman" w:hAnsi="Times New Roman"/>
                <w:sz w:val="20"/>
                <w:szCs w:val="20"/>
                <w:color w:val="auto"/>
              </w:rPr>
              <w:t>Base Warrants</w:t>
            </w:r>
          </w:p>
        </w:tc>
        <w:tc>
          <w:tcPr>
            <w:tcW w:w="116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7,528,727</w:t>
            </w:r>
          </w:p>
        </w:tc>
        <w:tc>
          <w:tcPr>
            <w:tcW w:w="1400" w:type="dxa"/>
            <w:vAlign w:val="bottom"/>
            <w:gridSpan w:val="2"/>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7,528,727</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 Warrants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1,500,000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Earn-out Shares, subject to vesting conditions</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1,147,500</w:t>
            </w:r>
          </w:p>
        </w:tc>
        <w:tc>
          <w:tcPr>
            <w:tcW w:w="14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1,147,500</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20"/>
                <w:szCs w:val="20"/>
                <w:color w:val="auto"/>
              </w:rPr>
              <w:t>Stock options issued in connection with the Business Combination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7,587</w:t>
            </w:r>
          </w:p>
        </w:tc>
        <w:tc>
          <w:tcPr>
            <w:tcW w:w="220" w:type="dxa"/>
            <w:vAlign w:val="bottom"/>
            <w:tcBorders>
              <w:bottom w:val="single" w:sz="8" w:color="DDDDDD"/>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7,587</w:t>
            </w:r>
          </w:p>
        </w:tc>
        <w:tc>
          <w:tcPr>
            <w:tcW w:w="0" w:type="dxa"/>
            <w:vAlign w:val="bottom"/>
          </w:tcPr>
          <w:p>
            <w:pPr>
              <w:spacing w:after="0"/>
              <w:rPr>
                <w:sz w:val="1"/>
                <w:szCs w:val="1"/>
                <w:color w:val="auto"/>
              </w:rPr>
            </w:pPr>
          </w:p>
        </w:tc>
      </w:tr>
      <w:tr>
        <w:trPr>
          <w:trHeight w:val="229"/>
        </w:trPr>
        <w:tc>
          <w:tcPr>
            <w:tcW w:w="71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potentially dilutive securities</w:t>
            </w:r>
          </w:p>
        </w:tc>
        <w:tc>
          <w:tcPr>
            <w:tcW w:w="2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28,222,643</w:t>
            </w:r>
          </w:p>
        </w:tc>
        <w:tc>
          <w:tcPr>
            <w:tcW w:w="220" w:type="dxa"/>
            <w:vAlign w:val="bottom"/>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10,183,814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6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9720"/>
          </w:cols>
          <w:pgMar w:left="1260" w:top="1268" w:right="1260" w:bottom="719"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color w:val="auto"/>
        </w:rPr>
        <w:t>Note 16 - Income Taxes</w:t>
      </w:r>
    </w:p>
    <w:p>
      <w:pPr>
        <w:spacing w:after="0" w:line="245"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year ended December 31, 2025 (Successor) there was no material change from periods from January 1, 2024 to July 30, 2024 (Predecessor) and July 31, 2024 to December 31, 2024 (Successor), in the amount of the Company’s deferred tax assets that are not considered to be more likely than not to be realized in future years.</w:t>
      </w:r>
    </w:p>
    <w:p>
      <w:pPr>
        <w:spacing w:after="0" w:line="19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(Successor), the effective tax rate for the Company’s operations was 21.0%. The effective tax rate differed from the U.S. federal statutory rate primarily due to a change in the valuation allowance that offset the tax benefit on the current period pre-tax loss.</w:t>
      </w:r>
    </w:p>
    <w:p>
      <w:pPr>
        <w:spacing w:after="0" w:line="18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For the periods from January 1, 2024 to July 30, 2024 (Predecessor) and July 31, 2024 to December 31, 2024 (Successor), the effective tax rate for the Company’s operations was 21.0%.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w:t>
      </w:r>
    </w:p>
    <w:p>
      <w:pPr>
        <w:spacing w:after="0" w:line="188"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 Company is subject to U.S. federal income tax as well as income tax of foreign and state tax jurisdictions. The tax years 2020-2025 remain open to examination by the major taxing jurisdictions to which the Company is subject, except the Internal Revenue Service for which the tax years 2021-2025 remain open.</w:t>
      </w:r>
    </w:p>
    <w:p>
      <w:pPr>
        <w:spacing w:after="0" w:line="190" w:lineRule="exact"/>
        <w:rPr>
          <w:sz w:val="20"/>
          <w:szCs w:val="20"/>
          <w:color w:val="auto"/>
        </w:rPr>
      </w:pPr>
    </w:p>
    <w:p>
      <w:pPr>
        <w:ind w:right="420" w:firstLine="360"/>
        <w:spacing w:after="0" w:line="277" w:lineRule="auto"/>
        <w:rPr>
          <w:sz w:val="20"/>
          <w:szCs w:val="20"/>
          <w:color w:val="auto"/>
        </w:rPr>
      </w:pPr>
      <w:r>
        <w:rPr>
          <w:rFonts w:ascii="Times New Roman" w:cs="Times New Roman" w:eastAsia="Times New Roman" w:hAnsi="Times New Roman"/>
          <w:sz w:val="20"/>
          <w:szCs w:val="20"/>
          <w:color w:val="auto"/>
        </w:rPr>
        <w:t>The components of pretax loss from operations for the years ended December 31, 2025 and 2024 are as follows (dollars in thousands):</w:t>
      </w:r>
    </w:p>
    <w:p>
      <w:pPr>
        <w:spacing w:after="0" w:line="181" w:lineRule="exact"/>
        <w:rPr>
          <w:sz w:val="20"/>
          <w:szCs w:val="20"/>
          <w:color w:val="auto"/>
        </w:rPr>
      </w:pPr>
    </w:p>
    <w:tbl>
      <w:tblPr>
        <w:tblLayout w:type="fixed"/>
        <w:tblInd w:w="980" w:type="dxa"/>
        <w:tblCellMar>
          <w:top w:w="0" w:type="dxa"/>
          <w:left w:w="0" w:type="dxa"/>
          <w:bottom w:w="0" w:type="dxa"/>
          <w:right w:w="0" w:type="dxa"/>
        </w:tblCellMar>
      </w:tblPr>
      <w:tr>
        <w:trPr>
          <w:trHeight w:val="286"/>
        </w:trPr>
        <w:tc>
          <w:tcPr>
            <w:tcW w:w="4820" w:type="dxa"/>
            <w:vAlign w:val="bottom"/>
          </w:tcPr>
          <w:p>
            <w:pPr>
              <w:spacing w:after="0"/>
              <w:rPr>
                <w:sz w:val="20"/>
                <w:szCs w:val="20"/>
                <w:color w:val="auto"/>
              </w:rPr>
            </w:pPr>
            <w:r>
              <w:rPr>
                <w:rFonts w:ascii="PMingLiU" w:cs="PMingLiU" w:eastAsia="PMingLiU" w:hAnsi="PMingLiU"/>
                <w:sz w:val="22"/>
                <w:szCs w:val="22"/>
                <w:color w:val="auto"/>
              </w:rPr>
              <w:t/>
            </w:r>
          </w:p>
        </w:tc>
        <w:tc>
          <w:tcPr>
            <w:tcW w:w="100" w:type="dxa"/>
            <w:vAlign w:val="bottom"/>
          </w:tcPr>
          <w:p>
            <w:pPr>
              <w:jc w:val="right"/>
              <w:spacing w:after="0"/>
              <w:rPr>
                <w:sz w:val="20"/>
                <w:szCs w:val="20"/>
                <w:color w:val="auto"/>
              </w:rPr>
            </w:pPr>
            <w:r>
              <w:rPr>
                <w:rFonts w:ascii="PMingLiU" w:cs="PMingLiU" w:eastAsia="PMingLiU" w:hAnsi="PMingLiU"/>
                <w:sz w:val="22"/>
                <w:szCs w:val="22"/>
                <w:color w:val="auto"/>
              </w:rPr>
              <w:t/>
            </w: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820" w:type="dxa"/>
            <w:vAlign w:val="bottom"/>
          </w:tcPr>
          <w:p>
            <w:pPr>
              <w:spacing w:after="0" w:line="259" w:lineRule="exact"/>
              <w:rPr>
                <w:sz w:val="20"/>
                <w:szCs w:val="20"/>
                <w:color w:val="auto"/>
              </w:rPr>
            </w:pPr>
            <w:r>
              <w:rPr>
                <w:rFonts w:ascii="PMingLiU" w:cs="PMingLiU" w:eastAsia="PMingLiU" w:hAnsi="PMingLiU"/>
                <w:sz w:val="22"/>
                <w:szCs w:val="22"/>
                <w:color w:val="auto"/>
              </w:rPr>
              <w:t/>
            </w:r>
          </w:p>
        </w:tc>
        <w:tc>
          <w:tcPr>
            <w:tcW w:w="100" w:type="dxa"/>
            <w:vAlign w:val="bottom"/>
          </w:tcPr>
          <w:p>
            <w:pPr>
              <w:jc w:val="right"/>
              <w:spacing w:after="0" w:line="259" w:lineRule="exact"/>
              <w:rPr>
                <w:sz w:val="20"/>
                <w:szCs w:val="20"/>
                <w:color w:val="auto"/>
              </w:rPr>
            </w:pPr>
            <w:r>
              <w:rPr>
                <w:rFonts w:ascii="PMingLiU" w:cs="PMingLiU" w:eastAsia="PMingLiU" w:hAnsi="PMingLiU"/>
                <w:sz w:val="22"/>
                <w:szCs w:val="22"/>
                <w:color w:val="auto"/>
              </w:rPr>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0" w:type="dxa"/>
            <w:vAlign w:val="bottom"/>
          </w:tcPr>
          <w:p>
            <w:pPr>
              <w:spacing w:after="0"/>
              <w:rPr>
                <w:sz w:val="1"/>
                <w:szCs w:val="1"/>
                <w:color w:val="auto"/>
              </w:rPr>
            </w:pPr>
          </w:p>
        </w:tc>
      </w:tr>
      <w:tr>
        <w:trPr>
          <w:trHeight w:val="154"/>
        </w:trPr>
        <w:tc>
          <w:tcPr>
            <w:tcW w:w="48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22"/>
                <w:szCs w:val="22"/>
                <w:color w:val="auto"/>
              </w:rPr>
              <w:t/>
            </w: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0"/>
              <w:spacing w:after="0" w:line="155" w:lineRule="exact"/>
              <w:rPr>
                <w:sz w:val="20"/>
                <w:szCs w:val="20"/>
                <w:color w:val="auto"/>
              </w:rPr>
            </w:pPr>
            <w:r>
              <w:rPr>
                <w:rFonts w:ascii="Times New Roman" w:cs="Times New Roman" w:eastAsia="Times New Roman" w:hAnsi="Times New Roman"/>
                <w:sz w:val="16"/>
                <w:szCs w:val="16"/>
                <w:b w:val="1"/>
                <w:bCs w:val="1"/>
                <w:color w:val="auto"/>
                <w:w w:val="98"/>
              </w:rPr>
              <w:t>July 31 to</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to July 30</w:t>
            </w: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DDDDDD"/>
          </w:tcPr>
          <w:p>
            <w:pPr>
              <w:spacing w:after="0" w:line="20" w:lineRule="exact"/>
              <w:rPr>
                <w:sz w:val="1"/>
                <w:szCs w:val="1"/>
                <w:color w:val="auto"/>
              </w:rPr>
            </w:pP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U.S.</w:t>
            </w:r>
          </w:p>
        </w:tc>
        <w:tc>
          <w:tcPr>
            <w:tcW w:w="100" w:type="dxa"/>
            <w:vAlign w:val="bottom"/>
            <w:tcBorders>
              <w:right w:val="single" w:sz="8" w:color="DDDDDD"/>
            </w:tcBorders>
            <w:shd w:val="clear" w:color="auto" w:fill="DDDDDD"/>
          </w:tcPr>
          <w:p>
            <w:pPr>
              <w:spacing w:after="0"/>
              <w:rPr>
                <w:sz w:val="19"/>
                <w:szCs w:val="19"/>
                <w:color w:val="auto"/>
              </w:rPr>
            </w:pPr>
          </w:p>
        </w:tc>
        <w:tc>
          <w:tcPr>
            <w:tcW w:w="8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 (25,239)</w:t>
            </w:r>
          </w:p>
        </w:tc>
        <w:tc>
          <w:tcPr>
            <w:tcW w:w="200" w:type="dxa"/>
            <w:vAlign w:val="bottom"/>
            <w:gridSpan w:val="2"/>
            <w:shd w:val="clear" w:color="auto" w:fill="DDDDDD"/>
          </w:tcPr>
          <w:p>
            <w:pPr>
              <w:ind w:lef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(76,889)</w:t>
            </w:r>
          </w:p>
        </w:tc>
        <w:tc>
          <w:tcPr>
            <w:tcW w:w="120" w:type="dxa"/>
            <w:vAlign w:val="bottom"/>
            <w:tcBorders>
              <w:right w:val="single" w:sz="8" w:color="auto"/>
            </w:tcBorders>
            <w:shd w:val="clear" w:color="auto" w:fill="DDDDDD"/>
          </w:tcPr>
          <w:p>
            <w:pPr>
              <w:spacing w:after="0"/>
              <w:rPr>
                <w:sz w:val="19"/>
                <w:szCs w:val="19"/>
                <w:color w:val="auto"/>
              </w:rPr>
            </w:pPr>
          </w:p>
        </w:tc>
        <w:tc>
          <w:tcPr>
            <w:tcW w:w="200" w:type="dxa"/>
            <w:vAlign w:val="bottom"/>
            <w:gridSpan w:val="2"/>
            <w:shd w:val="clear" w:color="auto" w:fill="DDDDDD"/>
          </w:tcPr>
          <w:p>
            <w:pPr>
              <w:ind w:left="8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2"/>
            <w:shd w:val="clear" w:color="auto" w:fill="DDDDDD"/>
          </w:tcPr>
          <w:p>
            <w:pPr>
              <w:ind w:left="4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100" w:type="dxa"/>
            <w:vAlign w:val="bottom"/>
            <w:tcBorders>
              <w:bottom w:val="single" w:sz="8" w:color="DDDDDD"/>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Borders>
              <w:bottom w:val="single" w:sz="8" w:color="DDDDDD"/>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tcBorders>
              <w:bottom w:val="single" w:sz="8" w:color="DDDDDD"/>
              <w:right w:val="single" w:sz="8" w:color="auto"/>
            </w:tcBorders>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48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Pretax loss from operations</w:t>
            </w:r>
          </w:p>
        </w:tc>
        <w:tc>
          <w:tcPr>
            <w:tcW w:w="100" w:type="dxa"/>
            <w:vAlign w:val="bottom"/>
            <w:tcBorders>
              <w:right w:val="single" w:sz="8" w:color="DDDDDD"/>
            </w:tcBorders>
            <w:shd w:val="clear" w:color="auto" w:fill="DDDDDD"/>
          </w:tcPr>
          <w:p>
            <w:pPr>
              <w:spacing w:after="0"/>
              <w:rPr>
                <w:sz w:val="20"/>
                <w:szCs w:val="20"/>
                <w:color w:val="auto"/>
              </w:rPr>
            </w:pPr>
          </w:p>
        </w:tc>
        <w:tc>
          <w:tcPr>
            <w:tcW w:w="84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(25,322)</w:t>
            </w:r>
          </w:p>
        </w:tc>
        <w:tc>
          <w:tcPr>
            <w:tcW w:w="100" w:type="dxa"/>
            <w:vAlign w:val="bottom"/>
            <w:tcBorders>
              <w:right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(76,911)</w:t>
            </w:r>
          </w:p>
        </w:tc>
        <w:tc>
          <w:tcPr>
            <w:tcW w:w="120" w:type="dxa"/>
            <w:vAlign w:val="bottom"/>
            <w:tcBorders>
              <w:right w:val="single" w:sz="8" w:color="auto"/>
            </w:tcBorders>
            <w:shd w:val="clear" w:color="auto" w:fill="DDDDDD"/>
          </w:tcPr>
          <w:p>
            <w:pPr>
              <w:spacing w:after="0"/>
              <w:rPr>
                <w:sz w:val="20"/>
                <w:szCs w:val="20"/>
                <w:color w:val="auto"/>
              </w:rPr>
            </w:pPr>
          </w:p>
        </w:tc>
        <w:tc>
          <w:tcPr>
            <w:tcW w:w="100" w:type="dxa"/>
            <w:vAlign w:val="bottom"/>
            <w:tcBorders>
              <w:right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gridSpan w:val="2"/>
            <w:shd w:val="clear" w:color="auto" w:fill="DDDDDD"/>
          </w:tcPr>
          <w:p>
            <w:pPr>
              <w:ind w:left="4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There was no income tax provision for the year ended December 31, 2025 and 2024. Current income taxes are based upon the year’s income taxable for federal, state and foreign tax reporting purposes. Deferred income taxes are provided for certain income and expenses which are recognized in different periods for tax and financial reporting purposes. Deferred tax assets and liabilities are computed for differences between the consolidated financial statements and tax bases of assets and liabilities that will result in taxable or deductible amounts in the future based on enacted tax laws and rates applicable to the period in which the differences are expected to affect taxable income, and include NOL carryforwards and R&amp;D tax credit carryforwards.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elected to prospectively adopt the guidance in ASU No. 2023-09, Income Taxes (Topic 740):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Improvements to Income Taxes Disclosures, or ASU 2023-09, effective January 1, 2025.</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9720"/>
          </w:cols>
          <w:pgMar w:left="1260" w:top="1244" w:right="1260" w:bottom="719" w:gutter="0" w:footer="0" w:header="0"/>
          <w:type w:val="continuous"/>
        </w:sectPr>
      </w:pPr>
    </w:p>
    <w:bookmarkStart w:id="160" w:name="page161"/>
    <w:bookmarkEnd w:id="160"/>
    <w:p>
      <w:pPr>
        <w:ind w:right="460"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presents a reconciliation of income tax computed at the U.S. federal statutory tax rate to the total income tax benefit for the years ended December 31, 2025 and 2024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160" w:type="dxa"/>
            <w:vAlign w:val="bottom"/>
            <w:gridSpan w:val="2"/>
          </w:tcPr>
          <w:p>
            <w:pPr>
              <w:spacing w:after="0"/>
              <w:rPr>
                <w:sz w:val="20"/>
                <w:szCs w:val="20"/>
                <w:color w:val="auto"/>
              </w:rPr>
            </w:pPr>
            <w:r>
              <w:rPr>
                <w:rFonts w:ascii="PMingLiU" w:cs="PMingLiU" w:eastAsia="PMingLiU" w:hAnsi="PMingLiU"/>
                <w:sz w:val="22"/>
                <w:szCs w:val="22"/>
                <w:color w:val="auto"/>
              </w:rPr>
              <w:t/>
            </w:r>
          </w:p>
        </w:tc>
        <w:tc>
          <w:tcPr>
            <w:tcW w:w="160" w:type="dxa"/>
            <w:vAlign w:val="bottom"/>
          </w:tcPr>
          <w:p>
            <w:pPr>
              <w:jc w:val="right"/>
              <w:spacing w:after="0"/>
              <w:rPr>
                <w:sz w:val="20"/>
                <w:szCs w:val="20"/>
                <w:color w:val="auto"/>
              </w:rPr>
            </w:pPr>
            <w:r>
              <w:rPr>
                <w:rFonts w:ascii="PMingLiU" w:cs="PMingLiU" w:eastAsia="PMingLiU" w:hAnsi="PMingLiU"/>
                <w:sz w:val="22"/>
                <w:szCs w:val="22"/>
                <w:color w:val="auto"/>
              </w:rPr>
              <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60" w:type="dxa"/>
            <w:vAlign w:val="bottom"/>
            <w:gridSpan w:val="2"/>
          </w:tcPr>
          <w:p>
            <w:pPr>
              <w:spacing w:after="0" w:line="259" w:lineRule="exact"/>
              <w:rPr>
                <w:sz w:val="20"/>
                <w:szCs w:val="20"/>
                <w:color w:val="auto"/>
              </w:rPr>
            </w:pPr>
            <w:r>
              <w:rPr>
                <w:rFonts w:ascii="PMingLiU" w:cs="PMingLiU" w:eastAsia="PMingLiU" w:hAnsi="PMingLiU"/>
                <w:sz w:val="22"/>
                <w:szCs w:val="22"/>
                <w:color w:val="auto"/>
              </w:rPr>
              <w:t/>
            </w:r>
          </w:p>
        </w:tc>
        <w:tc>
          <w:tcPr>
            <w:tcW w:w="160" w:type="dxa"/>
            <w:vAlign w:val="bottom"/>
          </w:tcPr>
          <w:p>
            <w:pPr>
              <w:jc w:val="right"/>
              <w:spacing w:after="0" w:line="259" w:lineRule="exact"/>
              <w:rPr>
                <w:sz w:val="20"/>
                <w:szCs w:val="20"/>
                <w:color w:val="auto"/>
              </w:rPr>
            </w:pPr>
            <w:r>
              <w:rPr>
                <w:rFonts w:ascii="PMingLiU" w:cs="PMingLiU" w:eastAsia="PMingLiU" w:hAnsi="PMingLiU"/>
                <w:sz w:val="22"/>
                <w:szCs w:val="22"/>
                <w:color w:val="auto"/>
              </w:rPr>
              <w:t/>
            </w:r>
          </w:p>
        </w:tc>
        <w:tc>
          <w:tcPr>
            <w:tcW w:w="120" w:type="dxa"/>
            <w:vAlign w:val="bottom"/>
          </w:tcPr>
          <w:p>
            <w:pPr>
              <w:spacing w:after="0"/>
              <w:rPr>
                <w:sz w:val="22"/>
                <w:szCs w:val="22"/>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3"/>
          </w:tcPr>
          <w:p>
            <w:pPr>
              <w:jc w:val="right"/>
              <w:ind w:right="110"/>
              <w:spacing w:after="0" w:line="259" w:lineRule="exact"/>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258"/>
        </w:trPr>
        <w:tc>
          <w:tcPr>
            <w:tcW w:w="4160" w:type="dxa"/>
            <w:vAlign w:val="bottom"/>
            <w:gridSpan w:val="2"/>
          </w:tcPr>
          <w:p>
            <w:pPr>
              <w:spacing w:after="0" w:line="259" w:lineRule="exact"/>
              <w:rPr>
                <w:sz w:val="20"/>
                <w:szCs w:val="20"/>
                <w:color w:val="auto"/>
              </w:rPr>
            </w:pPr>
            <w:r>
              <w:rPr>
                <w:rFonts w:ascii="PMingLiU" w:cs="PMingLiU" w:eastAsia="PMingLiU" w:hAnsi="PMingLiU"/>
                <w:sz w:val="22"/>
                <w:szCs w:val="22"/>
                <w:color w:val="auto"/>
              </w:rPr>
              <w:t/>
            </w:r>
          </w:p>
        </w:tc>
        <w:tc>
          <w:tcPr>
            <w:tcW w:w="160" w:type="dxa"/>
            <w:vAlign w:val="bottom"/>
          </w:tcPr>
          <w:p>
            <w:pPr>
              <w:jc w:val="right"/>
              <w:spacing w:after="0" w:line="259" w:lineRule="exact"/>
              <w:rPr>
                <w:sz w:val="20"/>
                <w:szCs w:val="20"/>
                <w:color w:val="auto"/>
              </w:rPr>
            </w:pPr>
            <w:r>
              <w:rPr>
                <w:rFonts w:ascii="PMingLiU" w:cs="PMingLiU" w:eastAsia="PMingLiU" w:hAnsi="PMingLiU"/>
                <w:sz w:val="22"/>
                <w:szCs w:val="22"/>
                <w:color w:val="auto"/>
              </w:rPr>
              <w:t/>
            </w: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3"/>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3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line="259" w:lineRule="exact"/>
              <w:rPr>
                <w:sz w:val="20"/>
                <w:szCs w:val="20"/>
                <w:color w:val="auto"/>
              </w:rPr>
            </w:pPr>
            <w:r>
              <w:rPr>
                <w:rFonts w:ascii="PMingLiU" w:cs="PMingLiU" w:eastAsia="PMingLiU" w:hAnsi="PMingLiU"/>
                <w:sz w:val="22"/>
                <w:szCs w:val="22"/>
                <w:color w:val="auto"/>
              </w:rPr>
              <w:t/>
            </w:r>
          </w:p>
        </w:tc>
        <w:tc>
          <w:tcPr>
            <w:tcW w:w="120" w:type="dxa"/>
            <w:vAlign w:val="bottom"/>
            <w:tcBorders>
              <w:top w:val="single" w:sz="8" w:color="auto"/>
              <w:right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700" w:type="dxa"/>
            <w:vAlign w:val="bottom"/>
            <w:tcBorders>
              <w:top w:val="single" w:sz="8" w:color="auto"/>
            </w:tcBorders>
            <w:gridSpan w:val="2"/>
          </w:tcPr>
          <w:p>
            <w:pPr>
              <w:jc w:val="right"/>
              <w:ind w:right="220"/>
              <w:spacing w:after="0" w:line="259" w:lineRule="exact"/>
              <w:rPr>
                <w:sz w:val="20"/>
                <w:szCs w:val="20"/>
                <w:color w:val="auto"/>
              </w:rPr>
            </w:pPr>
            <w:r>
              <w:rPr>
                <w:rFonts w:ascii="PMingLiU" w:cs="PMingLiU" w:eastAsia="PMingLiU" w:hAnsi="PMingLiU"/>
                <w:sz w:val="22"/>
                <w:szCs w:val="22"/>
                <w:color w:val="auto"/>
              </w:rPr>
              <w:t/>
            </w: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260" w:type="dxa"/>
            <w:vAlign w:val="bottom"/>
          </w:tcPr>
          <w:p>
            <w:pPr>
              <w:jc w:val="right"/>
              <w:ind w:right="110"/>
              <w:spacing w:after="0" w:line="259" w:lineRule="exact"/>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196"/>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July 31 to December 31</w:t>
            </w:r>
          </w:p>
        </w:tc>
        <w:tc>
          <w:tcPr>
            <w:tcW w:w="260" w:type="dxa"/>
            <w:vAlign w:val="bottom"/>
          </w:tcPr>
          <w:p>
            <w:pPr>
              <w:spacing w:after="0"/>
              <w:rPr>
                <w:sz w:val="17"/>
                <w:szCs w:val="17"/>
                <w:color w:val="auto"/>
              </w:rPr>
            </w:pPr>
          </w:p>
        </w:tc>
        <w:tc>
          <w:tcPr>
            <w:tcW w:w="1500" w:type="dxa"/>
            <w:vAlign w:val="bottom"/>
            <w:tcBorders>
              <w:top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 to July 30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8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5"/>
              </w:rPr>
              <w:t>Tax Rate</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Tax Rate</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Tax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w w:val="95"/>
              </w:rPr>
              <w:t>%</w:t>
            </w:r>
          </w:p>
        </w:tc>
        <w:tc>
          <w:tcPr>
            <w:tcW w:w="120" w:type="dxa"/>
            <w:vAlign w:val="bottom"/>
            <w:tcBorders>
              <w:right w:val="single" w:sz="8" w:color="auto"/>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DDDDDD"/>
            </w:tcBorders>
            <w:shd w:val="clear" w:color="auto" w:fill="DDDDDD"/>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41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Income tax benefit at federal statutory rate</w:t>
            </w:r>
          </w:p>
        </w:tc>
        <w:tc>
          <w:tcPr>
            <w:tcW w:w="16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(5,318)</w:t>
            </w:r>
          </w:p>
        </w:tc>
        <w:tc>
          <w:tcPr>
            <w:tcW w:w="160" w:type="dxa"/>
            <w:vAlign w:val="bottom"/>
            <w:tcBorders>
              <w:right w:val="single" w:sz="8" w:color="DDDDDD"/>
            </w:tcBorders>
            <w:shd w:val="clear" w:color="auto" w:fill="DDDDDD"/>
          </w:tcPr>
          <w:p>
            <w:pPr>
              <w:spacing w:after="0"/>
              <w:rPr>
                <w:sz w:val="19"/>
                <w:szCs w:val="19"/>
                <w:color w:val="auto"/>
              </w:rPr>
            </w:pPr>
          </w:p>
        </w:tc>
        <w:tc>
          <w:tcPr>
            <w:tcW w:w="620" w:type="dxa"/>
            <w:vAlign w:val="bottom"/>
            <w:gridSpan w:val="2"/>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21.0</w:t>
            </w:r>
          </w:p>
        </w:tc>
        <w:tc>
          <w:tcPr>
            <w:tcW w:w="180" w:type="dxa"/>
            <w:vAlign w:val="bottom"/>
            <w:vMerge w:val="continue"/>
            <w:shd w:val="clear" w:color="auto" w:fill="DDDDDD"/>
          </w:tcPr>
          <w:p>
            <w:pPr>
              <w:spacing w:after="0"/>
              <w:rPr>
                <w:sz w:val="19"/>
                <w:szCs w:val="19"/>
                <w:color w:val="auto"/>
              </w:rPr>
            </w:pPr>
          </w:p>
        </w:tc>
        <w:tc>
          <w:tcPr>
            <w:tcW w:w="120" w:type="dxa"/>
            <w:vAlign w:val="bottom"/>
            <w:tcBorders>
              <w:right w:val="single" w:sz="8" w:color="auto"/>
            </w:tcBorders>
            <w:shd w:val="clear" w:color="auto" w:fill="DDDDDD"/>
          </w:tcPr>
          <w:p>
            <w:pPr>
              <w:spacing w:after="0"/>
              <w:rPr>
                <w:sz w:val="19"/>
                <w:szCs w:val="19"/>
                <w:color w:val="auto"/>
              </w:rPr>
            </w:pPr>
          </w:p>
        </w:tc>
        <w:tc>
          <w:tcPr>
            <w:tcW w:w="10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(16,151)</w:t>
            </w:r>
          </w:p>
        </w:tc>
        <w:tc>
          <w:tcPr>
            <w:tcW w:w="1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tcBorders>
              <w:right w:val="single" w:sz="8" w:color="DDDDDD"/>
            </w:tcBorders>
            <w:gridSpan w:val="2"/>
            <w:shd w:val="clear" w:color="auto" w:fill="DDDDD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21.0 %</w:t>
            </w:r>
          </w:p>
        </w:tc>
        <w:tc>
          <w:tcPr>
            <w:tcW w:w="1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shd w:val="clear" w:color="auto" w:fill="DDDDDD"/>
          </w:tcPr>
          <w:p>
            <w:pPr>
              <w:ind w:lef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19"/>
                <w:szCs w:val="19"/>
                <w:color w:val="auto"/>
              </w:rPr>
            </w:pPr>
          </w:p>
        </w:tc>
        <w:tc>
          <w:tcPr>
            <w:tcW w:w="900" w:type="dxa"/>
            <w:vAlign w:val="bottom"/>
            <w:gridSpan w:val="2"/>
            <w:shd w:val="clear" w:color="auto" w:fill="DDDDDD"/>
          </w:tcPr>
          <w:p>
            <w:pPr>
              <w:ind w:left="360"/>
              <w:spacing w:after="0" w:line="220" w:lineRule="exact"/>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Adjustments for tax effects of:</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State income taxes net of federal benefit (*)</w:t>
            </w:r>
          </w:p>
        </w:tc>
        <w:tc>
          <w:tcPr>
            <w:tcW w:w="16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60" w:type="dxa"/>
            <w:vAlign w:val="bottom"/>
            <w:tcBorders>
              <w:right w:val="single" w:sz="8" w:color="DDDDDD"/>
            </w:tcBorders>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DDDDD"/>
          </w:tcPr>
          <w:p>
            <w:pPr>
              <w:spacing w:after="0"/>
              <w:rPr>
                <w:sz w:val="20"/>
                <w:szCs w:val="20"/>
                <w:color w:val="auto"/>
              </w:rPr>
            </w:pPr>
          </w:p>
        </w:tc>
        <w:tc>
          <w:tcPr>
            <w:tcW w:w="120" w:type="dxa"/>
            <w:vAlign w:val="bottom"/>
            <w:tcBorders>
              <w:right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7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260" w:type="dxa"/>
            <w:vAlign w:val="bottom"/>
            <w:tcBorders>
              <w:right w:val="single" w:sz="8" w:color="DDDDDD"/>
            </w:tcBorders>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60" w:type="dxa"/>
            <w:vAlign w:val="bottom"/>
            <w:tcBorders>
              <w:right w:val="single" w:sz="8" w:color="DDDDDD"/>
            </w:tcBorders>
            <w:shd w:val="clear" w:color="auto" w:fill="DDDDDD"/>
          </w:tcPr>
          <w:p>
            <w:pPr>
              <w:spacing w:after="0"/>
              <w:rPr>
                <w:sz w:val="20"/>
                <w:szCs w:val="20"/>
                <w:color w:val="auto"/>
              </w:rPr>
            </w:pPr>
          </w:p>
        </w:tc>
        <w:tc>
          <w:tcPr>
            <w:tcW w:w="640" w:type="dxa"/>
            <w:vAlign w:val="bottom"/>
            <w:tcBorders>
              <w:right w:val="single" w:sz="8" w:color="DDDDDD"/>
            </w:tcBorders>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Foreign tax effects (Germany)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(0.1)</w:t>
            </w:r>
          </w:p>
        </w:tc>
        <w:tc>
          <w:tcPr>
            <w:tcW w:w="1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Permanent adjustments</w:t>
            </w:r>
          </w:p>
        </w:tc>
        <w:tc>
          <w:tcPr>
            <w:tcW w:w="16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w w:val="95"/>
              </w:rPr>
              <w:t>%</w:t>
            </w:r>
          </w:p>
        </w:tc>
        <w:tc>
          <w:tcPr>
            <w:tcW w:w="120" w:type="dxa"/>
            <w:vAlign w:val="bottom"/>
            <w:tcBorders>
              <w:right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16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00" w:type="dxa"/>
            <w:vAlign w:val="bottom"/>
            <w:tcBorders>
              <w:right w:val="single" w:sz="8" w:color="DDDDDD"/>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(0.9)%</w:t>
            </w:r>
          </w:p>
        </w:tc>
        <w:tc>
          <w:tcPr>
            <w:tcW w:w="180" w:type="dxa"/>
            <w:vAlign w:val="bottom"/>
            <w:shd w:val="clear" w:color="auto" w:fill="DDDDDD"/>
          </w:tcPr>
          <w:p>
            <w:pPr>
              <w:spacing w:after="0"/>
              <w:rPr>
                <w:sz w:val="20"/>
                <w:szCs w:val="20"/>
                <w:color w:val="auto"/>
              </w:rPr>
            </w:pPr>
          </w:p>
        </w:tc>
        <w:tc>
          <w:tcPr>
            <w:tcW w:w="5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20"/>
                <w:szCs w:val="20"/>
                <w:color w:val="auto"/>
              </w:rPr>
            </w:pPr>
          </w:p>
        </w:tc>
        <w:tc>
          <w:tcPr>
            <w:tcW w:w="900" w:type="dxa"/>
            <w:vAlign w:val="bottom"/>
            <w:gridSpan w:val="2"/>
            <w:shd w:val="clear" w:color="auto" w:fill="DDDDDD"/>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Goodwill impairment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w w:val="95"/>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(8.3)%</w:t>
            </w:r>
          </w:p>
        </w:tc>
        <w:tc>
          <w:tcPr>
            <w:tcW w:w="18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Change in FV of convertible note</w:t>
            </w:r>
          </w:p>
        </w:tc>
        <w:tc>
          <w:tcPr>
            <w:tcW w:w="16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w w:val="95"/>
              </w:rPr>
              <w:t>%</w:t>
            </w:r>
          </w:p>
        </w:tc>
        <w:tc>
          <w:tcPr>
            <w:tcW w:w="120" w:type="dxa"/>
            <w:vAlign w:val="bottom"/>
            <w:tcBorders>
              <w:right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16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00" w:type="dxa"/>
            <w:vAlign w:val="bottom"/>
            <w:tcBorders>
              <w:right w:val="single" w:sz="8" w:color="DDDDDD"/>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0.8 %</w:t>
            </w:r>
          </w:p>
        </w:tc>
        <w:tc>
          <w:tcPr>
            <w:tcW w:w="180" w:type="dxa"/>
            <w:vAlign w:val="bottom"/>
            <w:shd w:val="clear" w:color="auto" w:fill="DDDDDD"/>
          </w:tcPr>
          <w:p>
            <w:pPr>
              <w:spacing w:after="0"/>
              <w:rPr>
                <w:sz w:val="20"/>
                <w:szCs w:val="20"/>
                <w:color w:val="auto"/>
              </w:rPr>
            </w:pPr>
          </w:p>
        </w:tc>
        <w:tc>
          <w:tcPr>
            <w:tcW w:w="5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20"/>
                <w:szCs w:val="20"/>
                <w:color w:val="auto"/>
              </w:rPr>
            </w:pPr>
          </w:p>
        </w:tc>
        <w:tc>
          <w:tcPr>
            <w:tcW w:w="900" w:type="dxa"/>
            <w:vAlign w:val="bottom"/>
            <w:gridSpan w:val="2"/>
            <w:shd w:val="clear" w:color="auto" w:fill="DDDDDD"/>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ind w:left="100"/>
              <w:spacing w:after="0" w:line="229" w:lineRule="exact"/>
              <w:rPr>
                <w:sz w:val="20"/>
                <w:szCs w:val="20"/>
                <w:color w:val="auto"/>
              </w:rPr>
            </w:pPr>
            <w:r>
              <w:rPr>
                <w:rFonts w:ascii="Times New Roman" w:cs="Times New Roman" w:eastAsia="Times New Roman" w:hAnsi="Times New Roman"/>
                <w:sz w:val="20"/>
                <w:szCs w:val="20"/>
                <w:color w:val="auto"/>
              </w:rPr>
              <w:t>Change in FV of warrant liability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w w:val="95"/>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(1,421)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1.8 %</w:t>
            </w:r>
          </w:p>
        </w:tc>
        <w:tc>
          <w:tcPr>
            <w:tcW w:w="180" w:type="dxa"/>
            <w:vAlign w:val="bottom"/>
          </w:tcPr>
          <w:p>
            <w:pPr>
              <w:spacing w:after="0"/>
              <w:rPr>
                <w:sz w:val="19"/>
                <w:szCs w:val="19"/>
                <w:color w:val="auto"/>
              </w:rPr>
            </w:pPr>
          </w:p>
        </w:tc>
        <w:tc>
          <w:tcPr>
            <w:tcW w:w="520" w:type="dxa"/>
            <w:vAlign w:val="bottom"/>
          </w:tcPr>
          <w:p>
            <w:pPr>
              <w:ind w:left="2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900" w:type="dxa"/>
            <w:vAlign w:val="bottom"/>
            <w:gridSpan w:val="2"/>
          </w:tcPr>
          <w:p>
            <w:pPr>
              <w:ind w:left="360"/>
              <w:spacing w:after="0" w:line="229" w:lineRule="exact"/>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NOL true-up adjustment</w:t>
            </w:r>
          </w:p>
        </w:tc>
        <w:tc>
          <w:tcPr>
            <w:tcW w:w="16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w w:val="95"/>
              </w:rPr>
              <w:t>%</w:t>
            </w:r>
          </w:p>
        </w:tc>
        <w:tc>
          <w:tcPr>
            <w:tcW w:w="120" w:type="dxa"/>
            <w:vAlign w:val="bottom"/>
            <w:tcBorders>
              <w:right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00" w:type="dxa"/>
            <w:vAlign w:val="bottom"/>
            <w:tcBorders>
              <w:right w:val="single" w:sz="8" w:color="DDDDDD"/>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shd w:val="clear" w:color="auto" w:fill="DDDDDD"/>
          </w:tcPr>
          <w:p>
            <w:pPr>
              <w:spacing w:after="0"/>
              <w:rPr>
                <w:sz w:val="20"/>
                <w:szCs w:val="20"/>
                <w:color w:val="auto"/>
              </w:rPr>
            </w:pPr>
          </w:p>
        </w:tc>
        <w:tc>
          <w:tcPr>
            <w:tcW w:w="5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20"/>
                <w:szCs w:val="20"/>
                <w:color w:val="auto"/>
              </w:rPr>
            </w:pPr>
          </w:p>
        </w:tc>
        <w:tc>
          <w:tcPr>
            <w:tcW w:w="900" w:type="dxa"/>
            <w:vAlign w:val="bottom"/>
            <w:gridSpan w:val="2"/>
            <w:shd w:val="clear" w:color="auto" w:fill="DDDDDD"/>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Foreign rate differential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w w:val="95"/>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Change in federal valuation allowance</w:t>
            </w:r>
          </w:p>
        </w:tc>
        <w:tc>
          <w:tcPr>
            <w:tcW w:w="16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rPr>
              <w:t>4,340</w:t>
            </w:r>
          </w:p>
        </w:tc>
        <w:tc>
          <w:tcPr>
            <w:tcW w:w="7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rPr>
              <w:t>(17.2)</w:t>
            </w: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w w:val="95"/>
              </w:rPr>
              <w:t>%</w:t>
            </w:r>
          </w:p>
        </w:tc>
        <w:tc>
          <w:tcPr>
            <w:tcW w:w="120" w:type="dxa"/>
            <w:vAlign w:val="bottom"/>
            <w:tcBorders>
              <w:right w:val="single" w:sz="8" w:color="auto"/>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9,230</w:t>
            </w:r>
          </w:p>
        </w:tc>
        <w:tc>
          <w:tcPr>
            <w:tcW w:w="1060" w:type="dxa"/>
            <w:vAlign w:val="bottom"/>
            <w:tcBorders>
              <w:right w:val="single" w:sz="8" w:color="DDDDDD"/>
            </w:tcBorders>
            <w:gridSpan w:val="4"/>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(12.0)%</w:t>
            </w:r>
          </w:p>
        </w:tc>
        <w:tc>
          <w:tcPr>
            <w:tcW w:w="180" w:type="dxa"/>
            <w:vAlign w:val="bottom"/>
            <w:shd w:val="clear" w:color="auto" w:fill="DDDDDD"/>
          </w:tcPr>
          <w:p>
            <w:pPr>
              <w:spacing w:after="0"/>
              <w:rPr>
                <w:sz w:val="20"/>
                <w:szCs w:val="20"/>
                <w:color w:val="auto"/>
              </w:rPr>
            </w:pPr>
          </w:p>
        </w:tc>
        <w:tc>
          <w:tcPr>
            <w:tcW w:w="5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20"/>
                <w:szCs w:val="20"/>
                <w:color w:val="auto"/>
              </w:rPr>
            </w:pPr>
          </w:p>
        </w:tc>
        <w:tc>
          <w:tcPr>
            <w:tcW w:w="900" w:type="dxa"/>
            <w:vAlign w:val="bottom"/>
            <w:gridSpan w:val="2"/>
            <w:shd w:val="clear" w:color="auto" w:fill="DDDDDD"/>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Non-taxable and non-deductible items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(3.7)%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w w:val="95"/>
              </w:rPr>
              <w:t>%</w:t>
            </w:r>
          </w:p>
        </w:tc>
        <w:tc>
          <w:tcPr>
            <w:tcW w:w="120" w:type="dxa"/>
            <w:vAlign w:val="bottom"/>
            <w:tcBorders>
              <w:right w:val="single" w:sz="8" w:color="auto"/>
            </w:tcBorders>
            <w:shd w:val="clear" w:color="auto" w:fill="DDDDD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DDDDDD"/>
            </w:tcBorders>
            <w:shd w:val="clear" w:color="auto" w:fill="DDDDDD"/>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DDDDDD"/>
            </w:tcBorders>
            <w:shd w:val="clear" w:color="auto" w:fill="DDDDDD"/>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vMerge w:val="continue"/>
            <w:shd w:val="clear" w:color="auto" w:fill="DDDDDD"/>
          </w:tcPr>
          <w:p>
            <w:pPr>
              <w:spacing w:after="0"/>
              <w:rPr>
                <w:sz w:val="19"/>
                <w:szCs w:val="19"/>
                <w:color w:val="auto"/>
              </w:rPr>
            </w:pPr>
          </w:p>
        </w:tc>
        <w:tc>
          <w:tcPr>
            <w:tcW w:w="16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3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vMerge w:val="continue"/>
            <w:shd w:val="clear" w:color="auto" w:fill="DDDDDD"/>
          </w:tcPr>
          <w:p>
            <w:pPr>
              <w:spacing w:after="0"/>
              <w:rPr>
                <w:sz w:val="19"/>
                <w:szCs w:val="19"/>
                <w:color w:val="auto"/>
              </w:rPr>
            </w:pPr>
          </w:p>
        </w:tc>
        <w:tc>
          <w:tcPr>
            <w:tcW w:w="120" w:type="dxa"/>
            <w:vAlign w:val="bottom"/>
            <w:tcBorders>
              <w:right w:val="single" w:sz="8" w:color="auto"/>
            </w:tcBorders>
            <w:shd w:val="clear" w:color="auto" w:fill="DDDDDD"/>
          </w:tcPr>
          <w:p>
            <w:pPr>
              <w:spacing w:after="0"/>
              <w:rPr>
                <w:sz w:val="19"/>
                <w:szCs w:val="19"/>
                <w:color w:val="auto"/>
              </w:rPr>
            </w:pPr>
          </w:p>
        </w:tc>
        <w:tc>
          <w:tcPr>
            <w:tcW w:w="10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(1,912)</w:t>
            </w:r>
          </w:p>
        </w:tc>
        <w:tc>
          <w:tcPr>
            <w:tcW w:w="1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tcBorders>
              <w:right w:val="single" w:sz="8" w:color="DDDDDD"/>
            </w:tcBorders>
            <w:gridSpan w:val="2"/>
            <w:shd w:val="clear" w:color="auto" w:fill="DDDDD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2.4 %</w:t>
            </w:r>
          </w:p>
        </w:tc>
        <w:tc>
          <w:tcPr>
            <w:tcW w:w="1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shd w:val="clear" w:color="auto" w:fill="DDDDDD"/>
          </w:tcPr>
          <w:p>
            <w:pPr>
              <w:ind w:lef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right w:val="single" w:sz="8" w:color="DDDDDD"/>
            </w:tcBorders>
            <w:shd w:val="clear" w:color="auto" w:fill="DDDDDD"/>
          </w:tcPr>
          <w:p>
            <w:pPr>
              <w:spacing w:after="0"/>
              <w:rPr>
                <w:sz w:val="19"/>
                <w:szCs w:val="19"/>
                <w:color w:val="auto"/>
              </w:rPr>
            </w:pPr>
          </w:p>
        </w:tc>
        <w:tc>
          <w:tcPr>
            <w:tcW w:w="900" w:type="dxa"/>
            <w:vAlign w:val="bottom"/>
            <w:gridSpan w:val="2"/>
            <w:shd w:val="clear" w:color="auto" w:fill="DDDDDD"/>
          </w:tcPr>
          <w:p>
            <w:pPr>
              <w:ind w:left="360"/>
              <w:spacing w:after="0" w:line="220" w:lineRule="exact"/>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40" w:type="dxa"/>
            <w:vAlign w:val="bottom"/>
            <w:shd w:val="clear" w:color="auto" w:fill="DDDDDD"/>
          </w:tcPr>
          <w:p>
            <w:pPr>
              <w:spacing w:after="0"/>
              <w:rPr>
                <w:sz w:val="2"/>
                <w:szCs w:val="2"/>
                <w:color w:val="auto"/>
              </w:rPr>
            </w:pPr>
          </w:p>
        </w:tc>
        <w:tc>
          <w:tcPr>
            <w:tcW w:w="160" w:type="dxa"/>
            <w:vAlign w:val="bottom"/>
            <w:tcBorders>
              <w:right w:val="single" w:sz="8" w:color="auto"/>
            </w:tcBorders>
            <w:shd w:val="clear" w:color="auto" w:fill="DDDDDD"/>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DDDDDD"/>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DDDDDD"/>
          </w:tcPr>
          <w:p>
            <w:pPr>
              <w:spacing w:after="0"/>
              <w:rPr>
                <w:sz w:val="2"/>
                <w:szCs w:val="2"/>
                <w:color w:val="auto"/>
              </w:rPr>
            </w:pPr>
          </w:p>
        </w:tc>
        <w:tc>
          <w:tcPr>
            <w:tcW w:w="120" w:type="dxa"/>
            <w:vAlign w:val="bottom"/>
            <w:tcBorders>
              <w:right w:val="single" w:sz="8" w:color="auto"/>
            </w:tcBorders>
            <w:shd w:val="clear" w:color="auto" w:fill="DDDDDD"/>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DDDDDD"/>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DDDDDD"/>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DDDDDD"/>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DDDDD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3884295</wp:posOffset>
                </wp:positionH>
                <wp:positionV relativeFrom="paragraph">
                  <wp:posOffset>-1932940</wp:posOffset>
                </wp:positionV>
                <wp:extent cx="12700" cy="127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DDDDDD"/>
                        </a:solidFill>
                      </wps:spPr>
                      <wps:bodyPr/>
                    </wps:wsp>
                  </a:graphicData>
                </a:graphic>
              </wp:anchor>
            </w:drawing>
          </mc:Choice>
          <mc:Fallback>
            <w:pict>
              <v:rect id="Shape 46" o:spid="_x0000_s1071" style="position:absolute;margin-left:305.85pt;margin-top:-152.1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3884295</wp:posOffset>
                </wp:positionH>
                <wp:positionV relativeFrom="paragraph">
                  <wp:posOffset>-173355</wp:posOffset>
                </wp:positionV>
                <wp:extent cx="12700" cy="1206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DDDDDD"/>
                        </a:solidFill>
                      </wps:spPr>
                      <wps:bodyPr/>
                    </wps:wsp>
                  </a:graphicData>
                </a:graphic>
              </wp:anchor>
            </w:drawing>
          </mc:Choice>
          <mc:Fallback>
            <w:pict>
              <v:rect id="Shape 47" o:spid="_x0000_s1072" style="position:absolute;margin-left:305.85pt;margin-top:-13.6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23" w:lineRule="exact"/>
        <w:rPr>
          <w:sz w:val="20"/>
          <w:szCs w:val="20"/>
          <w:color w:val="auto"/>
        </w:rPr>
      </w:pPr>
    </w:p>
    <w:p>
      <w:pPr>
        <w:ind w:right="240" w:firstLine="360"/>
        <w:spacing w:after="0" w:line="277" w:lineRule="auto"/>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as of December 31, 2025 and 2024 are as follows (in thousands):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20"/>
        </w:trPr>
        <w:tc>
          <w:tcPr>
            <w:tcW w:w="4860" w:type="dxa"/>
            <w:vAlign w:val="bottom"/>
            <w:tcBorders>
              <w:top w:val="single" w:sz="8" w:color="DDDDDD"/>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1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auto"/>
              <w:bottom w:val="single" w:sz="8" w:color="auto"/>
            </w:tcBorders>
            <w:shd w:val="clear" w:color="auto" w:fill="DDDDDD"/>
          </w:tcPr>
          <w:p>
            <w:pPr>
              <w:spacing w:after="0"/>
              <w:rPr>
                <w:sz w:val="19"/>
                <w:szCs w:val="19"/>
                <w:color w:val="auto"/>
              </w:rPr>
            </w:pPr>
          </w:p>
        </w:tc>
        <w:tc>
          <w:tcPr>
            <w:tcW w:w="1100" w:type="dxa"/>
            <w:vAlign w:val="bottom"/>
            <w:tcBorders>
              <w:top w:val="single" w:sz="8" w:color="auto"/>
              <w:bottom w:val="single" w:sz="8" w:color="auto"/>
            </w:tcBorders>
            <w:shd w:val="clear" w:color="auto" w:fill="DDDDDD"/>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auto"/>
              <w:bottom w:val="single" w:sz="8" w:color="auto"/>
            </w:tcBorders>
            <w:shd w:val="clear" w:color="auto" w:fill="DDDDDD"/>
          </w:tcPr>
          <w:p>
            <w:pPr>
              <w:spacing w:after="0"/>
              <w:rPr>
                <w:sz w:val="19"/>
                <w:szCs w:val="19"/>
                <w:color w:val="auto"/>
              </w:rPr>
            </w:pPr>
          </w:p>
        </w:tc>
        <w:tc>
          <w:tcPr>
            <w:tcW w:w="1080" w:type="dxa"/>
            <w:vAlign w:val="bottom"/>
            <w:tcBorders>
              <w:top w:val="single" w:sz="8" w:color="auto"/>
              <w:bottom w:val="single" w:sz="8" w:color="auto"/>
            </w:tcBorders>
            <w:shd w:val="clear" w:color="auto" w:fill="DDDDDD"/>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Successor</w:t>
            </w:r>
          </w:p>
        </w:tc>
      </w:tr>
      <w:tr>
        <w:trPr>
          <w:trHeight w:val="220"/>
        </w:trPr>
        <w:tc>
          <w:tcPr>
            <w:tcW w:w="4860" w:type="dxa"/>
            <w:vAlign w:val="bottom"/>
          </w:tcPr>
          <w:p>
            <w:pPr>
              <w:ind w:left="120"/>
              <w:spacing w:after="0" w:line="220" w:lineRule="exact"/>
              <w:rPr>
                <w:sz w:val="20"/>
                <w:szCs w:val="20"/>
                <w:color w:val="auto"/>
              </w:rPr>
            </w:pPr>
            <w:r>
              <w:rPr>
                <w:rFonts w:ascii="Times New Roman" w:cs="Times New Roman" w:eastAsia="Times New Roman" w:hAnsi="Times New Roman"/>
                <w:sz w:val="20"/>
                <w:szCs w:val="20"/>
                <w:color w:val="auto"/>
              </w:rPr>
              <w:t>Net operating losses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36,661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30,454</w:t>
            </w:r>
          </w:p>
        </w:tc>
      </w:tr>
      <w:tr>
        <w:trPr>
          <w:trHeight w:val="228"/>
        </w:trPr>
        <w:tc>
          <w:tcPr>
            <w:tcW w:w="4860" w:type="dxa"/>
            <w:vAlign w:val="bottom"/>
            <w:shd w:val="clear" w:color="auto" w:fill="DDDDDD"/>
          </w:tcPr>
          <w:p>
            <w:pPr>
              <w:ind w:left="120"/>
              <w:spacing w:after="0" w:line="228" w:lineRule="exact"/>
              <w:rPr>
                <w:sz w:val="20"/>
                <w:szCs w:val="20"/>
                <w:color w:val="auto"/>
              </w:rPr>
            </w:pPr>
            <w:r>
              <w:rPr>
                <w:rFonts w:ascii="Times New Roman" w:cs="Times New Roman" w:eastAsia="Times New Roman" w:hAnsi="Times New Roman"/>
                <w:sz w:val="20"/>
                <w:szCs w:val="20"/>
                <w:color w:val="auto"/>
              </w:rPr>
              <w:t>Capitalized research costs</w:t>
            </w: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4,151</w:t>
            </w: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5,596</w:t>
            </w: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 credit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1,604</w:t>
            </w:r>
          </w:p>
        </w:tc>
      </w:tr>
      <w:tr>
        <w:trPr>
          <w:trHeight w:val="230"/>
        </w:trPr>
        <w:tc>
          <w:tcPr>
            <w:tcW w:w="48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Accrued compensation</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482</w:t>
            </w:r>
          </w:p>
        </w:tc>
      </w:tr>
      <w:tr>
        <w:trPr>
          <w:trHeight w:val="231"/>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Stock-based compensation</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48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 taxes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48"/>
        </w:trPr>
        <w:tc>
          <w:tcPr>
            <w:tcW w:w="4860" w:type="dxa"/>
            <w:vAlign w:val="bottom"/>
            <w:tcBorders>
              <w:bottom w:val="single" w:sz="8" w:color="DDDDDD"/>
            </w:tcBorders>
            <w:shd w:val="clear" w:color="auto" w:fill="DDDDDD"/>
          </w:tcPr>
          <w:p>
            <w:pPr>
              <w:ind w:left="120"/>
              <w:spacing w:after="0" w:line="228" w:lineRule="exact"/>
              <w:rPr>
                <w:sz w:val="20"/>
                <w:szCs w:val="20"/>
                <w:color w:val="auto"/>
              </w:rPr>
            </w:pPr>
            <w:r>
              <w:rPr>
                <w:rFonts w:ascii="Times New Roman" w:cs="Times New Roman" w:eastAsia="Times New Roman" w:hAnsi="Times New Roman"/>
                <w:sz w:val="20"/>
                <w:szCs w:val="20"/>
                <w:color w:val="auto"/>
              </w:rPr>
              <w:t>Other</w:t>
            </w:r>
          </w:p>
        </w:tc>
        <w:tc>
          <w:tcPr>
            <w:tcW w:w="1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080" w:type="dxa"/>
            <w:vAlign w:val="bottom"/>
            <w:tcBorders>
              <w:bottom w:val="single" w:sz="8" w:color="auto"/>
            </w:tcBorders>
            <w:shd w:val="clear" w:color="auto" w:fill="DDDDDD"/>
          </w:tcPr>
          <w:p>
            <w:pPr>
              <w:jc w:val="right"/>
              <w:spacing w:after="0" w:line="228" w:lineRule="exact"/>
              <w:rPr>
                <w:sz w:val="20"/>
                <w:szCs w:val="20"/>
                <w:color w:val="auto"/>
              </w:rPr>
            </w:pPr>
            <w:r>
              <w:rPr>
                <w:rFonts w:ascii="Times New Roman" w:cs="Times New Roman" w:eastAsia="Times New Roman" w:hAnsi="Times New Roman"/>
                <w:sz w:val="20"/>
                <w:szCs w:val="20"/>
                <w:color w:val="auto"/>
              </w:rPr>
              <w:t>297</w:t>
            </w:r>
          </w:p>
        </w:tc>
      </w:tr>
      <w:tr>
        <w:trPr>
          <w:trHeight w:val="200"/>
        </w:trPr>
        <w:tc>
          <w:tcPr>
            <w:tcW w:w="48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Total deferred tax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43,196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38,604</w:t>
            </w:r>
          </w:p>
        </w:tc>
      </w:tr>
      <w:tr>
        <w:trPr>
          <w:trHeight w:val="230"/>
        </w:trPr>
        <w:tc>
          <w:tcPr>
            <w:tcW w:w="48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(41,216)</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(36,857)</w:t>
            </w:r>
          </w:p>
        </w:tc>
      </w:tr>
      <w:tr>
        <w:trPr>
          <w:trHeight w:val="220"/>
        </w:trPr>
        <w:tc>
          <w:tcPr>
            <w:tcW w:w="4860" w:type="dxa"/>
            <w:vAlign w:val="bottom"/>
            <w:tcBorders>
              <w:bottom w:val="single" w:sz="8" w:color="DDDDDD"/>
            </w:tcBorders>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1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1,980</w:t>
            </w:r>
          </w:p>
        </w:tc>
        <w:tc>
          <w:tcPr>
            <w:tcW w:w="1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1,747</w:t>
            </w:r>
          </w:p>
        </w:tc>
      </w:tr>
      <w:tr>
        <w:trPr>
          <w:trHeight w:val="220"/>
        </w:trPr>
        <w:tc>
          <w:tcPr>
            <w:tcW w:w="486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Deferred tax liabilities:</w:t>
            </w: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Right-of-use assets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48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Intangible assets</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(2,080)</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(2,080)</w:t>
            </w: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Unrecognized tax benefit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r>
      <w:tr>
        <w:trPr>
          <w:trHeight w:val="230"/>
        </w:trPr>
        <w:tc>
          <w:tcPr>
            <w:tcW w:w="48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860" w:type="dxa"/>
            <w:vAlign w:val="bottom"/>
            <w:tcBorders>
              <w:bottom w:val="single" w:sz="8" w:color="DDDDDD"/>
            </w:tcBorders>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1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(2,862)</w:t>
            </w:r>
          </w:p>
        </w:tc>
        <w:tc>
          <w:tcPr>
            <w:tcW w:w="1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(2,630)</w:t>
            </w:r>
          </w:p>
        </w:tc>
      </w:tr>
      <w:tr>
        <w:trPr>
          <w:trHeight w:val="229"/>
        </w:trPr>
        <w:tc>
          <w:tcPr>
            <w:tcW w:w="486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Net deferred tax liabilities</w:t>
            </w:r>
          </w:p>
        </w:tc>
        <w:tc>
          <w:tcPr>
            <w:tcW w:w="140" w:type="dxa"/>
            <w:vAlign w:val="bottom"/>
            <w:shd w:val="clear" w:color="auto" w:fill="DDDDDD"/>
          </w:tcPr>
          <w:p>
            <w:pPr>
              <w:spacing w:after="0"/>
              <w:rPr>
                <w:sz w:val="19"/>
                <w:szCs w:val="19"/>
                <w:color w:val="auto"/>
              </w:rPr>
            </w:pPr>
          </w:p>
        </w:tc>
        <w:tc>
          <w:tcPr>
            <w:tcW w:w="220" w:type="dxa"/>
            <w:vAlign w:val="bottom"/>
            <w:tcBorders>
              <w:bottom w:val="single" w:sz="8" w:color="auto"/>
            </w:tcBorders>
            <w:gridSpan w:val="2"/>
            <w:shd w:val="clear" w:color="auto" w:fill="DDDDDD"/>
          </w:tcPr>
          <w:p>
            <w:pPr>
              <w:ind w:lef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(882)</w:t>
            </w:r>
          </w:p>
        </w:tc>
        <w:tc>
          <w:tcPr>
            <w:tcW w:w="140" w:type="dxa"/>
            <w:vAlign w:val="bottom"/>
            <w:shd w:val="clear" w:color="auto" w:fill="DDDDDD"/>
          </w:tcPr>
          <w:p>
            <w:pPr>
              <w:spacing w:after="0"/>
              <w:rPr>
                <w:sz w:val="19"/>
                <w:szCs w:val="19"/>
                <w:color w:val="auto"/>
              </w:rPr>
            </w:pPr>
          </w:p>
        </w:tc>
        <w:tc>
          <w:tcPr>
            <w:tcW w:w="220" w:type="dxa"/>
            <w:vAlign w:val="bottom"/>
            <w:tcBorders>
              <w:bottom w:val="single" w:sz="8" w:color="auto"/>
            </w:tcBorders>
            <w:gridSpan w:val="2"/>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(883)</w:t>
            </w:r>
          </w:p>
        </w:tc>
      </w:tr>
    </w:tbl>
    <w:p>
      <w:pPr>
        <w:spacing w:after="0" w:line="213" w:lineRule="exact"/>
        <w:rPr>
          <w:sz w:val="20"/>
          <w:szCs w:val="20"/>
          <w:color w:val="auto"/>
        </w:rPr>
      </w:pPr>
    </w:p>
    <w:p>
      <w:pPr>
        <w:jc w:val="both"/>
        <w:ind w:right="60" w:firstLine="360"/>
        <w:spacing w:after="0" w:line="246" w:lineRule="auto"/>
        <w:rPr>
          <w:sz w:val="20"/>
          <w:szCs w:val="20"/>
          <w:color w:val="auto"/>
        </w:rPr>
      </w:pPr>
      <w:r>
        <w:rPr>
          <w:rFonts w:ascii="Times New Roman" w:cs="Times New Roman" w:eastAsia="Times New Roman" w:hAnsi="Times New Roman"/>
          <w:sz w:val="20"/>
          <w:szCs w:val="20"/>
          <w:color w:val="auto"/>
        </w:rPr>
        <w:t>The Company has established a valuation allowance as of December 31, 2025 and 2024 to fully offset the net deferred tax assets of $41.2 million and $36.9 million, respectively. Realization of the future tax benefits is dependent on the Company’s ability to generate sufficient taxable income within the carryforward period. 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2025. Such objective evidence limits the ability to consider other subjective evidence, such as the Company’s projections for future commercialization. Management has concluded</w:t>
      </w:r>
    </w:p>
    <w:p>
      <w:pPr>
        <w:sectPr>
          <w:pgSz w:w="12240" w:h="15840" w:orient="portrait"/>
          <w:cols w:equalWidth="0" w:num="1">
            <w:col w:w="9780"/>
          </w:cols>
          <w:pgMar w:left="1260" w:top="1248" w:right="120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159</w:t>
      </w:r>
    </w:p>
    <w:p>
      <w:pPr>
        <w:sectPr>
          <w:pgSz w:w="12240" w:h="15840" w:orient="portrait"/>
          <w:cols w:equalWidth="0" w:num="1">
            <w:col w:w="9780"/>
          </w:cols>
          <w:pgMar w:left="1260" w:top="1248" w:right="1200" w:bottom="719" w:gutter="0" w:footer="0" w:header="0"/>
          <w:type w:val="continuous"/>
        </w:sectPr>
      </w:pPr>
    </w:p>
    <w:bookmarkStart w:id="161" w:name="page162"/>
    <w:bookmarkEnd w:id="161"/>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that it is more likely than not that the Company will not have sufficient foreseeable taxable income to allow for the utilization of the deferred tax assets; therefore, a full valuation allowance has been established to reduce the net deferred tax assets to zero at December 31, 2025 and 2024.</w:t>
      </w:r>
    </w:p>
    <w:p>
      <w:pPr>
        <w:spacing w:after="0" w:line="86"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As of December 31, 2025 and 2024, the Company had federal NOL carryforwards of $151.7 million and $122.9 million, respectively. $19.0 million of the federal NOL carryforwards will begin to expire from 2031. Due to the enactment of the Tax Cuts and Jobs Act, federal net operating losses generated beginning in 2018 are carried forward indefinitely. Therefore, the remaining federal NOL carry forwards of $132.7 million and $104.0 million as of December 31, 2025 and 2024, respectively, have an unlimited carryover period. As of December 31, 2025 and 2024, the Company had state NOL carryforwards of $53.4 million and $53.4 million, respectively, which will begin to expire from 2031. As of December 31, 2025 and 2024, the Company had a NOL from Adagio Medical GmbH of $245.1 thousand and $180.2 thousand, respectively. The NOLs are carried forward indefinitely. As of December 31, 2025 and 2024, the Company also had net federal R&amp;D tax credit carryforwards of $1.6 million and $1.6 million, respectively. The federal R&amp;D tax credits will begin to expire in 2038. The Company had no state R&amp;D credits.</w:t>
      </w:r>
    </w:p>
    <w:p>
      <w:pPr>
        <w:spacing w:after="0" w:line="11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Company’s tax attribute carryforwards may be subject to a substantial annual limitation due to ownership change limitations that may have occurred or that could occur in the future, as required by Section 382 of the Internal Revenue Code of 1986, as amended (the “Code”), as well as similar state and foreign provisions. These ownership changes may limit the amount of NOL and R&amp;D credit carryforwards that can be used annually to offset future taxable income and tax, respectively. In general, an “ownership change” as defined by Section 382 of the Code results from a transaction or series of transactions over a three-year period resulting in an ownership change of more than 50% of the outstanding stock of a company by certain stockholders. The Company has not completed a study to assess whether an ownership change has occurred or whether there have been multiple ownership changes since the Company’s formation due to the complexity and cost associated with such study, and the fact that there may be additional such ownership changes in the future. Any limitation may result in expiration of a portion of the NOL carryforwards or R&amp;D tax credit carryforwards before utilization; however, such limitation, if any, would not have an impact on the Company’s financial statement due to the full valuation allowance.</w:t>
      </w:r>
    </w:p>
    <w:p>
      <w:pPr>
        <w:spacing w:after="0" w:line="106"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 Company conducts intensive research and experimentation activities, generating R&amp;D tax credits for federal purposes under Section 41 of the Code. The Company has performed a formal study validating these credits claimed in the Company’s tax returns.</w:t>
      </w:r>
    </w:p>
    <w:p>
      <w:pPr>
        <w:spacing w:after="0" w:line="89" w:lineRule="exact"/>
        <w:rPr>
          <w:sz w:val="20"/>
          <w:szCs w:val="20"/>
          <w:color w:val="auto"/>
        </w:rPr>
      </w:pPr>
    </w:p>
    <w:p>
      <w:pPr>
        <w:ind w:right="360" w:firstLine="360"/>
        <w:spacing w:after="0" w:line="258" w:lineRule="auto"/>
        <w:rPr>
          <w:sz w:val="20"/>
          <w:szCs w:val="20"/>
          <w:color w:val="auto"/>
        </w:rPr>
      </w:pPr>
      <w:r>
        <w:rPr>
          <w:rFonts w:ascii="Times New Roman" w:cs="Times New Roman" w:eastAsia="Times New Roman" w:hAnsi="Times New Roman"/>
          <w:sz w:val="20"/>
          <w:szCs w:val="20"/>
          <w:color w:val="auto"/>
        </w:rPr>
        <w:t>The following table summarizes the changes to unrecognized tax benefits as of December 31, 2025 and 2024 (in thousands):</w:t>
      </w:r>
    </w:p>
    <w:p>
      <w:pPr>
        <w:spacing w:after="0" w:line="2" w:lineRule="exact"/>
        <w:rPr>
          <w:sz w:val="20"/>
          <w:szCs w:val="20"/>
          <w:color w:val="auto"/>
        </w:rPr>
      </w:pPr>
    </w:p>
    <w:tbl>
      <w:tblPr>
        <w:tblLayout w:type="fixed"/>
        <w:tblInd w:w="980" w:type="dxa"/>
        <w:tblCellMar>
          <w:top w:w="0" w:type="dxa"/>
          <w:left w:w="0" w:type="dxa"/>
          <w:bottom w:w="0" w:type="dxa"/>
          <w:right w:w="0" w:type="dxa"/>
        </w:tblCellMar>
      </w:tblPr>
      <w:tr>
        <w:trPr>
          <w:trHeight w:val="187"/>
        </w:trPr>
        <w:tc>
          <w:tcPr>
            <w:tcW w:w="4860" w:type="dxa"/>
            <w:vAlign w:val="bottom"/>
            <w:vMerge w:val="restart"/>
          </w:tcPr>
          <w:p>
            <w:pPr>
              <w:ind w:left="2420"/>
              <w:spacing w:after="0"/>
              <w:rPr>
                <w:sz w:val="20"/>
                <w:szCs w:val="20"/>
                <w:color w:val="auto"/>
              </w:rPr>
            </w:pPr>
            <w:r>
              <w:rPr>
                <w:rFonts w:ascii="PMingLiU" w:cs="PMingLiU" w:eastAsia="PMingLiU" w:hAnsi="PMingLiU"/>
                <w:sz w:val="16"/>
                <w:szCs w:val="16"/>
                <w:color w:val="auto"/>
              </w:rPr>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5"/>
          </w:tcPr>
          <w:p>
            <w:pPr>
              <w:jc w:val="center"/>
              <w:ind w:left="19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right w:val="single" w:sz="8" w:color="auto"/>
            </w:tcBorders>
            <w:gridSpan w:val="2"/>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w w:val="98"/>
              </w:rPr>
              <w:t>January 1</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DDDDDD"/>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Borders>
              <w:bottom w:val="single" w:sz="8" w:color="DDDDDD"/>
              <w:right w:val="single" w:sz="8" w:color="auto"/>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 July 30</w:t>
            </w:r>
          </w:p>
        </w:tc>
        <w:tc>
          <w:tcPr>
            <w:tcW w:w="0" w:type="dxa"/>
            <w:vAlign w:val="bottom"/>
          </w:tcPr>
          <w:p>
            <w:pPr>
              <w:spacing w:after="0"/>
              <w:rPr>
                <w:sz w:val="1"/>
                <w:szCs w:val="1"/>
                <w:color w:val="auto"/>
              </w:rPr>
            </w:pPr>
          </w:p>
        </w:tc>
      </w:tr>
      <w:tr>
        <w:trPr>
          <w:trHeight w:val="220"/>
        </w:trPr>
        <w:tc>
          <w:tcPr>
            <w:tcW w:w="486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at beginning of year</w:t>
            </w:r>
          </w:p>
        </w:tc>
        <w:tc>
          <w:tcPr>
            <w:tcW w:w="1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521</w:t>
            </w:r>
          </w:p>
        </w:tc>
        <w:tc>
          <w:tcPr>
            <w:tcW w:w="260" w:type="dxa"/>
            <w:vAlign w:val="bottom"/>
            <w:gridSpan w:val="3"/>
            <w:shd w:val="clear" w:color="auto" w:fill="DDDDDD"/>
          </w:tcPr>
          <w:p>
            <w:pPr>
              <w:ind w:left="14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521</w:t>
            </w:r>
          </w:p>
        </w:tc>
        <w:tc>
          <w:tcPr>
            <w:tcW w:w="140" w:type="dxa"/>
            <w:vAlign w:val="bottom"/>
            <w:tcBorders>
              <w:right w:val="single" w:sz="8" w:color="auto"/>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DDDDDD"/>
          </w:tcPr>
          <w:p>
            <w:pPr>
              <w:ind w:lef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DDDDDD"/>
            </w:tcBorders>
          </w:tcPr>
          <w:p>
            <w:pPr>
              <w:ind w:left="120"/>
              <w:spacing w:after="0"/>
              <w:rPr>
                <w:sz w:val="20"/>
                <w:szCs w:val="20"/>
                <w:color w:val="auto"/>
              </w:rPr>
            </w:pPr>
            <w:r>
              <w:rPr>
                <w:rFonts w:ascii="Times New Roman" w:cs="Times New Roman" w:eastAsia="Times New Roman" w:hAnsi="Times New Roman"/>
                <w:sz w:val="20"/>
                <w:szCs w:val="20"/>
                <w:color w:val="auto"/>
              </w:rPr>
              <w:t>Gross increases – tax positions during the year</w:t>
            </w:r>
          </w:p>
        </w:tc>
        <w:tc>
          <w:tcPr>
            <w:tcW w:w="12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DDDDD"/>
              <w:right w:val="single" w:sz="8" w:color="auto"/>
            </w:tcBorders>
          </w:tcPr>
          <w:p>
            <w:pPr>
              <w:spacing w:after="0"/>
              <w:rPr>
                <w:sz w:val="20"/>
                <w:szCs w:val="20"/>
                <w:color w:val="auto"/>
              </w:rPr>
            </w:pPr>
          </w:p>
        </w:tc>
        <w:tc>
          <w:tcPr>
            <w:tcW w:w="12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Balance at end of year</w:t>
            </w:r>
          </w:p>
        </w:tc>
        <w:tc>
          <w:tcPr>
            <w:tcW w:w="120" w:type="dxa"/>
            <w:vAlign w:val="bottom"/>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521</w:t>
            </w:r>
          </w:p>
        </w:tc>
        <w:tc>
          <w:tcPr>
            <w:tcW w:w="120" w:type="dxa"/>
            <w:vAlign w:val="bottom"/>
            <w:shd w:val="clear" w:color="auto" w:fill="DDDDDD"/>
          </w:tcPr>
          <w:p>
            <w:pPr>
              <w:spacing w:after="0"/>
              <w:rPr>
                <w:sz w:val="19"/>
                <w:szCs w:val="19"/>
                <w:color w:val="auto"/>
              </w:rPr>
            </w:pPr>
          </w:p>
        </w:tc>
        <w:tc>
          <w:tcPr>
            <w:tcW w:w="140" w:type="dxa"/>
            <w:vAlign w:val="bottom"/>
            <w:tcBorders>
              <w:bottom w:val="single" w:sz="8" w:color="auto"/>
            </w:tcBorders>
            <w:gridSpan w:val="2"/>
            <w:shd w:val="clear" w:color="auto" w:fill="DDDDDD"/>
          </w:tcPr>
          <w:p>
            <w:pPr>
              <w:ind w:left="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auto"/>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521</w:t>
            </w:r>
          </w:p>
        </w:tc>
        <w:tc>
          <w:tcPr>
            <w:tcW w:w="140" w:type="dxa"/>
            <w:vAlign w:val="bottom"/>
            <w:tcBorders>
              <w:right w:val="single" w:sz="8" w:color="auto"/>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DDDDDD"/>
          </w:tcPr>
          <w:p>
            <w:pPr>
              <w:ind w:lef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has unrecognized tax benefits of $0.5 million of which $0.5 million will affect the effective tax rate if recognized when the Company no longer has a valuation allowance offsetting its deferred tax assets.</w:t>
      </w:r>
    </w:p>
    <w:p>
      <w:pPr>
        <w:spacing w:after="0" w:line="89"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 does not anticipate that there will be a significant change in unrecognized tax benefits over the next 12 months.</w:t>
      </w:r>
    </w:p>
    <w:p>
      <w:pPr>
        <w:spacing w:after="0" w:line="70" w:lineRule="exact"/>
        <w:rPr>
          <w:sz w:val="20"/>
          <w:szCs w:val="20"/>
          <w:color w:val="auto"/>
        </w:rPr>
      </w:pPr>
    </w:p>
    <w:p>
      <w:pPr>
        <w:jc w:val="both"/>
        <w:ind w:right="20" w:firstLine="360"/>
        <w:spacing w:after="0" w:line="265" w:lineRule="auto"/>
        <w:rPr>
          <w:sz w:val="20"/>
          <w:szCs w:val="20"/>
          <w:color w:val="auto"/>
        </w:rPr>
      </w:pPr>
      <w:r>
        <w:rPr>
          <w:rFonts w:ascii="Times New Roman" w:cs="Times New Roman" w:eastAsia="Times New Roman" w:hAnsi="Times New Roman"/>
          <w:sz w:val="19"/>
          <w:szCs w:val="19"/>
          <w:color w:val="auto"/>
        </w:rPr>
        <w:t>The Company is subject to tax in U.S. federal and various state jurisdictions as well as German tax jurisdictions. Since the Company formed in 2011, all filed tax returns are subject to examination. Generally, the tax years remain open for examination by the federal statute under a three- year statute of limitation; however, states generally keep their statutes open between three and four years. However, the Company’s tax years from inception are subject to examination by the United States and various state taxing authorities due to the carry forward of unused NOLs and R&amp;D credits.</w:t>
      </w:r>
    </w:p>
    <w:p>
      <w:pPr>
        <w:spacing w:after="0" w:line="83"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Enacted in December 2017, the Tax Cuts and Jobs Act of 2017 (“TCJA”) amended Section 174 to require capitalization of all research and experimental (“R&amp;E”) costs incurred in tax years beginning after December 31, 2021.</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ectPr>
          <w:pgSz w:w="12240" w:h="15840" w:orient="portrait"/>
          <w:cols w:equalWidth="0" w:num="1">
            <w:col w:w="9720"/>
          </w:cols>
          <w:pgMar w:left="1260" w:top="1248" w:right="1260" w:bottom="719" w:gutter="0" w:footer="0" w:header="0"/>
          <w:type w:val="continuous"/>
        </w:sectPr>
      </w:pPr>
    </w:p>
    <w:bookmarkStart w:id="162" w:name="page163"/>
    <w:bookmarkEnd w:id="162"/>
    <w:p>
      <w:pPr>
        <w:jc w:val="both"/>
        <w:spacing w:after="0" w:line="252" w:lineRule="auto"/>
        <w:rPr>
          <w:sz w:val="20"/>
          <w:szCs w:val="20"/>
          <w:color w:val="auto"/>
        </w:rPr>
      </w:pPr>
      <w:r>
        <w:rPr>
          <w:rFonts w:ascii="Times New Roman" w:cs="Times New Roman" w:eastAsia="Times New Roman" w:hAnsi="Times New Roman"/>
          <w:sz w:val="20"/>
          <w:szCs w:val="20"/>
          <w:color w:val="auto"/>
        </w:rPr>
        <w:t>For tax years beginning on or after January 1, 2022, R&amp;E costs must be amortized over five years if the R&amp;E activities are performed in the U.S., or over 15 years if the activities are performed outside of the U.S., beginning with the midpoint of the tax year in which the costs were paid or incurred. During 2024, the Company capitalized $11.8 million of R&amp;E costs. The Company plans to refine the calculation for Section 174 and make an adjustment on the tax return.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Related Party Transactions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Shared Services Agreement</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2025 (Successor), and during the periods from January 1, 2024 to July 30, 2024 (Predecessor), and July 31, 2024 to December 31, 2024 (Successor), the Company incurred $0.4 million, $0.9 million, and $0.4 million, respectively, for finance and accounting services and other general and administrative support services (“Shared Services Agreement”) to Fjord Ventures (“Fjord”), a company owned and operated by the Company’s former CEO. The Shared Services Agreement was terminated on August 31, 2025. Effective September 1, 2025, the Company entered into a new shared services agreement with Fjord for human resources and payroll services. The transactions are recorded as selling, general and administrative expenses on the consolidated statements of operations and comprehensive loss.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Laguna Hills Sublease (Predecessor)</w:t>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 addition to the Shared Services Agreement, Legacy Adagio also sub -leased approximately 4,992 square feet of office and manufacturing space in Laguna Hills, California from Fjord. On March 31, 2024, the sub-lease with Fjord expired.</w:t>
      </w:r>
    </w:p>
    <w:p>
      <w:pPr>
        <w:spacing w:after="0" w:line="17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During the period from January 1, 2024 to July 30, 2024 (Predecessor), Legacy Adagio incurred $25.5 thousand of lease expense under the sub-lease agreement.</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Note 11 - Operating Leases</w:t>
      </w:r>
      <w:r>
        <w:rPr>
          <w:rFonts w:ascii="Times New Roman" w:cs="Times New Roman" w:eastAsia="Times New Roman" w:hAnsi="Times New Roman"/>
          <w:sz w:val="20"/>
          <w:szCs w:val="20"/>
          <w:color w:val="auto"/>
        </w:rPr>
        <w:t xml:space="preserve"> for further detail.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October 2022 Convertible Notes (Predecessor)</w:t>
      </w:r>
    </w:p>
    <w:p>
      <w:pPr>
        <w:spacing w:after="0" w:line="23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 xml:space="preserve">On October 27, 2022, Legacy Adagio issued a $0.5 million convertible promissory note to Fjordinvest, LLC (“Fjordinvest”), a company owned and operated by the Legacy Adagio’s Chief Executive Officer, Olav Bergheim. On April 4, 2023, November 28, 2023, and February 13, 2024, the October 2022 Convertible Notes were amended.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additional information regarding the October 2022 Convertible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Securities Notes (Successor)</w:t>
      </w:r>
    </w:p>
    <w:p>
      <w:pPr>
        <w:spacing w:after="0" w:line="231" w:lineRule="exact"/>
        <w:rPr>
          <w:sz w:val="20"/>
          <w:szCs w:val="20"/>
          <w:color w:val="auto"/>
        </w:rPr>
      </w:pPr>
    </w:p>
    <w:p>
      <w:pPr>
        <w:jc w:val="both"/>
        <w:ind w:right="20" w:firstLine="360"/>
        <w:spacing w:after="0" w:line="251" w:lineRule="auto"/>
        <w:rPr>
          <w:sz w:val="20"/>
          <w:szCs w:val="20"/>
          <w:color w:val="auto"/>
        </w:rPr>
      </w:pPr>
      <w:r>
        <w:rPr>
          <w:rFonts w:ascii="Times New Roman" w:cs="Times New Roman" w:eastAsia="Times New Roman" w:hAnsi="Times New Roman"/>
          <w:sz w:val="20"/>
          <w:szCs w:val="20"/>
          <w:color w:val="auto"/>
        </w:rPr>
        <w:t xml:space="preserve">In connection with the Business Combination and the Convertible Securities Notes agreement, the Company issued a $7.0 million Convertible Securities Notes to Perceptive PIPE Investor, the controlling party of the Company, in exchange for Perceptive PIPE Investor’s investment in Legacy Adagio in the form of the February 2024 Convertible Notes.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additional information regarding the Convertible Securities Notes.</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ectPr>
          <w:pgSz w:w="12240" w:h="15840" w:orient="portrait"/>
          <w:cols w:equalWidth="0" w:num="1">
            <w:col w:w="9720"/>
          </w:cols>
          <w:pgMar w:left="1260" w:top="1248" w:right="1260" w:bottom="719"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b w:val="1"/>
          <w:bCs w:val="1"/>
          <w:i w:val="1"/>
          <w:iCs w:val="1"/>
          <w:color w:val="auto"/>
        </w:rPr>
        <w:t>2024 PIPE Financing (Successor)</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 xml:space="preserve">In connection with the Business Combination and the 2024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 w:cs="Times New Roman" w:eastAsia="Times New Roman" w:hAnsi="Times New Roman"/>
          <w:sz w:val="20"/>
          <w:szCs w:val="20"/>
          <w:i w:val="1"/>
          <w:iCs w:val="1"/>
          <w:color w:val="auto"/>
        </w:rPr>
        <w:t>Note 9 - Debt</w:t>
      </w:r>
      <w:r>
        <w:rPr>
          <w:rFonts w:ascii="Times New Roman" w:cs="Times New Roman" w:eastAsia="Times New Roman" w:hAnsi="Times New Roman"/>
          <w:sz w:val="20"/>
          <w:szCs w:val="20"/>
          <w:color w:val="auto"/>
        </w:rPr>
        <w:t xml:space="preserve"> for additional information regarding the Convertible Securities Notes.</w:t>
      </w:r>
    </w:p>
    <w:p>
      <w:pPr>
        <w:spacing w:after="0" w:line="18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Further, in connection with the 2024 PIPE Financing, the Company issued 2,250,352 shares of the Company’s common stock and 1,905,069 Base Warrants to Perceptive PIPE Investor, the controlling party of the Company, in exchange for Perceptive PIPE Investor’s additional cash investment of $15.9 million in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PIPE Financing (Successor)</w:t>
      </w:r>
    </w:p>
    <w:p>
      <w:pPr>
        <w:spacing w:after="0" w:line="22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 connection with the 2025 PIPE Financing, the Company issued 2,190,496 2025 PIPE Pre-Funded Warrants and Milestone Warrants for an aggregate purchase price of $4,250,000 to Perceptive PIPE Investor, the controlling party of the Company.</w:t>
      </w:r>
    </w:p>
    <w:p>
      <w:pPr>
        <w:sectPr>
          <w:pgSz w:w="12240" w:h="15840" w:orient="portrait"/>
          <w:cols w:equalWidth="0" w:num="1">
            <w:col w:w="9720"/>
          </w:cols>
          <w:pgMar w:left="1260" w:top="1248"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2240" w:h="15840" w:orient="portrait"/>
          <w:cols w:equalWidth="0" w:num="1">
            <w:col w:w="9720"/>
          </w:cols>
          <w:pgMar w:left="1260" w:top="1248" w:right="1260" w:bottom="719"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b w:val="1"/>
          <w:bCs w:val="1"/>
          <w:color w:val="auto"/>
        </w:rPr>
        <w:t>Note 18 – Segment Reporting</w:t>
      </w:r>
    </w:p>
    <w:p>
      <w:pPr>
        <w:spacing w:after="0" w:line="245"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Company has one reportable segment managed on a consolidated basis by the Chief Executive Officer (CEO), who is the chief operating decision maker (“CODM”) . In identifying one reportable segment, the Company considered the basis of organization for the design and development and commercialization of ablation technologies for the treatment of cardiac arrhythmias.</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no other expense categories regularly provided to the CODM that are not already included in the consolidated statements of operations and comprehensive loss. The measure of segment assets is reported on the consolidated balance sheet as total consolidated assets.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Summary of segment net loss, including significant segment expenses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196"/>
        </w:trPr>
        <w:tc>
          <w:tcPr>
            <w:tcW w:w="4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8"/>
        </w:trPr>
        <w:tc>
          <w:tcPr>
            <w:tcW w:w="4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54"/>
        </w:trPr>
        <w:tc>
          <w:tcPr>
            <w:tcW w:w="4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64"/>
              <w:spacing w:after="0" w:line="154" w:lineRule="exact"/>
              <w:rPr>
                <w:sz w:val="20"/>
                <w:szCs w:val="20"/>
                <w:color w:val="auto"/>
              </w:rPr>
            </w:pPr>
            <w:r>
              <w:rPr>
                <w:rFonts w:ascii="Times New Roman" w:cs="Times New Roman" w:eastAsia="Times New Roman" w:hAnsi="Times New Roman"/>
                <w:sz w:val="16"/>
                <w:szCs w:val="16"/>
                <w:b w:val="1"/>
                <w:bCs w:val="1"/>
                <w:color w:val="auto"/>
                <w:w w:val="98"/>
              </w:rPr>
              <w:t>July 31 to</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January 1 to</w:t>
            </w:r>
          </w:p>
        </w:tc>
      </w:tr>
      <w:tr>
        <w:trPr>
          <w:trHeight w:val="203"/>
        </w:trPr>
        <w:tc>
          <w:tcPr>
            <w:tcW w:w="4500" w:type="dxa"/>
            <w:vAlign w:val="bottom"/>
            <w:tcBorders>
              <w:bottom w:val="single" w:sz="8" w:color="DDDDDD"/>
            </w:tcBorders>
          </w:tcPr>
          <w:p>
            <w:pPr>
              <w:spacing w:after="0"/>
              <w:rPr>
                <w:sz w:val="17"/>
                <w:szCs w:val="17"/>
                <w:color w:val="auto"/>
              </w:rPr>
            </w:pPr>
          </w:p>
        </w:tc>
        <w:tc>
          <w:tcPr>
            <w:tcW w:w="166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DDDDDD"/>
              <w:right w:val="single" w:sz="8" w:color="auto"/>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July 30</w:t>
            </w:r>
          </w:p>
        </w:tc>
      </w:tr>
      <w:tr>
        <w:trPr>
          <w:trHeight w:val="220"/>
        </w:trPr>
        <w:tc>
          <w:tcPr>
            <w:tcW w:w="450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1800" w:type="dxa"/>
            <w:vAlign w:val="bottom"/>
            <w:gridSpan w:val="2"/>
            <w:shd w:val="clear" w:color="auto" w:fill="DDDDDD"/>
          </w:tcPr>
          <w:p>
            <w:pPr>
              <w:ind w:left="17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right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DDDDD"/>
          </w:tcPr>
          <w:p>
            <w:pPr>
              <w:spacing w:after="0"/>
              <w:rPr>
                <w:sz w:val="19"/>
                <w:szCs w:val="19"/>
                <w:color w:val="auto"/>
              </w:rPr>
            </w:pPr>
          </w:p>
        </w:tc>
        <w:tc>
          <w:tcPr>
            <w:tcW w:w="160" w:type="dxa"/>
            <w:vAlign w:val="bottom"/>
            <w:shd w:val="clear" w:color="auto" w:fill="DDDDDD"/>
          </w:tcPr>
          <w:p>
            <w:pPr>
              <w:ind w:lef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269</w:t>
            </w:r>
          </w:p>
        </w:tc>
        <w:tc>
          <w:tcPr>
            <w:tcW w:w="240" w:type="dxa"/>
            <w:vAlign w:val="bottom"/>
            <w:tcBorders>
              <w:right w:val="single" w:sz="8" w:color="auto"/>
            </w:tcBorders>
            <w:shd w:val="clear" w:color="auto" w:fill="DDDDDD"/>
          </w:tcPr>
          <w:p>
            <w:pPr>
              <w:spacing w:after="0"/>
              <w:rPr>
                <w:sz w:val="19"/>
                <w:szCs w:val="19"/>
                <w:color w:val="auto"/>
              </w:rPr>
            </w:pPr>
          </w:p>
        </w:tc>
        <w:tc>
          <w:tcPr>
            <w:tcW w:w="280" w:type="dxa"/>
            <w:vAlign w:val="bottom"/>
            <w:gridSpan w:val="2"/>
            <w:shd w:val="clear" w:color="auto" w:fill="DDDDDD"/>
          </w:tcPr>
          <w:p>
            <w:pPr>
              <w:ind w:left="1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333</w:t>
            </w: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450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20"/>
                <w:szCs w:val="20"/>
                <w:color w:val="auto"/>
              </w:rPr>
              <w:t>Cost of revenue</w:t>
            </w:r>
          </w:p>
        </w:tc>
        <w:tc>
          <w:tcPr>
            <w:tcW w:w="1660" w:type="dxa"/>
            <w:vAlign w:val="bottom"/>
            <w:tcBorders>
              <w:right w:val="single" w:sz="8" w:color="DDDDDD"/>
            </w:tcBorders>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40" w:type="dxa"/>
            <w:vAlign w:val="bottom"/>
            <w:tcBorders>
              <w:righ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2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1,937</w:t>
            </w:r>
          </w:p>
        </w:tc>
        <w:tc>
          <w:tcPr>
            <w:tcW w:w="240" w:type="dxa"/>
            <w:vAlign w:val="bottom"/>
            <w:tcBorders>
              <w:right w:val="single" w:sz="8" w:color="auto"/>
            </w:tcBorders>
            <w:shd w:val="clear" w:color="auto" w:fill="DDDDDD"/>
          </w:tcPr>
          <w:p>
            <w:pPr>
              <w:spacing w:after="0"/>
              <w:rPr>
                <w:sz w:val="20"/>
                <w:szCs w:val="20"/>
                <w:color w:val="auto"/>
              </w:rPr>
            </w:pPr>
          </w:p>
        </w:tc>
        <w:tc>
          <w:tcPr>
            <w:tcW w:w="140" w:type="dxa"/>
            <w:vAlign w:val="bottom"/>
            <w:tcBorders>
              <w:right w:val="single" w:sz="8" w:color="DDDDDD"/>
            </w:tcBorders>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1,381</w:t>
            </w:r>
          </w:p>
        </w:tc>
      </w:tr>
      <w:tr>
        <w:trPr>
          <w:trHeight w:val="245"/>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60" w:type="dxa"/>
            <w:vAlign w:val="bottom"/>
          </w:tcPr>
          <w:p>
            <w:pPr>
              <w:ind w:left="1420"/>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10,639</w:t>
            </w:r>
          </w:p>
        </w:tc>
        <w:tc>
          <w:tcPr>
            <w:tcW w:w="220" w:type="dxa"/>
            <w:vAlign w:val="bottom"/>
          </w:tcPr>
          <w:p>
            <w:pPr>
              <w:jc w:val="right"/>
              <w:ind w:right="80"/>
              <w:spacing w:after="0"/>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4,634</w:t>
            </w:r>
          </w:p>
        </w:tc>
        <w:tc>
          <w:tcPr>
            <w:tcW w:w="2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7,585</w:t>
            </w:r>
          </w:p>
        </w:tc>
      </w:tr>
      <w:tr>
        <w:trPr>
          <w:trHeight w:val="242"/>
        </w:trPr>
        <w:tc>
          <w:tcPr>
            <w:tcW w:w="450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660" w:type="dxa"/>
            <w:vAlign w:val="bottom"/>
            <w:tcBorders>
              <w:right w:val="single" w:sz="8" w:color="DDDDDD"/>
            </w:tcBorders>
            <w:shd w:val="clear" w:color="auto" w:fill="DDDDDD"/>
          </w:tcPr>
          <w:p>
            <w:pPr>
              <w:ind w:left="1420"/>
              <w:spacing w:after="0"/>
              <w:rPr>
                <w:sz w:val="20"/>
                <w:szCs w:val="20"/>
                <w:color w:val="auto"/>
              </w:rPr>
            </w:pPr>
            <w:r>
              <w:rPr>
                <w:rFonts w:ascii="PMingLiU" w:cs="PMingLiU" w:eastAsia="PMingLiU" w:hAnsi="PMingLiU"/>
                <w:sz w:val="20"/>
                <w:szCs w:val="20"/>
                <w:color w:val="auto"/>
              </w:rPr>
              <w:t/>
            </w:r>
          </w:p>
        </w:tc>
        <w:tc>
          <w:tcPr>
            <w:tcW w:w="140" w:type="dxa"/>
            <w:vAlign w:val="bottom"/>
            <w:shd w:val="clear" w:color="auto" w:fill="DDDDDD"/>
          </w:tcPr>
          <w:p>
            <w:pPr>
              <w:spacing w:after="0"/>
              <w:rPr>
                <w:sz w:val="21"/>
                <w:szCs w:val="21"/>
                <w:color w:val="auto"/>
              </w:rPr>
            </w:pPr>
          </w:p>
        </w:tc>
        <w:tc>
          <w:tcPr>
            <w:tcW w:w="840" w:type="dxa"/>
            <w:vAlign w:val="bottom"/>
            <w:tcBorders>
              <w:righ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10,567</w:t>
            </w:r>
          </w:p>
        </w:tc>
        <w:tc>
          <w:tcPr>
            <w:tcW w:w="220" w:type="dxa"/>
            <w:vAlign w:val="bottom"/>
            <w:shd w:val="clear" w:color="auto" w:fill="DDDDDD"/>
          </w:tcPr>
          <w:p>
            <w:pPr>
              <w:jc w:val="right"/>
              <w:ind w:right="80"/>
              <w:spacing w:after="0"/>
              <w:rPr>
                <w:sz w:val="20"/>
                <w:szCs w:val="20"/>
                <w:color w:val="auto"/>
              </w:rPr>
            </w:pPr>
            <w:r>
              <w:rPr>
                <w:rFonts w:ascii="PMingLiU" w:cs="PMingLiU" w:eastAsia="PMingLiU" w:hAnsi="PMingLiU"/>
                <w:sz w:val="20"/>
                <w:szCs w:val="20"/>
                <w:color w:val="auto"/>
              </w:rPr>
              <w:t/>
            </w:r>
          </w:p>
        </w:tc>
        <w:tc>
          <w:tcPr>
            <w:tcW w:w="16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6,976</w:t>
            </w:r>
          </w:p>
        </w:tc>
        <w:tc>
          <w:tcPr>
            <w:tcW w:w="240" w:type="dxa"/>
            <w:vAlign w:val="bottom"/>
            <w:tcBorders>
              <w:right w:val="single" w:sz="8" w:color="auto"/>
            </w:tcBorders>
            <w:shd w:val="clear" w:color="auto" w:fill="DDDDDD"/>
          </w:tcPr>
          <w:p>
            <w:pPr>
              <w:spacing w:after="0"/>
              <w:rPr>
                <w:sz w:val="21"/>
                <w:szCs w:val="21"/>
                <w:color w:val="auto"/>
              </w:rPr>
            </w:pPr>
          </w:p>
        </w:tc>
        <w:tc>
          <w:tcPr>
            <w:tcW w:w="140" w:type="dxa"/>
            <w:vAlign w:val="bottom"/>
            <w:tcBorders>
              <w:right w:val="single" w:sz="8" w:color="DDDDDD"/>
            </w:tcBorders>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13,047</w:t>
            </w:r>
          </w:p>
        </w:tc>
      </w:tr>
      <w:tr>
        <w:trPr>
          <w:trHeight w:val="245"/>
        </w:trPr>
        <w:tc>
          <w:tcPr>
            <w:tcW w:w="4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Impairment - Goodwill</w:t>
            </w:r>
          </w:p>
        </w:tc>
        <w:tc>
          <w:tcPr>
            <w:tcW w:w="1660" w:type="dxa"/>
            <w:vAlign w:val="bottom"/>
          </w:tcPr>
          <w:p>
            <w:pPr>
              <w:ind w:left="1420"/>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30,324</w:t>
            </w:r>
          </w:p>
        </w:tc>
        <w:tc>
          <w:tcPr>
            <w:tcW w:w="2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450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20"/>
                <w:szCs w:val="20"/>
                <w:color w:val="auto"/>
              </w:rPr>
              <w:t>Impairment - Intangible assets, net</w:t>
            </w:r>
          </w:p>
        </w:tc>
        <w:tc>
          <w:tcPr>
            <w:tcW w:w="1660" w:type="dxa"/>
            <w:vAlign w:val="bottom"/>
            <w:tcBorders>
              <w:right w:val="single" w:sz="8" w:color="DDDDDD"/>
            </w:tcBorders>
            <w:shd w:val="clear" w:color="auto" w:fill="DDDDDD"/>
          </w:tcPr>
          <w:p>
            <w:pPr>
              <w:ind w:left="1420"/>
              <w:spacing w:after="0"/>
              <w:rPr>
                <w:sz w:val="20"/>
                <w:szCs w:val="20"/>
                <w:color w:val="auto"/>
              </w:rPr>
            </w:pPr>
            <w:r>
              <w:rPr>
                <w:rFonts w:ascii="PMingLiU" w:cs="PMingLiU" w:eastAsia="PMingLiU" w:hAnsi="PMingLiU"/>
                <w:sz w:val="20"/>
                <w:szCs w:val="20"/>
                <w:color w:val="auto"/>
              </w:rPr>
              <w:t/>
            </w:r>
          </w:p>
        </w:tc>
        <w:tc>
          <w:tcPr>
            <w:tcW w:w="140" w:type="dxa"/>
            <w:vAlign w:val="bottom"/>
            <w:shd w:val="clear" w:color="auto" w:fill="DDDDDD"/>
          </w:tcPr>
          <w:p>
            <w:pPr>
              <w:spacing w:after="0"/>
              <w:rPr>
                <w:sz w:val="21"/>
                <w:szCs w:val="21"/>
                <w:color w:val="auto"/>
              </w:rPr>
            </w:pPr>
          </w:p>
        </w:tc>
        <w:tc>
          <w:tcPr>
            <w:tcW w:w="106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 </w:t>
            </w:r>
            <w:r>
              <w:rPr>
                <w:rFonts w:ascii="PMingLiU" w:cs="PMingLiU" w:eastAsia="PMingLiU" w:hAnsi="PMingLiU"/>
                <w:sz w:val="20"/>
                <w:szCs w:val="20"/>
                <w:color w:val="auto"/>
              </w:rPr>
              <w:t/>
            </w:r>
          </w:p>
        </w:tc>
        <w:tc>
          <w:tcPr>
            <w:tcW w:w="16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18,878</w:t>
            </w:r>
          </w:p>
        </w:tc>
        <w:tc>
          <w:tcPr>
            <w:tcW w:w="240" w:type="dxa"/>
            <w:vAlign w:val="bottom"/>
            <w:tcBorders>
              <w:right w:val="single" w:sz="8" w:color="auto"/>
            </w:tcBorders>
            <w:shd w:val="clear" w:color="auto" w:fill="DDDDDD"/>
          </w:tcPr>
          <w:p>
            <w:pPr>
              <w:spacing w:after="0"/>
              <w:rPr>
                <w:sz w:val="21"/>
                <w:szCs w:val="21"/>
                <w:color w:val="auto"/>
              </w:rPr>
            </w:pPr>
          </w:p>
        </w:tc>
        <w:tc>
          <w:tcPr>
            <w:tcW w:w="140" w:type="dxa"/>
            <w:vAlign w:val="bottom"/>
            <w:tcBorders>
              <w:right w:val="single" w:sz="8" w:color="DDDDDD"/>
            </w:tcBorders>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1660" w:type="dxa"/>
            <w:vAlign w:val="bottom"/>
          </w:tcPr>
          <w:p>
            <w:pPr>
              <w:ind w:left="1420"/>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(3,194)</w:t>
            </w: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8,717</w:t>
            </w:r>
          </w:p>
        </w:tc>
        <w:tc>
          <w:tcPr>
            <w:tcW w:w="2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r>
      <w:tr>
        <w:trPr>
          <w:trHeight w:val="20"/>
        </w:trPr>
        <w:tc>
          <w:tcPr>
            <w:tcW w:w="4500" w:type="dxa"/>
            <w:vAlign w:val="bottom"/>
            <w:shd w:val="clear" w:color="auto" w:fill="DDDDDD"/>
          </w:tcPr>
          <w:p>
            <w:pPr>
              <w:spacing w:after="0" w:line="20" w:lineRule="exact"/>
              <w:rPr>
                <w:sz w:val="1"/>
                <w:szCs w:val="1"/>
                <w:color w:val="auto"/>
              </w:rPr>
            </w:pPr>
          </w:p>
        </w:tc>
        <w:tc>
          <w:tcPr>
            <w:tcW w:w="1660" w:type="dxa"/>
            <w:vAlign w:val="bottom"/>
            <w:tcBorders>
              <w:right w:val="single" w:sz="8" w:color="DDDDDD"/>
            </w:tcBorders>
            <w:shd w:val="clear" w:color="auto" w:fill="DDDDDD"/>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DDDDDD"/>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DDDDDD"/>
          </w:tcPr>
          <w:p>
            <w:pPr>
              <w:spacing w:after="0" w:line="20" w:lineRule="exact"/>
              <w:rPr>
                <w:sz w:val="1"/>
                <w:szCs w:val="1"/>
                <w:color w:val="auto"/>
              </w:rPr>
            </w:pPr>
          </w:p>
        </w:tc>
        <w:tc>
          <w:tcPr>
            <w:tcW w:w="140" w:type="dxa"/>
            <w:vAlign w:val="bottom"/>
            <w:tcBorders>
              <w:right w:val="single" w:sz="8" w:color="DDDDDD"/>
            </w:tcBorders>
            <w:shd w:val="clear" w:color="auto" w:fill="DDDDDD"/>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36"/>
        </w:trPr>
        <w:tc>
          <w:tcPr>
            <w:tcW w:w="45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loss</w:t>
            </w:r>
          </w:p>
        </w:tc>
        <w:tc>
          <w:tcPr>
            <w:tcW w:w="1800" w:type="dxa"/>
            <w:vAlign w:val="bottom"/>
            <w:gridSpan w:val="2"/>
            <w:shd w:val="clear" w:color="auto" w:fill="DDDDDD"/>
          </w:tcPr>
          <w:p>
            <w:pPr>
              <w:ind w:left="1420"/>
              <w:spacing w:after="0"/>
              <w:rPr>
                <w:sz w:val="20"/>
                <w:szCs w:val="20"/>
                <w:color w:val="auto"/>
              </w:rPr>
            </w:pPr>
            <w:r>
              <w:rPr>
                <w:rFonts w:ascii="PMingLiU" w:cs="PMingLiU" w:eastAsia="PMingLiU" w:hAnsi="PMingLiU"/>
                <w:sz w:val="20"/>
                <w:szCs w:val="20"/>
                <w:color w:val="auto"/>
                <w:w w:val="99"/>
              </w:rPr>
              <w:t/>
            </w:r>
            <w:r>
              <w:rPr>
                <w:rFonts w:ascii="Times New Roman" w:cs="Times New Roman" w:eastAsia="Times New Roman" w:hAnsi="Times New Roman"/>
                <w:sz w:val="20"/>
                <w:szCs w:val="20"/>
                <w:color w:val="auto"/>
                <w:w w:val="99"/>
              </w:rPr>
              <w:t>$</w:t>
            </w:r>
          </w:p>
        </w:tc>
        <w:tc>
          <w:tcPr>
            <w:tcW w:w="1060" w:type="dxa"/>
            <w:vAlign w:val="bottom"/>
            <w:gridSpan w:val="2"/>
            <w:shd w:val="clear" w:color="auto" w:fill="DDDDDD"/>
          </w:tcPr>
          <w:p>
            <w:pPr>
              <w:jc w:val="right"/>
              <w:ind w:right="80"/>
              <w:spacing w:after="0" w:line="236" w:lineRule="exact"/>
              <w:rPr>
                <w:sz w:val="20"/>
                <w:szCs w:val="20"/>
                <w:color w:val="auto"/>
              </w:rPr>
            </w:pPr>
            <w:r>
              <w:rPr>
                <w:rFonts w:ascii="Times New Roman" w:cs="Times New Roman" w:eastAsia="Times New Roman" w:hAnsi="Times New Roman"/>
                <w:sz w:val="20"/>
                <w:szCs w:val="20"/>
                <w:color w:val="auto"/>
              </w:rPr>
              <w:t>(25,084)</w:t>
            </w:r>
            <w:r>
              <w:rPr>
                <w:rFonts w:ascii="PMingLiU" w:cs="PMingLiU" w:eastAsia="PMingLiU" w:hAnsi="PMingLiU"/>
                <w:sz w:val="20"/>
                <w:szCs w:val="20"/>
                <w:color w:val="auto"/>
              </w:rPr>
              <w:t/>
            </w:r>
          </w:p>
        </w:tc>
        <w:tc>
          <w:tcPr>
            <w:tcW w:w="1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(53,763)</w:t>
            </w:r>
          </w:p>
        </w:tc>
        <w:tc>
          <w:tcPr>
            <w:tcW w:w="240" w:type="dxa"/>
            <w:vAlign w:val="bottom"/>
            <w:tcBorders>
              <w:right w:val="single" w:sz="8" w:color="auto"/>
            </w:tcBorders>
            <w:shd w:val="clear" w:color="auto" w:fill="DDDDDD"/>
          </w:tcPr>
          <w:p>
            <w:pPr>
              <w:spacing w:after="0"/>
              <w:rPr>
                <w:sz w:val="20"/>
                <w:szCs w:val="20"/>
                <w:color w:val="auto"/>
              </w:rPr>
            </w:pPr>
          </w:p>
        </w:tc>
        <w:tc>
          <w:tcPr>
            <w:tcW w:w="280" w:type="dxa"/>
            <w:vAlign w:val="bottom"/>
            <w:gridSpan w:val="2"/>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(21,278)</w:t>
            </w:r>
          </w:p>
        </w:tc>
      </w:tr>
      <w:tr>
        <w:trPr>
          <w:trHeight w:val="30"/>
        </w:trPr>
        <w:tc>
          <w:tcPr>
            <w:tcW w:w="4500" w:type="dxa"/>
            <w:vAlign w:val="bottom"/>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 Subsequent Events</w:t>
      </w:r>
    </w:p>
    <w:p>
      <w:pPr>
        <w:spacing w:after="0" w:line="244" w:lineRule="exact"/>
        <w:rPr>
          <w:sz w:val="20"/>
          <w:szCs w:val="20"/>
          <w:color w:val="auto"/>
        </w:rPr>
      </w:pPr>
    </w:p>
    <w:p>
      <w:pPr>
        <w:jc w:val="both"/>
        <w:ind w:right="20" w:firstLine="360"/>
        <w:spacing w:after="0" w:line="257" w:lineRule="auto"/>
        <w:rPr>
          <w:sz w:val="20"/>
          <w:szCs w:val="20"/>
          <w:color w:val="auto"/>
        </w:rPr>
      </w:pPr>
      <w:r>
        <w:rPr>
          <w:rFonts w:ascii="Times New Roman" w:cs="Times New Roman" w:eastAsia="Times New Roman" w:hAnsi="Times New Roman"/>
          <w:sz w:val="20"/>
          <w:szCs w:val="20"/>
          <w:color w:val="auto"/>
        </w:rPr>
        <w:t>The Company has evaluated subsequent events occurring after the balance sheet date through the date these consolidated financial statements were issued and has determined that there were no subsequent events that required recognition or disclosure in the consolidated financial statements.</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2240" w:h="15840" w:orient="portrait"/>
          <w:cols w:equalWidth="0" w:num="1">
            <w:col w:w="9720"/>
          </w:cols>
          <w:pgMar w:left="1260" w:top="1244" w:right="1260" w:bottom="719"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9A.</w:t>
        <w:tab/>
        <w:t>Controls and Procedures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p>
    <w:p>
      <w:pPr>
        <w:spacing w:after="0" w:line="23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Disclosure controls and procedures are controls and other procedures that are designed to ensure that information required to be disclosed in our reports filed or submitted under the U.S.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Company’s reports filed or submitted under the Exchange Act is accumulated and communicated to management, including our Chief Executive Officer and Chief Financial Officer, to allow timely decisions regarding required disclosure.</w:t>
      </w:r>
    </w:p>
    <w:p>
      <w:pPr>
        <w:spacing w:after="0" w:line="20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detected all of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04" w:lineRule="exact"/>
        <w:rPr>
          <w:sz w:val="20"/>
          <w:szCs w:val="20"/>
          <w:color w:val="auto"/>
        </w:rPr>
      </w:pPr>
    </w:p>
    <w:p>
      <w:pPr>
        <w:jc w:val="both"/>
        <w:ind w:firstLine="451"/>
        <w:spacing w:after="0" w:line="249" w:lineRule="auto"/>
        <w:rPr>
          <w:sz w:val="20"/>
          <w:szCs w:val="20"/>
          <w:color w:val="auto"/>
        </w:rPr>
      </w:pPr>
      <w:r>
        <w:rPr>
          <w:rFonts w:ascii="Times New Roman" w:cs="Times New Roman" w:eastAsia="Times New Roman" w:hAnsi="Times New Roman"/>
          <w:sz w:val="20"/>
          <w:szCs w:val="20"/>
          <w:color w:val="auto"/>
        </w:rPr>
        <w:t>As required by Rules 13a-15 and 15d-15 under the Exchange Act, our Chief Executive Officer and Chief Financial Officer carried out an evaluation of the effectiveness the design and operation of our disclosure controls and procedures as of December 31, 2025 and prior to the filing of this Annual Report. Based on such evaluation, our Chief Executive Officer and Chief Financial Officer have concluded that, as of December 31, 2025,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Report on Internal Control Over Financial Reporting</w:t>
      </w:r>
    </w:p>
    <w:p>
      <w:pPr>
        <w:spacing w:after="0" w:line="238" w:lineRule="exact"/>
        <w:rPr>
          <w:sz w:val="20"/>
          <w:szCs w:val="20"/>
          <w:color w:val="auto"/>
        </w:rPr>
      </w:pPr>
    </w:p>
    <w:p>
      <w:pPr>
        <w:jc w:val="both"/>
        <w:ind w:firstLine="557"/>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of the Exchange Act. Under the supervision and with the participation of our Chief Executive Officer and Chief Financial Officer and oversight of the Board of Directors, we conducted an evaluation of the effectiveness of our internal control over financial reporting based on criteria established in the framework set forth in Internal Control-Integrated Framework (2013) issued by the Committee of Sponsoring Organizations of the Treadway Commission. Based on the results of its evaluation, management concluded that our internal control over financial reporting was effective as of December 31, 2025.</w:t>
      </w:r>
    </w:p>
    <w:p>
      <w:pPr>
        <w:spacing w:after="0" w:line="188" w:lineRule="exact"/>
        <w:rPr>
          <w:sz w:val="20"/>
          <w:szCs w:val="20"/>
          <w:color w:val="auto"/>
        </w:rPr>
      </w:pPr>
    </w:p>
    <w:p>
      <w:pPr>
        <w:jc w:val="both"/>
        <w:ind w:firstLine="451"/>
        <w:spacing w:after="0" w:line="247"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recognizes that disclosure internal controls over financial reporting,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238"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identified in management’s evaluation pursuant to Rules 13a-15(d) or 15d-15(d) of the Exchange Act during the period covered by this Report that materially affected, or are reasonably likely to materially affect, our internal control over financial reporting.</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ectPr>
          <w:pgSz w:w="12240" w:h="15840" w:orient="portrait"/>
          <w:cols w:equalWidth="0" w:num="1">
            <w:col w:w="9720"/>
          </w:cols>
          <w:pgMar w:left="1260" w:top="1244" w:right="1260" w:bottom="719" w:gutter="0" w:footer="0" w:header="0"/>
          <w:type w:val="continuous"/>
        </w:sectPr>
      </w:pPr>
    </w:p>
    <w:bookmarkStart w:id="166" w:name="page167"/>
    <w:bookmarkEnd w:id="166"/>
    <w:p>
      <w:pPr>
        <w:spacing w:after="0" w:line="3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20"/>
          <w:szCs w:val="20"/>
          <w:b w:val="1"/>
          <w:bCs w:val="1"/>
          <w:color w:val="auto"/>
        </w:rPr>
        <w:t>Other Information.</w:t>
      </w:r>
    </w:p>
    <w:p>
      <w:pPr>
        <w:spacing w:after="0" w:line="24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of the Company adopted or terminated a “Rule 10b5 -1 trading arrangement” or “non-Rule 10b5-1 trading arrangement,” as each term is defined in Item 408(a)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ectPr>
          <w:pgSz w:w="12240" w:h="15840" w:orient="portrait"/>
          <w:cols w:equalWidth="0" w:num="1">
            <w:col w:w="9720"/>
          </w:cols>
          <w:pgMar w:left="1260" w:top="1440" w:right="1260" w:bottom="719" w:gutter="0" w:footer="0" w:header="0"/>
        </w:sectPr>
      </w:pPr>
    </w:p>
    <w:bookmarkStart w:id="167" w:name="page168"/>
    <w:bookmarkEnd w:id="167"/>
    <w:p>
      <w:pPr>
        <w:ind w:left="44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The following documents are filed as a part of this report:</w:t>
      </w:r>
    </w:p>
    <w:p>
      <w:pPr>
        <w:spacing w:after="0" w:line="209" w:lineRule="exact"/>
        <w:rPr>
          <w:sz w:val="20"/>
          <w:szCs w:val="20"/>
          <w:color w:val="auto"/>
        </w:rPr>
      </w:pPr>
    </w:p>
    <w:p>
      <w:pPr>
        <w:ind w:left="860" w:right="20" w:firstLine="2"/>
        <w:spacing w:after="0" w:line="275" w:lineRule="auto"/>
        <w:tabs>
          <w:tab w:leader="none" w:pos="106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 Consolidated Financial Statements filed as part of this report are listed under Item 8. Financial Statements and Supplementary Data.</w:t>
      </w:r>
    </w:p>
    <w:p>
      <w:pPr>
        <w:spacing w:after="0" w:line="140" w:lineRule="exact"/>
        <w:rPr>
          <w:rFonts w:ascii="Times New Roman" w:cs="Times New Roman" w:eastAsia="Times New Roman" w:hAnsi="Times New Roman"/>
          <w:sz w:val="20"/>
          <w:szCs w:val="20"/>
          <w:color w:val="auto"/>
        </w:rPr>
      </w:pPr>
    </w:p>
    <w:p>
      <w:pPr>
        <w:ind w:left="1060" w:hanging="198"/>
        <w:spacing w:after="0"/>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 Not Applicable.</w:t>
      </w:r>
    </w:p>
    <w:p>
      <w:pPr>
        <w:spacing w:after="0" w:line="206" w:lineRule="exact"/>
        <w:rPr>
          <w:rFonts w:ascii="Times New Roman" w:cs="Times New Roman" w:eastAsia="Times New Roman" w:hAnsi="Times New Roman"/>
          <w:sz w:val="20"/>
          <w:szCs w:val="20"/>
          <w:color w:val="auto"/>
        </w:rPr>
      </w:pPr>
    </w:p>
    <w:p>
      <w:pPr>
        <w:ind w:left="1060" w:hanging="198"/>
        <w:spacing w:after="0"/>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 See Item 15(b) below.</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 Exhibits: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exhibits are filed as part of, or incorporated by reference into, this Annual Report on Form 10-K.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9"/>
                <w:szCs w:val="19"/>
                <w:b w:val="1"/>
                <w:bCs w:val="1"/>
                <w:color w:val="auto"/>
              </w:rPr>
              <w:t>No.</w:t>
            </w:r>
          </w:p>
        </w:tc>
        <w:tc>
          <w:tcPr>
            <w:tcW w:w="200" w:type="dxa"/>
            <w:vAlign w:val="bottom"/>
          </w:tcPr>
          <w:p>
            <w:pPr>
              <w:spacing w:after="0"/>
              <w:rPr>
                <w:sz w:val="21"/>
                <w:szCs w:val="21"/>
                <w:color w:val="auto"/>
              </w:rPr>
            </w:pPr>
          </w:p>
        </w:tc>
        <w:tc>
          <w:tcPr>
            <w:tcW w:w="850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9"/>
                <w:szCs w:val="19"/>
                <w:b w:val="1"/>
                <w:bCs w:val="1"/>
                <w:color w:val="auto"/>
              </w:rPr>
              <w:t>Description of Exhibit</w:t>
            </w:r>
          </w:p>
        </w:tc>
      </w:tr>
      <w:tr>
        <w:trPr>
          <w:trHeight w:val="407"/>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2.1</w:t>
            </w:r>
          </w:p>
        </w:tc>
        <w:tc>
          <w:tcPr>
            <w:tcW w:w="200" w:type="dxa"/>
            <w:vAlign w:val="bottom"/>
          </w:tcPr>
          <w:p>
            <w:pPr>
              <w:spacing w:after="0"/>
              <w:rPr>
                <w:sz w:val="24"/>
                <w:szCs w:val="24"/>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Business Combination Agreement, dated as 1of February 13, 2024, by and among Aja HoldCo, Inc., ARYA</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Sciences Acquisition Corp IV, Aja Merger Sub 1, Aja Merger Sub 2, Inc. and Adagio Medical, Inc.</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(incorporated by reference to Exhibit 2.1 to the Company’s Current Report on Form 8-K filed with the SEC on</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2.2</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Consent and Amendment No. 1 to the Business Combination Agreement, dated as of June 25, 2024, by and</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among ARYA Sciences Acquisition Corp IV and Adagio Medical, Inc. (incorporated by reference to Exhibit</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2.2 to the Company’s 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3.1</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Amended and Restated Certificate of Incorporation of the Company (incorporated by reference to Exhibit 3.1</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to the Company’s 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3.2</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Amended and Restated By-Laws of the Company (incorporated by reference to Exhibit 3.2 to the Company’s</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Base Warrant Agreement (incorporated by reference to Exhibit 4.1 to the Company’s Current Report</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on Form 8-K filed with the SEC on August 6, 2024).</w:t>
            </w:r>
          </w:p>
        </w:tc>
      </w:tr>
      <w:tr>
        <w:trPr>
          <w:trHeight w:val="219"/>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4.2</w:t>
            </w:r>
          </w:p>
        </w:tc>
        <w:tc>
          <w:tcPr>
            <w:tcW w:w="20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Pre-Funded Warrant Agreement (incorporated by reference to Exhibit 4.2 to the Company’s Current</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4.3</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Convertible Note (incorporated by reference to Exhibit 10.12 to the Company’s Current Report on</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8 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4.4</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Convert Warrant Agreement (incorporated by reference to Exhibit 4.3 to the Company’s Current</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4.5</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Specimen Common Stock Certificate of New Adagio (incorporated by reference to Exhibit 4.4 to the</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Company’s 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4.6</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Pre-Funded Warrant Agreement (incorporated by reference to Exhibit 4.1 to the Company’s Current</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Report on Form 8-K filed with the SEC on October 15, 2025).</w:t>
            </w:r>
          </w:p>
        </w:tc>
      </w:t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4.7</w:t>
            </w:r>
          </w:p>
        </w:tc>
        <w:tc>
          <w:tcPr>
            <w:tcW w:w="20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Milestone Warrant (incorporated by reference to Exhibit 4.2 to the Company’s Current Report on</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8-K filed with the SEC on October 15, 2025).</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Convertible Security Subscription Agreement (incorporated by reference to Exhibit 10.1 to the</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Company’s 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10.2</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Investor Rights Agreement, dated as of February 13, 2024, by and among ARYA, ListCo, the Perceptive PIPE</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Investor, the Sponsor and the other parties thereto (incorporated by reference to Exhibit 10.2 to the Company’s</w:t>
            </w:r>
          </w:p>
        </w:tc>
      </w:tr>
      <w:tr>
        <w:trPr>
          <w:trHeight w:val="219"/>
        </w:trPr>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10.3</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Sponsor Letter Agreement, dated February 13, 2024, by and between ARYA Sciences Acquisition Corp,</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ARYA Sciences Holdings IV, Todd Wider, Michael Henderson, Leslie Trigg, Joseph Edelman, Adam Stone,</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Michael Altman, Konstantin Poukalov and Adagio Medical, Inc. (incorporated by reference to Exhibit 10.3 to</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the Company’s 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New Adagio 2024 Equity Incentive Plan (incorporated by reference to Exhibit 10.5 to the Company’s</w:t>
            </w:r>
          </w:p>
        </w:tc>
      </w:tr>
      <w:tr>
        <w:trPr>
          <w:trHeight w:val="218"/>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10.5+</w:t>
            </w:r>
          </w:p>
        </w:tc>
        <w:tc>
          <w:tcPr>
            <w:tcW w:w="20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Form of New Adagio 2024 Key Employee Equity Incentive Plan (incorporated by reference to Exhibit 10.6 to</w:t>
            </w:r>
          </w:p>
        </w:tc>
      </w:tr>
      <w:tr>
        <w:trPr>
          <w:trHeight w:val="255"/>
        </w:trPr>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9"/>
                <w:szCs w:val="19"/>
                <w:color w:val="auto"/>
              </w:rPr>
              <w:t>the Company’s Current Report on Form 8-K filed with the SEC on August 6, 2024).</w:t>
            </w:r>
          </w:p>
        </w:tc>
      </w:tr>
    </w:tbl>
    <w:p>
      <w:pPr>
        <w:spacing w:after="0" w:line="200" w:lineRule="exact"/>
        <w:rPr>
          <w:sz w:val="20"/>
          <w:szCs w:val="20"/>
          <w:color w:val="auto"/>
        </w:rPr>
      </w:pPr>
    </w:p>
    <w:p>
      <w:pPr>
        <w:sectPr>
          <w:pgSz w:w="12240" w:h="15840" w:orient="portrait"/>
          <w:cols w:equalWidth="0" w:num="1">
            <w:col w:w="9720"/>
          </w:cols>
          <w:pgMar w:left="1260" w:top="1244" w:right="1260" w:bottom="719"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ectPr>
          <w:pgSz w:w="12240" w:h="15840" w:orient="portrait"/>
          <w:cols w:equalWidth="0" w:num="1">
            <w:col w:w="9720"/>
          </w:cols>
          <w:pgMar w:left="1260" w:top="1244" w:right="1260" w:bottom="719"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19"/>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10.6+</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New Adagio 2024 Employee Stock Purchase Plan (incorporated by reference to Exhibit 10.7 to the</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Company’s 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10.7</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New Adagio Indemnity Agreement (incorporated by reference to Exhibit 10.8 to the Company’s</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10.8</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Convert Guaranty, dated as of July 31, 2024, by and among Adagio and the other parties thereto (incorporated</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by reference to Exhibit 10.9 to the Company’s Current Report on Form 8-K filed with the SEC on August 6,</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10.9</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Convert Security Document, dated as of July 31, 2024, by and among New Adagio, Adagio and the other</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parties thereto (incorporated by reference to Exhibit 10.10 to the Company’s Current Report on Form 8-K filed</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10.10</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w w:val="99"/>
              </w:rPr>
              <w:t>Registration Rights Agreement dated as of July 31, 2024, by and among New Adagio, Perceptive Life Sciences</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Master Fund, Ltd. and the other parties thereto (incorporated by reference to Exhibit 10.11 to the Company’s</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Current Report on Form 8-K filed with the SEC on August 6, 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10.11</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Registration Rights Agreement, dated October 14, 2025, by and among the Company and each of the</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several purchasers signatory thereto (incorporated by reference to Exhibit 10.2 to the Company’s Current</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Report on Form 8-K filed with the SEC on October 15, 2025).</w:t>
            </w:r>
          </w:p>
        </w:tc>
      </w:tr>
      <w:tr>
        <w:trPr>
          <w:trHeight w:val="219"/>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10.12+</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Offer Letter, dated December 12, 2024, by and between the Company and Todd Usen (incorporated by</w:t>
            </w:r>
          </w:p>
        </w:tc>
      </w:tr>
      <w:tr>
        <w:trPr>
          <w:trHeight w:val="221"/>
        </w:trPr>
        <w:tc>
          <w:tcPr>
            <w:tcW w:w="10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reference to Exhibit 10.2 to the Company’s Current Report on Form 8-K filed with the SEC on December 11,</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2024).</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10.13+</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Amended and Restated Offer Letter, dated September 3, 2025, between the Company and Deborah Kaster</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(incorporated by reference to Exhibit 10.1 to the Company’s Quarterly Report on Form 10-Q filed with the</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SEC on November 12, 2025).</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10.14</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Tenth Amendment to the Facilities and Services Agreement, dated August 1, 2024, between Fjord Ventures,</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LLC and Legacy Adagio (incorporated by reference to Exhibit 10.24 to the Company’s Annual Report on</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10-K filed with the SEC on March 27, 2025).</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19.1</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Insider Trading Policy (incorporated by reference to Exhibit 19.1 to the Company’s Annual Report on Form</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10-K filed with the SEC on March 27, 2025).</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24.1*</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Power of Attorney (included on signature page)</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31.1*</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Certification of Principal Executive Officer Pursuant to Securities Exchange Act Rules 13a-14(a) and</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15(d)-14(a), as adopted Pursuant to Section 302 of the Sarbanes-Oxley Act of 2002.</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31.2*</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Certification of Principal Financial Officer Pursuant to Securities Exchange Act Rules 13a-14(a) and</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15(d)-14(a), as adopted Pursuant to Section 302 of the Sarbanes-Oxley Act of 2002.</w:t>
            </w:r>
          </w:p>
        </w:tc>
      </w:tr>
      <w:tr>
        <w:trPr>
          <w:trHeight w:val="219"/>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32.1**</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w w:val="99"/>
              </w:rPr>
              <w:t>Certification of Principal Executive Officer Pursuant to 18 U.S.C. Section 1350, as adopted Pursuant to Section</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906 of the Sarbanes-Oxley Act of 2002.</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32.2**</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Certification of Principal Financial Officer Pursuant to 18 U.S.C. Section 1350, as adopted Pursuant to Section</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906 of the Sarbanes-Oxley Act of 2002.</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97.1</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w w:val="99"/>
              </w:rPr>
              <w:t>Policy Relating to Recovery of Erroneously Awarded Compensation (incorporated by reference to Exhibit 97.1</w:t>
            </w:r>
          </w:p>
        </w:tc>
      </w:tr>
      <w:tr>
        <w:trPr>
          <w:trHeight w:val="218"/>
        </w:trPr>
        <w:tc>
          <w:tcPr>
            <w:tcW w:w="10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to the Company’s Annual Report on Form 10-K filed with the SEC on March 27, 2025).</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101.INS*</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Instance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101.CAL*</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Calculation Linkbase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101.SCH*</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101.DEF*</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Definition Linkbase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101.LAB*</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Labels Linkbase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101.PRE*</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Presentation Linkbase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w w:val="99"/>
              </w:rPr>
              <w:t>Inline XBRL for the cover page of this Annual Report on Form 10-K, included in the Exhibit 101 Inline XBRL</w:t>
            </w:r>
          </w:p>
        </w:tc>
      </w:tr>
      <w:tr>
        <w:trPr>
          <w:trHeight w:val="255"/>
        </w:trPr>
        <w:tc>
          <w:tcPr>
            <w:tcW w:w="1020" w:type="dxa"/>
            <w:vAlign w:val="bottom"/>
          </w:tcPr>
          <w:p>
            <w:pPr>
              <w:spacing w:after="0"/>
              <w:rPr>
                <w:sz w:val="22"/>
                <w:szCs w:val="22"/>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Document Set.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154178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121.7pt,4.05pt" o:allowincell="f" strokecolor="#000000" strokeweight="0.95pt"/>
            </w:pict>
          </mc:Fallback>
        </mc:AlternateContent>
      </w:r>
    </w:p>
    <w:p>
      <w:pPr>
        <w:spacing w:after="0" w:line="105"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w:t>
      </w:r>
      <w:r>
        <w:rPr>
          <w:rFonts w:ascii="PMingLiU" w:cs="PMingLiU" w:eastAsia="PMingLiU" w:hAnsi="PMingLiU"/>
          <w:sz w:val="20"/>
          <w:szCs w:val="20"/>
          <w:color w:val="505050"/>
        </w:rPr>
        <w:t/>
      </w:r>
      <w:r>
        <w:rPr>
          <w:rFonts w:ascii="Times New Roman" w:cs="Times New Roman" w:eastAsia="Times New Roman" w:hAnsi="Times New Roman"/>
          <w:sz w:val="20"/>
          <w:szCs w:val="20"/>
          <w:color w:val="auto"/>
        </w:rPr>
        <w:tab/>
        <w:t>Indicates management contract or compensatory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00"/>
          </w:cols>
          <w:pgMar w:left="1260" w:top="1247" w:right="128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167</w:t>
      </w:r>
    </w:p>
    <w:p>
      <w:pPr>
        <w:sectPr>
          <w:pgSz w:w="12240" w:h="15840" w:orient="portrait"/>
          <w:cols w:equalWidth="0" w:num="1">
            <w:col w:w="9700"/>
          </w:cols>
          <w:pgMar w:left="1260" w:top="1247" w:right="1280" w:bottom="719" w:gutter="0" w:footer="0" w:header="0"/>
          <w:type w:val="continuous"/>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5"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ADAGIO MEDICAL HOLDINGS, INC.</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5100" w:val="left"/>
          <w:tab w:leader="none" w:pos="5680" w:val="left"/>
        </w:tabs>
        <w:rPr>
          <w:sz w:val="20"/>
          <w:szCs w:val="20"/>
          <w:color w:val="auto"/>
        </w:rPr>
      </w:pPr>
      <w:r>
        <w:rPr>
          <w:rFonts w:ascii="Times New Roman" w:cs="Times New Roman" w:eastAsia="Times New Roman" w:hAnsi="Times New Roman"/>
          <w:sz w:val="20"/>
          <w:szCs w:val="20"/>
          <w:color w:val="auto"/>
        </w:rPr>
        <w:t>Date: March 26,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Todd Usen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3589655</wp:posOffset>
                </wp:positionH>
                <wp:positionV relativeFrom="paragraph">
                  <wp:posOffset>66675</wp:posOffset>
                </wp:positionV>
                <wp:extent cx="25787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7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65pt,5.25pt" to="485.7pt,5.25pt" o:allowincell="f" strokecolor="#000000" strokeweight="0.96pt"/>
            </w:pict>
          </mc:Fallback>
        </mc:AlternateContent>
      </w:r>
    </w:p>
    <w:p>
      <w:pPr>
        <w:spacing w:after="0" w:line="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Todd Usen</w:t>
      </w:r>
    </w:p>
    <w:p>
      <w:pPr>
        <w:spacing w:after="0" w:line="4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39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Todd Usen and Deborah Kaster, jointly and severally, as his or her true and lawful attorneys-in-fact and agents, with full power of substitution and resubstitution, for him or her and in his or her name, place and stead, in any and all capacities, to sign this Annual Report on Form 10-K of Adagio Medical Holdings, Inc., and any or all amendments thereto, and to file the same, with all exhibits thereto, and other documents in connection therewith, with the Securities and Exchange Commission, granting unto said attorneys -in-fact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ectPr>
          <w:pgSz w:w="12240" w:h="15840" w:orient="portrait"/>
          <w:cols w:equalWidth="0" w:num="1">
            <w:col w:w="9720"/>
          </w:cols>
          <w:pgMar w:left="1260" w:top="1244" w:right="126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ectPr>
          <w:pgSz w:w="12240" w:h="15840" w:orient="portrait"/>
          <w:cols w:equalWidth="0" w:num="1">
            <w:col w:w="9720"/>
          </w:cols>
          <w:pgMar w:left="1260" w:top="1244" w:right="1260" w:bottom="719" w:gutter="0" w:footer="0" w:header="0"/>
          <w:type w:val="continuous"/>
        </w:sectPr>
      </w:pPr>
    </w:p>
    <w:bookmarkStart w:id="170" w:name="page171"/>
    <w:bookmarkEnd w:id="170"/>
    <w:p>
      <w:pPr>
        <w:ind w:firstLine="3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2240" w:h="15840" w:orient="portrait"/>
          <w:cols w:equalWidth="0" w:num="1">
            <w:col w:w="9700"/>
          </w:cols>
          <w:pgMar w:left="1260" w:top="1248" w:right="1280" w:bottom="719" w:gutter="0" w:footer="0" w:header="0"/>
        </w:sectPr>
      </w:pPr>
    </w:p>
    <w:p>
      <w:pPr>
        <w:spacing w:after="0" w:line="200" w:lineRule="exact"/>
        <w:rPr>
          <w:sz w:val="20"/>
          <w:szCs w:val="20"/>
          <w:color w:val="auto"/>
        </w:rPr>
      </w:pPr>
    </w:p>
    <w:p>
      <w:pPr>
        <w:spacing w:after="0" w:line="27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65405</wp:posOffset>
                </wp:positionV>
                <wp:extent cx="201358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15pt" to="158.9pt,5.15pt" o:allowincell="f" strokecolor="#000000" strokeweight="0.96pt"/>
            </w:pict>
          </mc:Fallback>
        </mc:AlternateContent>
      </w:r>
    </w:p>
    <w:p>
      <w:pPr>
        <w:spacing w:after="0" w:line="3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Todd Usen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73660</wp:posOffset>
                </wp:positionV>
                <wp:extent cx="201358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8pt" to="158.9pt,5.8pt" o:allowincell="f" strokecolor="#000000" strokeweight="0.96pt"/>
            </w:pict>
          </mc:Fallback>
        </mc:AlternateConten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Todd Usen</w:t>
      </w:r>
    </w:p>
    <w:p>
      <w:pPr>
        <w:spacing w:after="0" w:line="3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Deborah Kaster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72390</wp:posOffset>
                </wp:positionV>
                <wp:extent cx="201358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7pt" to="158.9pt,5.7pt" o:allowincell="f" strokecolor="#000000" strokeweight="0.9599pt"/>
            </w:pict>
          </mc:Fallback>
        </mc:AlternateConten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Deborah Kaster</w:t>
      </w: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James L. Cox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73660</wp:posOffset>
                </wp:positionV>
                <wp:extent cx="201358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8pt" to="158.9pt,5.8pt" o:allowincell="f" strokecolor="#000000" strokeweight="0.9599pt"/>
            </w:pict>
          </mc:Fallback>
        </mc:AlternateConten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James L. Cox</w:t>
      </w: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Orly Mishan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72390</wp:posOffset>
                </wp:positionV>
                <wp:extent cx="201358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7pt" to="158.9pt,5.7pt" o:allowincell="f" strokecolor="#000000" strokeweight="0.96pt"/>
            </w:pict>
          </mc:Fallback>
        </mc:AlternateConten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Orly Mishan</w:t>
      </w:r>
    </w:p>
    <w:p>
      <w:pPr>
        <w:spacing w:after="0" w:line="380" w:lineRule="exact"/>
        <w:rPr>
          <w:sz w:val="20"/>
          <w:szCs w:val="20"/>
          <w:color w:val="auto"/>
        </w:rPr>
      </w:pPr>
    </w:p>
    <w:p>
      <w:pPr>
        <w:ind w:left="60" w:right="240"/>
        <w:spacing w:after="0" w:line="470"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Keyvan Mirsaeedi-Farahani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Keyvan Mirsaeedi-Farahani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-330200</wp:posOffset>
                </wp:positionV>
                <wp:extent cx="201358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6pt" to="158.9pt,-26pt" o:allowincell="f" strokecolor="#000000" strokeweight="0.9599pt"/>
            </w:pict>
          </mc:Fallback>
        </mc:AlternateConten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Timothy Moran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73660</wp:posOffset>
                </wp:positionV>
                <wp:extent cx="201358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8pt" to="158.9pt,5.8pt" o:allowincell="f" strokecolor="#000000" strokeweight="0.9599pt"/>
            </w:pict>
          </mc:Fallback>
        </mc:AlternateConten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Timothy Moran</w:t>
      </w: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Sandra Gardiner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69215</wp:posOffset>
                </wp:positionV>
                <wp:extent cx="201358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45pt" to="158.9pt,5.45pt" o:allowincell="f" strokecolor="#000000" strokeweight="0.48pt"/>
            </w:pict>
          </mc:Fallback>
        </mc:AlternateConten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Sandra Gardiner</w:t>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Sean Salmon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63500</wp:posOffset>
                </wp:positionV>
                <wp:extent cx="201358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35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pt" to="158.9pt,5pt" o:allowincell="f" strokecolor="#000000" strokeweight="0.4799pt"/>
            </w:pict>
          </mc:Fallback>
        </mc:AlternateConten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Sean Salmon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65405</wp:posOffset>
                </wp:positionV>
                <wp:extent cx="27031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31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15pt" to="212.7pt,5.15pt" o:allowincell="f" strokecolor="#000000" strokeweight="0.96pt"/>
            </w:pict>
          </mc:Fallback>
        </mc:AlternateContent>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 w:lineRule="exact"/>
        <w:rPr>
          <w:sz w:val="20"/>
          <w:szCs w:val="20"/>
          <w:color w:val="auto"/>
        </w:rPr>
      </w:pPr>
    </w:p>
    <w:p>
      <w:pPr>
        <w:ind w:left="40" w:right="660"/>
        <w:spacing w:after="0" w:line="247"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65405</wp:posOffset>
                </wp:positionV>
                <wp:extent cx="11303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5.15pt" to="86.7pt,5.15pt" o:allowincell="f" strokecolor="#000000" strokeweight="0.96pt"/>
            </w:pict>
          </mc:Fallback>
        </mc:AlternateConten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34290</wp:posOffset>
                </wp:positionV>
                <wp:extent cx="11303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7pt" to="86.7pt,2.7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33020</wp:posOffset>
                </wp:positionV>
                <wp:extent cx="11303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6pt" to="86.7pt,2.6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33020</wp:posOffset>
                </wp:positionV>
                <wp:extent cx="11303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6pt" to="86.7pt,2.6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33020</wp:posOffset>
                </wp:positionV>
                <wp:extent cx="11303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6pt" to="86.7pt,2.6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34290</wp:posOffset>
                </wp:positionV>
                <wp:extent cx="11303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7pt" to="86.7pt,2.7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34290</wp:posOffset>
                </wp:positionV>
                <wp:extent cx="11303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7pt" to="86.7pt,2.7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33020</wp:posOffset>
                </wp:positionV>
                <wp:extent cx="11303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6pt" to="86.7pt,2.6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14605</wp:posOffset>
                </wp:positionV>
                <wp:extent cx="11303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1.15pt" to="86.7pt,1.15pt" o:allowincell="f" strokecolor="#000000" strokeweight="0.4799pt"/>
            </w:pict>
          </mc:Fallback>
        </mc:AlternateContent>
      </w:r>
    </w:p>
    <w:p>
      <w:pPr>
        <w:spacing w:after="0" w:line="495" w:lineRule="exact"/>
        <w:rPr>
          <w:sz w:val="20"/>
          <w:szCs w:val="20"/>
          <w:color w:val="auto"/>
        </w:rPr>
      </w:pPr>
    </w:p>
    <w:p>
      <w:pPr>
        <w:sectPr>
          <w:pgSz w:w="12240" w:h="15840" w:orient="portrait"/>
          <w:cols w:equalWidth="0" w:num="3">
            <w:col w:w="2760" w:space="720"/>
            <w:col w:w="3780" w:space="720"/>
            <w:col w:w="1720"/>
          </w:cols>
          <w:pgMar w:left="1260" w:top="1248" w:right="1280" w:bottom="7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169</w:t>
      </w:r>
    </w:p>
    <w:p>
      <w:pPr>
        <w:sectPr>
          <w:pgSz w:w="12240" w:h="15840" w:orient="portrait"/>
          <w:cols w:equalWidth="0" w:num="1">
            <w:col w:w="9700"/>
          </w:cols>
          <w:pgMar w:left="1260" w:top="1248" w:right="1280" w:bottom="719"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A1A1A"/>
        </w:rPr>
        <w:t>[THIS PAGE INTENTIONALLY LEFT BLANK]</w:t>
      </w:r>
    </w:p>
    <w:p>
      <w:pPr>
        <w:sectPr>
          <w:pgSz w:w="12240" w:h="15840" w:orient="portrait"/>
          <w:cols w:equalWidth="0" w:num="1">
            <w:col w:w="9360"/>
          </w:cols>
          <w:pgMar w:left="1440" w:top="1440" w:right="1440"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A1A1A"/>
        </w:rPr>
        <w:t>[THIS PAGE INTENTIONALLY LEFT BLANK]</w:t>
      </w:r>
    </w:p>
    <w:p>
      <w:pPr>
        <w:sectPr>
          <w:pgSz w:w="12240" w:h="15840" w:orient="portrait"/>
          <w:cols w:equalWidth="0" w:num="1">
            <w:col w:w="9360"/>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A1A1A"/>
        </w:rPr>
        <w:t>[THIS PAGE INTENTIONALLY LEFT BLANK]</w:t>
      </w:r>
    </w:p>
    <w:p>
      <w:pPr>
        <w:sectPr>
          <w:pgSz w:w="12240" w:h="15840" w:orient="portrait"/>
          <w:cols w:equalWidth="0" w:num="1">
            <w:col w:w="9360"/>
          </w:cols>
          <w:pgMar w:left="1440" w:top="1440"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Todd Usen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Deborah Kaster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Chief Financial Officer and Chief Business Officer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Orly Mishan</w:t>
      </w:r>
    </w:p>
    <w:p>
      <w:pPr>
        <w:spacing w:after="0" w:line="28" w:lineRule="exact"/>
        <w:rPr>
          <w:sz w:val="20"/>
          <w:szCs w:val="20"/>
          <w:color w:val="auto"/>
        </w:rPr>
      </w:pPr>
    </w:p>
    <w:p>
      <w:pPr>
        <w:ind w:right="1060"/>
        <w:spacing w:after="0" w:line="273" w:lineRule="auto"/>
        <w:rPr>
          <w:sz w:val="20"/>
          <w:szCs w:val="20"/>
          <w:color w:val="auto"/>
        </w:rPr>
      </w:pPr>
      <w:r>
        <w:rPr>
          <w:rFonts w:ascii="Times New Roman" w:cs="Times New Roman" w:eastAsia="Times New Roman" w:hAnsi="Times New Roman"/>
          <w:sz w:val="19"/>
          <w:szCs w:val="19"/>
          <w:i w:val="1"/>
          <w:iCs w:val="1"/>
          <w:color w:val="auto"/>
        </w:rPr>
        <w:t>Chair of the Board of Directors Managing Director, Perceptive Advisors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Todd Usen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w:t>
      </w:r>
    </w:p>
    <w:p>
      <w:pPr>
        <w:spacing w:after="0"/>
        <w:rPr>
          <w:sz w:val="20"/>
          <w:szCs w:val="20"/>
          <w:color w:val="auto"/>
        </w:rPr>
      </w:pPr>
      <w:r>
        <w:rPr>
          <w:rFonts w:ascii="Times New Roman" w:cs="Times New Roman" w:eastAsia="Times New Roman" w:hAnsi="Times New Roman"/>
          <w:sz w:val="20"/>
          <w:szCs w:val="20"/>
          <w:i w:val="1"/>
          <w:iCs w:val="1"/>
          <w:color w:val="auto"/>
        </w:rPr>
        <w:t>Chief Executive Officer, Adagio Medical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L. Cox, M.D.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w:t>
      </w:r>
    </w:p>
    <w:p>
      <w:pPr>
        <w:spacing w:after="0"/>
        <w:rPr>
          <w:sz w:val="20"/>
          <w:szCs w:val="20"/>
          <w:color w:val="auto"/>
        </w:rPr>
      </w:pPr>
      <w:r>
        <w:rPr>
          <w:rFonts w:ascii="Times New Roman" w:cs="Times New Roman" w:eastAsia="Times New Roman" w:hAnsi="Times New Roman"/>
          <w:sz w:val="20"/>
          <w:szCs w:val="20"/>
          <w:i w:val="1"/>
          <w:iCs w:val="1"/>
          <w:color w:val="auto"/>
        </w:rPr>
        <w:t>Co-Founder, Adagio Medical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Sandra Gardiner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w:t>
      </w:r>
    </w:p>
    <w:p>
      <w:pPr>
        <w:spacing w:after="0"/>
        <w:rPr>
          <w:sz w:val="20"/>
          <w:szCs w:val="20"/>
          <w:color w:val="auto"/>
        </w:rPr>
      </w:pPr>
      <w:r>
        <w:rPr>
          <w:rFonts w:ascii="Times New Roman" w:cs="Times New Roman" w:eastAsia="Times New Roman" w:hAnsi="Times New Roman"/>
          <w:sz w:val="20"/>
          <w:szCs w:val="20"/>
          <w:i w:val="1"/>
          <w:iCs w:val="1"/>
          <w:color w:val="auto"/>
        </w:rPr>
        <w:t>Partner, FLG Partners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Keyvan Mirsaeedi-Farahani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w:t>
      </w:r>
    </w:p>
    <w:p>
      <w:pPr>
        <w:spacing w:after="0"/>
        <w:rPr>
          <w:sz w:val="20"/>
          <w:szCs w:val="20"/>
          <w:color w:val="auto"/>
        </w:rPr>
      </w:pPr>
      <w:r>
        <w:rPr>
          <w:rFonts w:ascii="Times New Roman" w:cs="Times New Roman" w:eastAsia="Times New Roman" w:hAnsi="Times New Roman"/>
          <w:sz w:val="20"/>
          <w:szCs w:val="20"/>
          <w:i w:val="1"/>
          <w:iCs w:val="1"/>
          <w:color w:val="auto"/>
        </w:rPr>
        <w:t>Managing Director, Perceptive Advisors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Timothy Moran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w:t>
      </w:r>
    </w:p>
    <w:p>
      <w:pPr>
        <w:spacing w:after="0"/>
        <w:rPr>
          <w:sz w:val="20"/>
          <w:szCs w:val="20"/>
          <w:color w:val="auto"/>
        </w:rPr>
      </w:pPr>
      <w:r>
        <w:rPr>
          <w:rFonts w:ascii="Times New Roman" w:cs="Times New Roman" w:eastAsia="Times New Roman" w:hAnsi="Times New Roman"/>
          <w:sz w:val="20"/>
          <w:szCs w:val="20"/>
          <w:i w:val="1"/>
          <w:iCs w:val="1"/>
          <w:color w:val="auto"/>
        </w:rPr>
        <w:t>Chief Business Officer, Kestra Medical Technologies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Sean Salmon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123"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color w:val="auto"/>
        </w:rPr>
        <w:t>Our common stock is listed on Nasdaq under the ticker symbols “ADGM.”</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11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Continental Stock Transfer &amp; Trust Company </w:t>
      </w:r>
      <w:r>
        <w:rPr>
          <w:rFonts w:ascii="Times New Roman" w:cs="Times New Roman" w:eastAsia="Times New Roman" w:hAnsi="Times New Roman"/>
          <w:sz w:val="20"/>
          <w:szCs w:val="20"/>
          <w:color w:val="auto"/>
        </w:rPr>
        <w:t>1 State Street, 30th Floor</w:t>
      </w:r>
    </w:p>
    <w:p>
      <w:pPr>
        <w:spacing w:after="0" w:line="1" w:lineRule="exact"/>
        <w:rPr>
          <w:sz w:val="20"/>
          <w:szCs w:val="20"/>
          <w:color w:val="auto"/>
        </w:rPr>
      </w:pPr>
    </w:p>
    <w:p>
      <w:pPr>
        <w:ind w:right="1720"/>
        <w:spacing w:after="0" w:line="279" w:lineRule="auto"/>
        <w:rPr>
          <w:sz w:val="20"/>
          <w:szCs w:val="20"/>
          <w:color w:val="auto"/>
        </w:rPr>
      </w:pPr>
      <w:r>
        <w:rPr>
          <w:rFonts w:ascii="Times New Roman" w:cs="Times New Roman" w:eastAsia="Times New Roman" w:hAnsi="Times New Roman"/>
          <w:sz w:val="19"/>
          <w:szCs w:val="19"/>
          <w:color w:val="auto"/>
        </w:rPr>
        <w:t xml:space="preserve">New York, NY 10004-1561 </w:t>
      </w:r>
      <w:r>
        <w:rPr>
          <w:rFonts w:ascii="Times New Roman" w:cs="Times New Roman" w:eastAsia="Times New Roman" w:hAnsi="Times New Roman"/>
          <w:sz w:val="19"/>
          <w:szCs w:val="19"/>
          <w:b w:val="1"/>
          <w:bCs w:val="1"/>
          <w:color w:val="auto"/>
        </w:rPr>
        <w:t>cstmail@continentalstock.com</w:t>
      </w:r>
    </w:p>
    <w:p>
      <w:pPr>
        <w:spacing w:after="0" w:line="27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20"/>
          <w:szCs w:val="20"/>
          <w:b w:val="1"/>
          <w:bCs w:val="1"/>
          <w:color w:val="auto"/>
        </w:rPr>
        <w:t>INDEPENDENT REGISTERED PUBLIC ACCOUNTING FIRM</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WithumSmith+Brown, PC, Whippany, New Jersey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COUNSEL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Cooley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16, 2026, at 10:00 AM. Pacific Time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Online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www.virtualshareholdermeeting.com/ADGM2026</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2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rPr>
        <w:t>A copy of our Form 10-K filed with the SEC will be made available to all stockholders at no charge.</w:t>
      </w:r>
    </w:p>
    <w:p>
      <w:pPr>
        <w:spacing w:after="0" w:line="15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 xml:space="preserve">The Form 10 -K also can be accessed through the SEC website at </w:t>
      </w:r>
      <w:r>
        <w:rPr>
          <w:rFonts w:ascii="Times New Roman" w:cs="Times New Roman" w:eastAsia="Times New Roman" w:hAnsi="Times New Roman"/>
          <w:sz w:val="20"/>
          <w:szCs w:val="20"/>
          <w:b w:val="1"/>
          <w:bCs w:val="1"/>
          <w:color w:val="auto"/>
        </w:rPr>
        <w:t>www.sec.gov</w:t>
      </w:r>
      <w:r>
        <w:rPr>
          <w:rFonts w:ascii="Times New Roman" w:cs="Times New Roman" w:eastAsia="Times New Roman" w:hAnsi="Times New Roman"/>
          <w:sz w:val="20"/>
          <w:szCs w:val="20"/>
          <w:color w:val="auto"/>
        </w:rPr>
        <w:t xml:space="preserve">, or through our Investor website at </w:t>
      </w:r>
      <w:r>
        <w:rPr>
          <w:rFonts w:ascii="Times New Roman" w:cs="Times New Roman" w:eastAsia="Times New Roman" w:hAnsi="Times New Roman"/>
          <w:sz w:val="20"/>
          <w:szCs w:val="20"/>
          <w:b w:val="1"/>
          <w:bCs w:val="1"/>
          <w:color w:val="auto"/>
        </w:rPr>
        <w:t>investors.adagiomedical.com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receive a copy by mail please contact:</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Adagio Medical Holdings, Inc.</w:t>
      </w:r>
    </w:p>
    <w:p>
      <w:pPr>
        <w:ind w:left="540"/>
        <w:spacing w:after="0"/>
        <w:rPr>
          <w:sz w:val="20"/>
          <w:szCs w:val="20"/>
          <w:color w:val="auto"/>
        </w:rPr>
      </w:pPr>
      <w:r>
        <w:rPr>
          <w:rFonts w:ascii="Times New Roman" w:cs="Times New Roman" w:eastAsia="Times New Roman" w:hAnsi="Times New Roman"/>
          <w:sz w:val="20"/>
          <w:szCs w:val="20"/>
          <w:color w:val="auto"/>
        </w:rPr>
        <w:t>26051 Merit Circle, Suite 102</w:t>
      </w:r>
    </w:p>
    <w:p>
      <w:pPr>
        <w:ind w:left="540"/>
        <w:spacing w:after="0"/>
        <w:rPr>
          <w:sz w:val="20"/>
          <w:szCs w:val="20"/>
          <w:color w:val="auto"/>
        </w:rPr>
      </w:pPr>
      <w:r>
        <w:rPr>
          <w:rFonts w:ascii="Times New Roman" w:cs="Times New Roman" w:eastAsia="Times New Roman" w:hAnsi="Times New Roman"/>
          <w:sz w:val="20"/>
          <w:szCs w:val="20"/>
          <w:color w:val="auto"/>
        </w:rPr>
        <w:t>Laguna Hills, CA</w:t>
      </w:r>
    </w:p>
    <w:p>
      <w:pPr>
        <w:ind w:left="540"/>
        <w:spacing w:after="0"/>
        <w:rPr>
          <w:sz w:val="20"/>
          <w:szCs w:val="20"/>
          <w:color w:val="auto"/>
        </w:rPr>
      </w:pPr>
      <w:r>
        <w:rPr>
          <w:rFonts w:ascii="Times New Roman" w:cs="Times New Roman" w:eastAsia="Times New Roman" w:hAnsi="Times New Roman"/>
          <w:sz w:val="20"/>
          <w:szCs w:val="20"/>
          <w:b w:val="1"/>
          <w:bCs w:val="1"/>
          <w:color w:val="auto"/>
        </w:rPr>
        <w:t>ir@adagiomedical.com</w:t>
      </w:r>
    </w:p>
    <w:p>
      <w:pPr>
        <w:sectPr>
          <w:pgSz w:w="12240" w:h="15840" w:orient="portrait"/>
          <w:cols w:equalWidth="0" w:num="2">
            <w:col w:w="4320" w:space="720"/>
            <w:col w:w="4320"/>
          </w:cols>
          <w:pgMar w:left="1440" w:top="1416" w:right="1440" w:bottom="1440" w:gutter="0" w:footer="0" w:header="0"/>
        </w:sectPr>
      </w:pPr>
    </w:p>
    <w:bookmarkStart w:id="175" w:name="page176"/>
    <w:bookmarkEnd w:id="175"/>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x"/>
      <w:numFmt w:val="bullet"/>
      <w:start w:val="1"/>
    </w:lvl>
  </w:abstractNum>
  <w:abstractNum w:abstractNumId="3">
    <w:nsid w:val="8138641"/>
    <w:multiLevelType w:val="hybridMultilevel"/>
    <w:lvl w:ilvl="0">
      <w:lvlJc w:val="left"/>
      <w:lvlText w:val="x"/>
      <w:numFmt w:val="bullet"/>
      <w:start w:val="1"/>
    </w:lvl>
  </w:abstractNum>
  <w:abstractNum w:abstractNumId="4">
    <w:nsid w:val="1E7FF521"/>
    <w:multiLevelType w:val="hybridMultilevel"/>
    <w:lvl w:ilvl="0">
      <w:lvlJc w:val="left"/>
      <w:lvlText w:val="x"/>
      <w:numFmt w:val="bullet"/>
      <w:start w:val="1"/>
    </w:lvl>
  </w:abstractNum>
  <w:abstractNum w:abstractNumId="5">
    <w:nsid w:val="7C3DBD3D"/>
    <w:multiLevelType w:val="hybridMultilevel"/>
    <w:lvl w:ilvl="0">
      <w:lvlJc w:val="left"/>
      <w:lvlText w:val="x"/>
      <w:numFmt w:val="bullet"/>
      <w:start w:val="1"/>
    </w:lvl>
  </w:abstractNum>
  <w:abstractNum w:abstractNumId="6">
    <w:nsid w:val="737B8DDC"/>
    <w:multiLevelType w:val="hybridMultilevel"/>
    <w:lvl w:ilvl="0">
      <w:lvlJc w:val="left"/>
      <w:lvlText w:val="x"/>
      <w:numFmt w:val="bullet"/>
      <w:start w:val="1"/>
    </w:lvl>
  </w:abstractNum>
  <w:abstractNum w:abstractNumId="7">
    <w:nsid w:val="6CEAF087"/>
    <w:multiLevelType w:val="hybridMultilevel"/>
    <w:lvl w:ilvl="0">
      <w:lvlJc w:val="left"/>
      <w:lvlText w:val="x"/>
      <w:numFmt w:val="bullet"/>
      <w:start w:val="1"/>
    </w:lvl>
  </w:abstractNum>
  <w:abstractNum w:abstractNumId="8">
    <w:nsid w:val="22221A70"/>
    <w:multiLevelType w:val="hybridMultilevel"/>
    <w:lvl w:ilvl="0">
      <w:lvlJc w:val="left"/>
      <w:lvlText w:val="x"/>
      <w:numFmt w:val="bullet"/>
      <w:start w:val="1"/>
    </w:lvl>
  </w:abstractNum>
  <w:abstractNum w:abstractNumId="9">
    <w:nsid w:val="4516DDE9"/>
    <w:multiLevelType w:val="hybridMultilevel"/>
    <w:lvl w:ilvl="0">
      <w:lvlJc w:val="left"/>
      <w:lvlText w:val="x"/>
      <w:numFmt w:val="bullet"/>
      <w:start w:val="1"/>
    </w:lvl>
  </w:abstractNum>
  <w:abstractNum w:abstractNumId="10">
    <w:nsid w:val="3006C83E"/>
    <w:multiLevelType w:val="hybridMultilevel"/>
    <w:lvl w:ilvl="0">
      <w:lvlJc w:val="left"/>
      <w:lvlText w:val="x"/>
      <w:numFmt w:val="bullet"/>
      <w:start w:val="1"/>
    </w:lvl>
  </w:abstractNum>
  <w:abstractNum w:abstractNumId="11">
    <w:nsid w:val="614FD4A1"/>
    <w:multiLevelType w:val="hybridMultilevel"/>
    <w:lvl w:ilvl="0">
      <w:lvlJc w:val="left"/>
      <w:lvlText w:val="x"/>
      <w:numFmt w:val="bullet"/>
      <w:start w:val="1"/>
    </w:lvl>
  </w:abstractNum>
  <w:abstractNum w:abstractNumId="12">
    <w:nsid w:val="419AC241"/>
    <w:multiLevelType w:val="hybridMultilevel"/>
    <w:lvl w:ilvl="0">
      <w:lvlJc w:val="left"/>
      <w:lvlText w:val="x"/>
      <w:numFmt w:val="bullet"/>
      <w:start w:val="1"/>
    </w:lvl>
  </w:abstractNum>
  <w:abstractNum w:abstractNumId="13">
    <w:nsid w:val="5577F8E1"/>
    <w:multiLevelType w:val="hybridMultilevel"/>
    <w:lvl w:ilvl="0">
      <w:lvlJc w:val="left"/>
      <w:lvlText w:val="x"/>
      <w:numFmt w:val="bullet"/>
      <w:start w:val="1"/>
    </w:lvl>
  </w:abstractNum>
  <w:abstractNum w:abstractNumId="14">
    <w:nsid w:val="440BADFC"/>
    <w:multiLevelType w:val="hybridMultilevel"/>
    <w:lvl w:ilvl="0">
      <w:lvlJc w:val="left"/>
      <w:lvlText w:val="x"/>
      <w:numFmt w:val="bullet"/>
      <w:start w:val="1"/>
    </w:lvl>
  </w:abstractNum>
  <w:abstractNum w:abstractNumId="15">
    <w:nsid w:val="5072367"/>
    <w:multiLevelType w:val="hybridMultilevel"/>
    <w:lvl w:ilvl="0">
      <w:lvlJc w:val="left"/>
      <w:lvlText w:val="x"/>
      <w:numFmt w:val="bullet"/>
      <w:start w:val="1"/>
    </w:lvl>
  </w:abstractNum>
  <w:abstractNum w:abstractNumId="16">
    <w:nsid w:val="3804823E"/>
    <w:multiLevelType w:val="hybridMultilevel"/>
    <w:lvl w:ilvl="0">
      <w:lvlJc w:val="left"/>
      <w:lvlText w:val="x"/>
      <w:numFmt w:val="bullet"/>
      <w:start w:val="1"/>
    </w:lvl>
  </w:abstractNum>
  <w:abstractNum w:abstractNumId="17">
    <w:nsid w:val="77465F01"/>
    <w:multiLevelType w:val="hybridMultilevel"/>
    <w:lvl w:ilvl="0">
      <w:lvlJc w:val="left"/>
      <w:lvlText w:val="x"/>
      <w:numFmt w:val="bullet"/>
      <w:start w:val="1"/>
    </w:lvl>
  </w:abstractNum>
  <w:abstractNum w:abstractNumId="18">
    <w:nsid w:val="7724C67E"/>
    <w:multiLevelType w:val="hybridMultilevel"/>
    <w:lvl w:ilvl="0">
      <w:lvlJc w:val="left"/>
      <w:lvlText w:val="x"/>
      <w:numFmt w:val="bullet"/>
      <w:start w:val="1"/>
    </w:lvl>
  </w:abstractNum>
  <w:abstractNum w:abstractNumId="19">
    <w:nsid w:val="5C482A97"/>
    <w:multiLevelType w:val="hybridMultilevel"/>
    <w:lvl w:ilvl="0">
      <w:lvlJc w:val="left"/>
      <w:lvlText w:val="x"/>
      <w:numFmt w:val="bullet"/>
      <w:start w:val="1"/>
    </w:lvl>
  </w:abstractNum>
  <w:abstractNum w:abstractNumId="20">
    <w:nsid w:val="2463B9EA"/>
    <w:multiLevelType w:val="hybridMultilevel"/>
    <w:lvl w:ilvl="0">
      <w:lvlJc w:val="left"/>
      <w:lvlText w:val="x"/>
      <w:numFmt w:val="bullet"/>
      <w:start w:val="1"/>
    </w:lvl>
  </w:abstractNum>
  <w:abstractNum w:abstractNumId="21">
    <w:nsid w:val="5E884ADC"/>
    <w:multiLevelType w:val="hybridMultilevel"/>
    <w:lvl w:ilvl="0">
      <w:lvlJc w:val="left"/>
      <w:lvlText w:val="x"/>
      <w:numFmt w:val="bullet"/>
      <w:start w:val="1"/>
    </w:lvl>
  </w:abstractNum>
  <w:abstractNum w:abstractNumId="22">
    <w:nsid w:val="51EAD36B"/>
    <w:multiLevelType w:val="hybridMultilevel"/>
    <w:lvl w:ilvl="0">
      <w:lvlJc w:val="left"/>
      <w:lvlText w:val="x"/>
      <w:numFmt w:val="bullet"/>
      <w:start w:val="1"/>
    </w:lvl>
  </w:abstractNum>
  <w:abstractNum w:abstractNumId="23">
    <w:nsid w:val="2D517796"/>
    <w:multiLevelType w:val="hybridMultilevel"/>
    <w:lvl w:ilvl="0">
      <w:lvlJc w:val="left"/>
      <w:lvlText w:val="x"/>
      <w:numFmt w:val="bullet"/>
      <w:start w:val="1"/>
    </w:lvl>
  </w:abstractNum>
  <w:abstractNum w:abstractNumId="24">
    <w:nsid w:val="580BD78F"/>
    <w:multiLevelType w:val="hybridMultilevel"/>
    <w:lvl w:ilvl="0">
      <w:lvlJc w:val="left"/>
      <w:lvlText w:val="x"/>
      <w:numFmt w:val="bullet"/>
      <w:start w:val="1"/>
    </w:lvl>
  </w:abstractNum>
  <w:abstractNum w:abstractNumId="25">
    <w:nsid w:val="153EA438"/>
    <w:multiLevelType w:val="hybridMultilevel"/>
    <w:lvl w:ilvl="0">
      <w:lvlJc w:val="left"/>
      <w:lvlText w:val="x"/>
      <w:numFmt w:val="bullet"/>
      <w:start w:val="1"/>
    </w:lvl>
  </w:abstractNum>
  <w:abstractNum w:abstractNumId="26">
    <w:nsid w:val="3855585C"/>
    <w:multiLevelType w:val="hybridMultilevel"/>
    <w:lvl w:ilvl="0">
      <w:lvlJc w:val="left"/>
      <w:lvlText w:val="x"/>
      <w:numFmt w:val="bullet"/>
      <w:start w:val="1"/>
    </w:lvl>
  </w:abstractNum>
  <w:abstractNum w:abstractNumId="27">
    <w:nsid w:val="70A64E2A"/>
    <w:multiLevelType w:val="hybridMultilevel"/>
    <w:lvl w:ilvl="0">
      <w:lvlJc w:val="left"/>
      <w:lvlText w:val="x"/>
      <w:numFmt w:val="bullet"/>
      <w:start w:val="1"/>
    </w:lvl>
  </w:abstractNum>
  <w:abstractNum w:abstractNumId="28">
    <w:nsid w:val="6A2342EC"/>
    <w:multiLevelType w:val="hybridMultilevel"/>
    <w:lvl w:ilvl="0">
      <w:lvlJc w:val="left"/>
      <w:lvlText w:val="x"/>
      <w:numFmt w:val="bullet"/>
      <w:start w:val="1"/>
    </w:lvl>
  </w:abstractNum>
  <w:abstractNum w:abstractNumId="29">
    <w:nsid w:val="2A487CB0"/>
    <w:multiLevelType w:val="hybridMultilevel"/>
    <w:lvl w:ilvl="0">
      <w:lvlJc w:val="left"/>
      <w:lvlText w:val="x"/>
      <w:numFmt w:val="bullet"/>
      <w:start w:val="1"/>
    </w:lvl>
  </w:abstractNum>
  <w:abstractNum w:abstractNumId="30">
    <w:nsid w:val="1D4ED43B"/>
    <w:multiLevelType w:val="hybridMultilevel"/>
    <w:lvl w:ilvl="0">
      <w:lvlJc w:val="left"/>
      <w:lvlText w:val="x"/>
      <w:numFmt w:val="bullet"/>
      <w:start w:val="1"/>
    </w:lvl>
  </w:abstractNum>
  <w:abstractNum w:abstractNumId="31">
    <w:nsid w:val="725A06FB"/>
    <w:multiLevelType w:val="hybridMultilevel"/>
    <w:lvl w:ilvl="0">
      <w:lvlJc w:val="left"/>
      <w:lvlText w:val="x"/>
      <w:numFmt w:val="bullet"/>
      <w:start w:val="1"/>
    </w:lvl>
  </w:abstractNum>
  <w:abstractNum w:abstractNumId="32">
    <w:nsid w:val="2CD89A32"/>
    <w:multiLevelType w:val="hybridMultilevel"/>
    <w:lvl w:ilvl="0">
      <w:lvlJc w:val="left"/>
      <w:lvlText w:val="x"/>
      <w:numFmt w:val="bullet"/>
      <w:start w:val="1"/>
    </w:lvl>
  </w:abstractNum>
  <w:abstractNum w:abstractNumId="33">
    <w:nsid w:val="57E4CCAF"/>
    <w:multiLevelType w:val="hybridMultilevel"/>
    <w:lvl w:ilvl="0">
      <w:lvlJc w:val="left"/>
      <w:lvlText w:val="x"/>
      <w:numFmt w:val="bullet"/>
      <w:start w:val="1"/>
    </w:lvl>
  </w:abstractNum>
  <w:abstractNum w:abstractNumId="34">
    <w:nsid w:val="7A6D8D3C"/>
    <w:multiLevelType w:val="hybridMultilevel"/>
    <w:lvl w:ilvl="0">
      <w:lvlJc w:val="left"/>
      <w:lvlText w:val="x"/>
      <w:numFmt w:val="bullet"/>
      <w:start w:val="1"/>
    </w:lvl>
  </w:abstractNum>
  <w:abstractNum w:abstractNumId="35">
    <w:nsid w:val="4B588F54"/>
    <w:multiLevelType w:val="hybridMultilevel"/>
    <w:lvl w:ilvl="0">
      <w:lvlJc w:val="left"/>
      <w:lvlText w:val="x"/>
      <w:numFmt w:val="bullet"/>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6"/>
    </w:lvl>
  </w:abstractNum>
  <w:abstractNum w:abstractNumId="38">
    <w:nsid w:val="38437FDB"/>
    <w:multiLevelType w:val="hybridMultilevel"/>
    <w:lvl w:ilvl="0">
      <w:lvlJc w:val="left"/>
      <w:lvlText w:val="(%1)"/>
      <w:numFmt w:val="lowerRoman"/>
      <w:start w:val="1"/>
    </w:lvl>
  </w:abstractNum>
  <w:abstractNum w:abstractNumId="39">
    <w:nsid w:val="7644A45C"/>
    <w:multiLevelType w:val="hybridMultilevel"/>
    <w:lvl w:ilvl="0">
      <w:lvlJc w:val="left"/>
      <w:lvlText w:val="x"/>
      <w:numFmt w:val="bullet"/>
      <w:start w:val="1"/>
    </w:lvl>
  </w:abstractNum>
  <w:abstractNum w:abstractNumId="40">
    <w:nsid w:val="32FFF902"/>
    <w:multiLevelType w:val="hybridMultilevel"/>
    <w:lvl w:ilvl="0">
      <w:lvlJc w:val="left"/>
      <w:lvlText w:val="x"/>
      <w:numFmt w:val="bullet"/>
      <w:start w:val="1"/>
    </w:lvl>
  </w:abstractNum>
  <w:abstractNum w:abstractNumId="41">
    <w:nsid w:val="684A481A"/>
    <w:multiLevelType w:val="hybridMultilevel"/>
    <w:lvl w:ilvl="0">
      <w:lvlJc w:val="left"/>
      <w:lvlText w:val="x"/>
      <w:numFmt w:val="bullet"/>
      <w:start w:val="1"/>
    </w:lvl>
  </w:abstractNum>
  <w:abstractNum w:abstractNumId="42">
    <w:nsid w:val="579478FE"/>
    <w:multiLevelType w:val="hybridMultilevel"/>
    <w:lvl w:ilvl="0">
      <w:lvlJc w:val="left"/>
      <w:lvlText w:val="(%1)"/>
      <w:numFmt w:val="lowerRoman"/>
      <w:start w:val="2"/>
    </w:lvl>
  </w:abstractNum>
  <w:abstractNum w:abstractNumId="43">
    <w:nsid w:val="749ABB43"/>
    <w:multiLevelType w:val="hybridMultilevel"/>
    <w:lvl w:ilvl="0">
      <w:lvlJc w:val="left"/>
      <w:lvlText w:val="x"/>
      <w:numFmt w:val="bullet"/>
      <w:start w:val="1"/>
    </w:lvl>
  </w:abstractNum>
  <w:abstractNum w:abstractNumId="44">
    <w:nsid w:val="3DC240FB"/>
    <w:multiLevelType w:val="hybridMultilevel"/>
    <w:lvl w:ilvl="0">
      <w:lvlJc w:val="left"/>
      <w:lvlText w:val="x"/>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Roman"/>
      <w:start w:val="1"/>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lowerRoman"/>
      <w:start w:val="1"/>
    </w:lvl>
  </w:abstractNum>
  <w:abstractNum w:abstractNumId="50">
    <w:nsid w:val="520EEDD1"/>
    <w:multiLevelType w:val="hybridMultilevel"/>
    <w:lvl w:ilvl="0">
      <w:lvlJc w:val="left"/>
      <w:lvlText w:val="%1."/>
      <w:numFmt w:val="lowerRoman"/>
      <w:start w:val="2"/>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x"/>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2026-04-30T16:16:48Z</dcterms:created>
  <dcterms:modified xsi:type="dcterms:W3CDTF">2026-04-30T16:16:48Z</dcterms:modified>
</cp:coreProperties>
</file>