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480"/>
        <w:ind w:left="0" w:right="0" w:hanging="0"/>
        <w:jc w:val="left"/>
        <w:rPr/>
      </w:pPr>
      <w:hyperlink w:anchor="TOC">
        <w:bookmarkStart w:id="0" w:name="adgm-20240930x10q.htm"/>
        <w:bookmarkStart w:id="1" w:name="ksadgm2024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e86e3a9f_f8c1_4fc8_8bbc_bd94efba8a18"/>
      <w:bookmarkEnd w:id="2"/>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16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120" w:after="12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10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Normal"/>
        <w:bidi w:val="0"/>
        <w:spacing w:before="0" w:after="0"/>
        <w:jc w:val="left"/>
        <w:rPr>
          <w:sz w:val="4"/>
          <w:szCs w:val="4"/>
        </w:rPr>
      </w:pPr>
      <w:r>
        <w:rPr>
          <w:sz w:val="4"/>
          <w:szCs w:val="4"/>
        </w:rPr>
      </w:r>
      <w:bookmarkStart w:id="3" w:name="Tc_29JtoYlEC0yy_inJc6aEgA_1_1"/>
      <w:bookmarkStart w:id="4" w:name="_a745b27e_dc78_4449_817d_c43c1b285b12"/>
      <w:bookmarkStart w:id="5" w:name="Tc_29JtoYlEC0yy_inJc6aEgA_1_1"/>
      <w:bookmarkStart w:id="6" w:name="_a745b27e_dc78_4449_817d_c43c1b285b12"/>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269990" cy="175260"/>
                      <wp:effectExtent l="0" t="0" r="0" b="0"/>
                      <wp:wrapNone/>
                      <wp:docPr id="1" name="Frame1"/>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16"/>
        </w:rPr>
      </w:pPr>
      <w:r>
        <w:rPr>
          <w:rFonts w:ascii="Times New Roman;Times;serif" w:hAnsi="Times New Roman;Times;serif"/>
          <w:b/>
          <w:sz w:val="16"/>
        </w:rPr>
        <w:t>For the quarter ended September 30, 2024</w:t>
      </w:r>
    </w:p>
    <w:p>
      <w:pPr>
        <w:pStyle w:val="Normal"/>
        <w:bidi w:val="0"/>
        <w:spacing w:before="0" w:after="0"/>
        <w:jc w:val="left"/>
        <w:rPr>
          <w:sz w:val="4"/>
          <w:szCs w:val="4"/>
        </w:rPr>
      </w:pPr>
      <w:r>
        <w:rPr>
          <w:sz w:val="4"/>
          <w:szCs w:val="4"/>
        </w:rPr>
      </w:r>
      <w:bookmarkStart w:id="7" w:name="Tc_zcT-BNi9J02Hk4a3lOgorQ_1_1"/>
      <w:bookmarkStart w:id="8" w:name="_9d0a60a1_eeff_4218_87d9_1ce091eb64c0"/>
      <w:bookmarkStart w:id="9" w:name="Tc_zcT-BNi9J02Hk4a3lOgorQ_1_1"/>
      <w:bookmarkStart w:id="10" w:name="_9d0a60a1_eeff_4218_87d9_1ce091eb64c0"/>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269990" cy="175260"/>
                      <wp:effectExtent l="0" t="0" r="0" b="0"/>
                      <wp:wrapNone/>
                      <wp:docPr id="2" name="Frame2"/>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Commission file number: 001-42199</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ADAGIO MEDICAL HOLDINGS, INC.</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Normal"/>
        <w:bidi w:val="0"/>
        <w:spacing w:before="0" w:after="0"/>
        <w:jc w:val="left"/>
        <w:rPr>
          <w:sz w:val="4"/>
          <w:szCs w:val="4"/>
        </w:rPr>
      </w:pPr>
      <w:r>
        <w:rPr>
          <w:sz w:val="4"/>
          <w:szCs w:val="4"/>
        </w:rPr>
      </w:r>
      <w:bookmarkStart w:id="11" w:name="Tc_eI3xBREPCk-8mkILnZnHNw_8_2"/>
      <w:bookmarkStart w:id="12" w:name="Tc_kXTcvVbSu0u3Zp3gIRaKyQ_8_0"/>
      <w:bookmarkStart w:id="13" w:name="Tc_OxKIllYfF02Ue0uPweJgdw_6_0"/>
      <w:bookmarkStart w:id="14" w:name="Tc_KBpCqu3CxUWdZoetEl8Bbw_5_0"/>
      <w:bookmarkStart w:id="15" w:name="Tc_Mgaf2nWSXUylgKy9cJpCaA_3_2"/>
      <w:bookmarkStart w:id="16" w:name="Tc_S_PjQxdibEOz1v3hSdtVVg_3_0"/>
      <w:bookmarkStart w:id="17" w:name="Tc_U3eBLpiXdEu0FBPhCiageQ_2_2"/>
      <w:bookmarkStart w:id="18" w:name="Tc_XswJlNiUBUCfLaILuTrghQ_2_0"/>
      <w:bookmarkStart w:id="19" w:name="_3a590d16_9dbd_4a5d_b364_20b544774104"/>
      <w:bookmarkStart w:id="20" w:name="Tc_eI3xBREPCk-8mkILnZnHNw_8_2"/>
      <w:bookmarkStart w:id="21" w:name="Tc_kXTcvVbSu0u3Zp3gIRaKyQ_8_0"/>
      <w:bookmarkStart w:id="22" w:name="Tc_OxKIllYfF02Ue0uPweJgdw_6_0"/>
      <w:bookmarkStart w:id="23" w:name="Tc_KBpCqu3CxUWdZoetEl8Bbw_5_0"/>
      <w:bookmarkStart w:id="24" w:name="Tc_Mgaf2nWSXUylgKy9cJpCaA_3_2"/>
      <w:bookmarkStart w:id="25" w:name="Tc_S_PjQxdibEOz1v3hSdtVVg_3_0"/>
      <w:bookmarkStart w:id="26" w:name="Tc_U3eBLpiXdEu0FBPhCiageQ_2_2"/>
      <w:bookmarkStart w:id="27" w:name="Tc_XswJlNiUBUCfLaILuTrghQ_2_0"/>
      <w:bookmarkStart w:id="28" w:name="_3a590d16_9dbd_4a5d_b364_20b544774104"/>
      <w:bookmarkEnd w:id="20"/>
      <w:bookmarkEnd w:id="21"/>
      <w:bookmarkEnd w:id="22"/>
      <w:bookmarkEnd w:id="23"/>
      <w:bookmarkEnd w:id="24"/>
      <w:bookmarkEnd w:id="25"/>
      <w:bookmarkEnd w:id="26"/>
      <w:bookmarkEnd w:id="27"/>
      <w:bookmarkEnd w:id="28"/>
    </w:p>
    <w:tbl>
      <w:tblPr>
        <w:tblW w:w="4738" w:type="dxa"/>
        <w:jc w:val="left"/>
        <w:tblInd w:w="0" w:type="dxa"/>
        <w:tblLayout w:type="fixed"/>
        <w:tblCellMar>
          <w:top w:w="0" w:type="dxa"/>
          <w:left w:w="0" w:type="dxa"/>
          <w:bottom w:w="0" w:type="dxa"/>
          <w:right w:w="0" w:type="dxa"/>
        </w:tblCellMar>
      </w:tblPr>
      <w:tblGrid>
        <w:gridCol w:w="2926"/>
        <w:gridCol w:w="326"/>
        <w:gridCol w:w="1486"/>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58010" cy="175260"/>
                      <wp:effectExtent l="0" t="0" r="0" b="0"/>
                      <wp:wrapNone/>
                      <wp:docPr id="3" name="Frame3"/>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43610" cy="175260"/>
                      <wp:effectExtent l="0" t="0" r="0" b="0"/>
                      <wp:wrapNone/>
                      <wp:docPr id="4" name="Frame4"/>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2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99-1151466</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 of</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incorporation or organization)</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No.)</w:t>
            </w:r>
          </w:p>
        </w:tc>
      </w:tr>
      <w:tr>
        <w:trPr/>
        <w:tc>
          <w:tcPr>
            <w:tcW w:w="29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26051 Merit Circle, Suite 102</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Laguna Hills, CA</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92653</w:t>
            </w:r>
          </w:p>
        </w:tc>
      </w:tr>
      <w:tr>
        <w:trPr/>
        <w:tc>
          <w:tcPr>
            <w:tcW w:w="29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(949) 348-1188</w:t>
      </w:r>
    </w:p>
    <w:p>
      <w:pPr>
        <w:pStyle w:val="TextBody"/>
        <w:bidi w:val="0"/>
        <w:spacing w:before="0" w:after="120"/>
        <w:ind w:left="0" w:right="0" w:hanging="0"/>
        <w:jc w:val="center"/>
        <w:rPr>
          <w:rFonts w:ascii="Times New Roman;Times;serif" w:hAnsi="Times New Roman;Times;serif"/>
          <w:b/>
          <w:sz w:val="12"/>
        </w:rPr>
      </w:pPr>
      <w:r>
        <w:rPr>
          <w:rFonts w:ascii="Times New Roman;Times;serif" w:hAnsi="Times New Roman;Times;serif"/>
          <w:b/>
          <w:sz w:val="12"/>
        </w:rPr>
        <w:t>(Issuer’s telephone number, including area code)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Securities registered pursuant to Section 12(b) of the Act:</w:t>
      </w:r>
    </w:p>
    <w:p>
      <w:pPr>
        <w:pStyle w:val="Normal"/>
        <w:bidi w:val="0"/>
        <w:spacing w:before="0" w:after="0"/>
        <w:jc w:val="left"/>
        <w:rPr>
          <w:sz w:val="4"/>
          <w:szCs w:val="4"/>
        </w:rPr>
      </w:pPr>
      <w:r>
        <w:rPr>
          <w:sz w:val="4"/>
          <w:szCs w:val="4"/>
        </w:rPr>
      </w:r>
      <w:bookmarkStart w:id="29" w:name="Tc_Av5OzVpnBUi-GDkuunDJag_1_4"/>
      <w:bookmarkStart w:id="30" w:name="Tc_Axj2_uP2AU2V-P682LoK0A_1_2"/>
      <w:bookmarkStart w:id="31" w:name="Tc_i_kBzB52p0mlOyeE-prNmQ_1_0"/>
      <w:bookmarkStart w:id="32" w:name="Tc_1rpWWU5A40Scw4kH18jtiQ_0_4"/>
      <w:bookmarkStart w:id="33" w:name="Tc_cB7WGwOlcEyWnuAYbq3_AQ_0_2"/>
      <w:bookmarkStart w:id="34" w:name="_96cf80c9_aa71_4313_b027_4d9143187851"/>
      <w:bookmarkStart w:id="35" w:name="Tc_Av5OzVpnBUi-GDkuunDJag_1_4"/>
      <w:bookmarkStart w:id="36" w:name="Tc_Axj2_uP2AU2V-P682LoK0A_1_2"/>
      <w:bookmarkStart w:id="37" w:name="Tc_i_kBzB52p0mlOyeE-prNmQ_1_0"/>
      <w:bookmarkStart w:id="38" w:name="Tc_1rpWWU5A40Scw4kH18jtiQ_0_4"/>
      <w:bookmarkStart w:id="39" w:name="Tc_cB7WGwOlcEyWnuAYbq3_AQ_0_2"/>
      <w:bookmarkStart w:id="40" w:name="_96cf80c9_aa71_4313_b027_4d9143187851"/>
      <w:bookmarkEnd w:id="35"/>
      <w:bookmarkEnd w:id="36"/>
      <w:bookmarkEnd w:id="37"/>
      <w:bookmarkEnd w:id="38"/>
      <w:bookmarkEnd w:id="39"/>
      <w:bookmarkEnd w:id="40"/>
    </w:p>
    <w:tbl>
      <w:tblPr>
        <w:tblW w:w="6535" w:type="dxa"/>
        <w:jc w:val="left"/>
        <w:tblInd w:w="0" w:type="dxa"/>
        <w:tblLayout w:type="fixed"/>
        <w:tblCellMar>
          <w:top w:w="0" w:type="dxa"/>
          <w:left w:w="0" w:type="dxa"/>
          <w:bottom w:w="0" w:type="dxa"/>
          <w:right w:w="0" w:type="dxa"/>
        </w:tblCellMar>
      </w:tblPr>
      <w:tblGrid>
        <w:gridCol w:w="2641"/>
        <w:gridCol w:w="326"/>
        <w:gridCol w:w="826"/>
        <w:gridCol w:w="326"/>
        <w:gridCol w:w="2416"/>
      </w:tblGrid>
      <w:tr>
        <w:trPr/>
        <w:tc>
          <w:tcPr>
            <w:tcW w:w="26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tc>
        <w:tc>
          <w:tcPr>
            <w:tcW w:w="326" w:type="dxa"/>
            <w:tcBorders/>
            <w:vAlign w:val="center"/>
          </w:tcPr>
          <w:p>
            <w:pPr>
              <w:pStyle w:val="TableContents"/>
              <w:bidi w:val="0"/>
              <w:spacing w:before="0" w:after="0"/>
              <w:ind w:left="0" w:right="0" w:hanging="0"/>
              <w:jc w:val="center"/>
              <w:rPr/>
            </w:pPr>
            <w:r>
              <w:rPr/>
              <w:t>    </w:t>
            </w:r>
          </w:p>
        </w:tc>
        <w:tc>
          <w:tcPr>
            <w:tcW w:w="24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r>
          </w:p>
        </w:tc>
      </w:tr>
      <w:tr>
        <w:trPr/>
        <w:tc>
          <w:tcPr>
            <w:tcW w:w="26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vAlign w:val="center"/>
          </w:tcPr>
          <w:p>
            <w:pPr>
              <w:pStyle w:val="TableContents"/>
              <w:bidi w:val="0"/>
              <w:spacing w:before="0" w:after="0"/>
              <w:ind w:left="0" w:right="0" w:hanging="0"/>
              <w:jc w:val="center"/>
              <w:rPr/>
            </w:pPr>
            <w:r>
              <w:rPr/>
              <w:t>​</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on which registered</w:t>
            </w:r>
          </w:p>
        </w:tc>
      </w:tr>
      <w:tr>
        <w:trPr/>
        <w:tc>
          <w:tcPr>
            <w:tcW w:w="26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par value $0.0001</w:t>
              <w:br/>
              <w:t>per share</w:t>
            </w:r>
          </w:p>
        </w:tc>
        <w:tc>
          <w:tcPr>
            <w:tcW w:w="326" w:type="dxa"/>
            <w:tcBorders/>
            <w:vAlign w:val="center"/>
          </w:tcPr>
          <w:p>
            <w:pPr>
              <w:pStyle w:val="TableContents"/>
              <w:bidi w:val="0"/>
              <w:spacing w:before="0" w:after="0"/>
              <w:ind w:left="0" w:right="0" w:hanging="0"/>
              <w:jc w:val="center"/>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ADGM</w:t>
            </w:r>
          </w:p>
        </w:tc>
        <w:tc>
          <w:tcPr>
            <w:tcW w:w="326" w:type="dxa"/>
            <w:tcBorders/>
            <w:vAlign w:val="center"/>
          </w:tcPr>
          <w:p>
            <w:pPr>
              <w:pStyle w:val="TableContents"/>
              <w:bidi w:val="0"/>
              <w:spacing w:before="0" w:after="0"/>
              <w:ind w:left="0" w:right="0" w:hanging="0"/>
              <w:jc w:val="center"/>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 Nasdaq Stock Market LLC</w:t>
            </w:r>
          </w:p>
        </w:tc>
      </w:tr>
    </w:tbl>
    <w:p>
      <w:pPr>
        <w:pStyle w:val="TextBody"/>
        <w:bidi w:val="0"/>
        <w:spacing w:before="0" w:after="0"/>
        <w:ind w:left="0" w:right="0" w:hanging="0"/>
        <w:jc w:val="left"/>
        <w:rPr/>
      </w:pPr>
      <w:r>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6"/>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41" w:name="Tc_Rn4cHfqxCUyebMlht3_P-g_4_2"/>
      <w:bookmarkStart w:id="42" w:name="Tc_o5vA639U8kKmYZk2KDWTtg_2_2"/>
      <w:bookmarkStart w:id="43" w:name="Tc_C77ZirVZEU-UTrUjvb38xg_2_1"/>
      <w:bookmarkStart w:id="44" w:name="Tc_GT5MhD0lKk29AmbC6hbhQQ_0_3"/>
      <w:bookmarkStart w:id="45" w:name="Tc_HtEusY1rBUyIyVhcfsfg3g_0_2"/>
      <w:bookmarkStart w:id="46" w:name="Tc_wKwf_kGFmUWtP67218xgjg_0_1"/>
      <w:bookmarkStart w:id="47" w:name="Tc_0l0tzFbmm0SuzlVHuFLTqw_0_0"/>
      <w:bookmarkStart w:id="48" w:name="_0064e322_f64f_4288_b6a4_c098c2ed95e5"/>
      <w:bookmarkStart w:id="49" w:name="Tc_Rn4cHfqxCUyebMlht3_P-g_4_2"/>
      <w:bookmarkStart w:id="50" w:name="Tc_o5vA639U8kKmYZk2KDWTtg_2_2"/>
      <w:bookmarkStart w:id="51" w:name="Tc_C77ZirVZEU-UTrUjvb38xg_2_1"/>
      <w:bookmarkStart w:id="52" w:name="Tc_GT5MhD0lKk29AmbC6hbhQQ_0_3"/>
      <w:bookmarkStart w:id="53" w:name="Tc_HtEusY1rBUyIyVhcfsfg3g_0_2"/>
      <w:bookmarkStart w:id="54" w:name="Tc_wKwf_kGFmUWtP67218xgjg_0_1"/>
      <w:bookmarkStart w:id="55" w:name="Tc_0l0tzFbmm0SuzlVHuFLTqw_0_0"/>
      <w:bookmarkStart w:id="56" w:name="_0064e322_f64f_4288_b6a4_c098c2ed95e5"/>
      <w:bookmarkEnd w:id="49"/>
      <w:bookmarkEnd w:id="50"/>
      <w:bookmarkEnd w:id="51"/>
      <w:bookmarkEnd w:id="52"/>
      <w:bookmarkEnd w:id="53"/>
      <w:bookmarkEnd w:id="54"/>
      <w:bookmarkEnd w:id="55"/>
      <w:bookmarkEnd w:id="56"/>
    </w:p>
    <w:tbl>
      <w:tblPr>
        <w:tblW w:w="4369" w:type="dxa"/>
        <w:jc w:val="left"/>
        <w:tblInd w:w="0" w:type="dxa"/>
        <w:tblLayout w:type="fixed"/>
        <w:tblCellMar>
          <w:top w:w="0" w:type="dxa"/>
          <w:left w:w="0" w:type="dxa"/>
          <w:bottom w:w="0" w:type="dxa"/>
          <w:right w:w="0" w:type="dxa"/>
        </w:tblCellMar>
      </w:tblPr>
      <w:tblGrid>
        <w:gridCol w:w="1666"/>
        <w:gridCol w:w="316"/>
        <w:gridCol w:w="2026"/>
        <w:gridCol w:w="361"/>
      </w:tblGrid>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As of November 12, 2024, there were 14,535,136 shares of common stock, $0.0001 par value, issued and outstanding.</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7" w:name="_9149006f_82f6_432b_9d79_0988309e693f"/>
      <w:bookmarkEnd w:id="57"/>
      <w:r>
        <w:rPr>
          <w:rFonts w:ascii="Times New Roman;Times;serif" w:hAnsi="Times New Roman;Times;serif"/>
          <w:b/>
          <w:sz w:val="20"/>
        </w:rPr>
        <w:t>ADAGIO MEDICAL HOLDINGS,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FOR THE QUARTER ENDED SEPTEMBER 30, 2024</w:t>
      </w:r>
    </w:p>
    <w:p>
      <w:pPr>
        <w:pStyle w:val="TextBody"/>
        <w:bidi w:val="0"/>
        <w:spacing w:before="0" w:after="240"/>
        <w:ind w:left="0" w:right="0" w:hanging="0"/>
        <w:jc w:val="center"/>
        <w:rPr>
          <w:rFonts w:ascii="Times New Roman;Times;serif" w:hAnsi="Times New Roman;Times;serif"/>
          <w:b/>
          <w:sz w:val="20"/>
        </w:rPr>
      </w:pPr>
      <w:bookmarkStart w:id="58" w:name="TOC"/>
      <w:bookmarkEnd w:id="58"/>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561"/>
        <w:gridCol w:w="9072"/>
        <w:gridCol w:w="572"/>
      </w:tblGrid>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3" w:type="dxa"/>
            <w:gridSpan w:val="2"/>
            <w:tcBorders/>
            <w:vAlign w:val="center"/>
          </w:tcPr>
          <w:p>
            <w:pPr>
              <w:pStyle w:val="TableContents"/>
              <w:bidi w:val="0"/>
              <w:spacing w:before="0" w:after="0"/>
              <w:ind w:left="0" w:right="0" w:hanging="0"/>
              <w:jc w:val="left"/>
              <w:rPr/>
            </w:pPr>
            <w:hyperlink w:anchor="PARTIFINANCIALINFORMATION_76804">
              <w:r>
                <w:rPr>
                  <w:rStyle w:val="InternetLink"/>
                  <w:rFonts w:ascii="Times New Roman;Times;serif" w:hAnsi="Times New Roman;Times;serif"/>
                  <w:b/>
                  <w:i w:val="false"/>
                  <w:caps w:val="false"/>
                  <w:smallCaps w:val="false"/>
                  <w:sz w:val="20"/>
                </w:rPr>
                <w:t xml:space="preserve">PART I </w:t>
              </w:r>
            </w:hyperlink>
            <w:hyperlink w:anchor="PARTIFINANCIALINFORMATION_76804">
              <w:r>
                <w:rPr>
                  <w:rStyle w:val="InternetLink"/>
                  <w:rFonts w:ascii="Times New Roman;Times;serif" w:hAnsi="Times New Roman;Times;serif"/>
                  <w:b w:val="false"/>
                  <w:i w:val="false"/>
                  <w:caps w:val="false"/>
                  <w:smallCaps w:val="false"/>
                  <w:sz w:val="20"/>
                </w:rPr>
                <w:t xml:space="preserve">: </w:t>
              </w:r>
            </w:hyperlink>
            <w:hyperlink w:anchor="PARTIFINANCIALINFORMATION_76804">
              <w:r>
                <w:rPr>
                  <w:rStyle w:val="InternetLink"/>
                  <w:rFonts w:ascii="Times New Roman;Times;serif" w:hAnsi="Times New Roman;Times;serif"/>
                  <w:b/>
                  <w:i w:val="false"/>
                  <w:caps w:val="false"/>
                  <w:smallCaps w:val="false"/>
                  <w:sz w:val="20"/>
                </w:rPr>
                <w:t>FINANCIAL INFORMATION</w:t>
              </w:r>
            </w:hyperlink>
          </w:p>
        </w:tc>
        <w:tc>
          <w:tcPr>
            <w:tcW w:w="572"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hyperlink w:anchor="Item1FinancialStatements_949025">
              <w:r>
                <w:rPr>
                  <w:rStyle w:val="InternetLink"/>
                  <w:rFonts w:ascii="Times New Roman;Times;serif" w:hAnsi="Times New Roman;Times;serif"/>
                  <w:b w:val="false"/>
                  <w:i w:val="false"/>
                  <w:caps w:val="false"/>
                  <w:smallCaps w:val="false"/>
                  <w:sz w:val="20"/>
                </w:rPr>
                <w:t>Item 1.</w:t>
              </w:r>
            </w:hyperlink>
          </w:p>
        </w:tc>
        <w:tc>
          <w:tcPr>
            <w:tcW w:w="9072" w:type="dxa"/>
            <w:tcBorders/>
            <w:vAlign w:val="center"/>
          </w:tcPr>
          <w:p>
            <w:pPr>
              <w:pStyle w:val="TableContents"/>
              <w:bidi w:val="0"/>
              <w:spacing w:before="0" w:after="0"/>
              <w:ind w:left="0" w:right="0" w:hanging="0"/>
              <w:jc w:val="left"/>
              <w:rPr/>
            </w:pPr>
            <w:hyperlink w:anchor="Balance_Sheet">
              <w:r>
                <w:rPr>
                  <w:rStyle w:val="InternetLink"/>
                  <w:rFonts w:ascii="Times New Roman;Times;serif" w:hAnsi="Times New Roman;Times;serif"/>
                  <w:b w:val="false"/>
                  <w:i w:val="false"/>
                  <w:caps w:val="false"/>
                  <w:smallCaps w:val="false"/>
                  <w:sz w:val="20"/>
                </w:rPr>
                <w:t>Condensed Consolidated Financial Statements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hyperlink w:anchor="Balance_Sheet">
              <w:r>
                <w:rPr>
                  <w:rStyle w:val="InternetLink"/>
                  <w:rFonts w:ascii="Times New Roman;Times;serif" w:hAnsi="Times New Roman;Times;serif"/>
                  <w:b w:val="false"/>
                  <w:i w:val="false"/>
                  <w:caps w:val="false"/>
                  <w:smallCaps w:val="false"/>
                  <w:sz w:val="20"/>
                </w:rPr>
                <w:t>Condensed Consolidated Balance Sheets as of September 30, 2024 (Successor) (Unaudited) and December 31, 2023 (Predecessor)</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hyperlink w:anchor="Income_STMT">
              <w:r>
                <w:rPr>
                  <w:rStyle w:val="InternetLink"/>
                  <w:rFonts w:ascii="Times New Roman;Times;serif" w:hAnsi="Times New Roman;Times;serif"/>
                  <w:b w:val="false"/>
                  <w:i w:val="false"/>
                  <w:caps w:val="false"/>
                  <w:smallCaps w:val="false"/>
                  <w:sz w:val="20"/>
                </w:rPr>
                <w:t xml:space="preserve">Unaudited Condensed Consolidated Statements of Operations and Comprehensive Income (Loss) for the periods from July 1, 2024 to July 30, 2024 (Predecessor), July 31, 2024 to September 30, 2024 (Successor), January 1, 2024 to July 30, 2024 (Predecessor), and July 31, 2024 to September 30, 2024 (Successor), and for the three and nine months ended September 30, 2023 (Predecessor) </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hyperlink w:anchor="SSE">
              <w:r>
                <w:rPr>
                  <w:rStyle w:val="InternetLink"/>
                  <w:rFonts w:ascii="Times New Roman;Times;serif" w:hAnsi="Times New Roman;Times;serif"/>
                  <w:b w:val="false"/>
                  <w:i w:val="false"/>
                  <w:caps w:val="false"/>
                  <w:smallCaps w:val="false"/>
                  <w:sz w:val="20"/>
                </w:rPr>
                <w:t xml:space="preserve">Unaudited Condensed Consolidated Statements of Convertible Preferred Stock and Stockholders’ Equity (Deficit) for the periods from July 1, 2024 to July 30, 2024 (Predecessor), July 31, 2024 to September 30, 2024 (Successor), January 1, 2024 to July 30, 2024 (Predecessor), and July 31, 2024 to September 30, 2024 (Successor), and for the three and nine months ended September 30, 2023 (Predecessor) </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hyperlink w:anchor="CFS">
              <w:r>
                <w:rPr>
                  <w:rStyle w:val="InternetLink"/>
                  <w:rFonts w:ascii="Times New Roman;Times;serif" w:hAnsi="Times New Roman;Times;serif"/>
                  <w:b w:val="false"/>
                  <w:i w:val="false"/>
                  <w:caps w:val="false"/>
                  <w:smallCaps w:val="false"/>
                  <w:sz w:val="20"/>
                </w:rPr>
                <w:t>Unaudited Condensed Consolidated Statements of Cash Flows for the periods from January 1, 2024 to July 30, 2024 (Predecessor) and July 31, 2024 to September 30, 2024 (Successor), and for the nine months ended September 30, 2023 (Predecessor)</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hyperlink w:anchor="Item2ManagementsDiscussionandAnalysis_12">
              <w:r>
                <w:rPr>
                  <w:rStyle w:val="InternetLink"/>
                  <w:rFonts w:ascii="Times New Roman;Times;serif" w:hAnsi="Times New Roman;Times;serif"/>
                  <w:b w:val="false"/>
                  <w:i w:val="false"/>
                  <w:caps w:val="false"/>
                  <w:smallCaps w:val="false"/>
                  <w:sz w:val="20"/>
                </w:rPr>
                <w:t>Item 2.</w:t>
              </w:r>
            </w:hyperlink>
          </w:p>
        </w:tc>
        <w:tc>
          <w:tcPr>
            <w:tcW w:w="9072" w:type="dxa"/>
            <w:tcBorders/>
            <w:vAlign w:val="center"/>
          </w:tcPr>
          <w:p>
            <w:pPr>
              <w:pStyle w:val="TableContents"/>
              <w:bidi w:val="0"/>
              <w:spacing w:before="0" w:after="0"/>
              <w:ind w:left="0" w:right="0" w:hanging="0"/>
              <w:jc w:val="left"/>
              <w:rPr/>
            </w:pPr>
            <w:hyperlink w:anchor="Item2ManagementsDiscussionandAnalysis_1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9072"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hyperlink w:anchor="Item4ControlsandProcedures_352413">
              <w:r>
                <w:rPr>
                  <w:rStyle w:val="InternetLink"/>
                  <w:rFonts w:ascii="Times New Roman;Times;serif" w:hAnsi="Times New Roman;Times;serif"/>
                  <w:b w:val="false"/>
                  <w:i w:val="false"/>
                  <w:caps w:val="false"/>
                  <w:smallCaps w:val="false"/>
                  <w:sz w:val="20"/>
                </w:rPr>
                <w:t>Item 4.</w:t>
              </w:r>
            </w:hyperlink>
          </w:p>
        </w:tc>
        <w:tc>
          <w:tcPr>
            <w:tcW w:w="9072" w:type="dxa"/>
            <w:tcBorders/>
            <w:vAlign w:val="center"/>
          </w:tcPr>
          <w:p>
            <w:pPr>
              <w:pStyle w:val="TableContents"/>
              <w:bidi w:val="0"/>
              <w:spacing w:before="0" w:after="0"/>
              <w:ind w:left="0" w:right="0" w:hanging="0"/>
              <w:jc w:val="left"/>
              <w:rPr/>
            </w:pPr>
            <w:hyperlink w:anchor="Item4ControlsandProcedures_352413">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9633" w:type="dxa"/>
            <w:gridSpan w:val="2"/>
            <w:tcBorders/>
            <w:vAlign w:val="center"/>
          </w:tcPr>
          <w:p>
            <w:pPr>
              <w:pStyle w:val="TableContents"/>
              <w:bidi w:val="0"/>
              <w:spacing w:before="0" w:after="0"/>
              <w:ind w:left="0" w:right="0" w:hanging="0"/>
              <w:jc w:val="left"/>
              <w:rPr/>
            </w:pPr>
            <w:hyperlink w:anchor="PARTIIOTHERINFORMATION_699286">
              <w:r>
                <w:rPr>
                  <w:rStyle w:val="InternetLink"/>
                  <w:rFonts w:ascii="Times New Roman;Times;serif" w:hAnsi="Times New Roman;Times;serif"/>
                  <w:b/>
                  <w:i w:val="false"/>
                  <w:caps w:val="false"/>
                  <w:smallCaps w:val="false"/>
                  <w:sz w:val="20"/>
                </w:rPr>
                <w:t>PART II - OTHER INFORMATION</w:t>
              </w:r>
            </w:hyperlink>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hyperlink w:anchor="Item1_184970">
              <w:r>
                <w:rPr>
                  <w:rStyle w:val="InternetLink"/>
                  <w:rFonts w:ascii="Times New Roman;Times;serif" w:hAnsi="Times New Roman;Times;serif"/>
                  <w:b w:val="false"/>
                  <w:i w:val="false"/>
                  <w:caps w:val="false"/>
                  <w:smallCaps w:val="false"/>
                  <w:sz w:val="20"/>
                </w:rPr>
                <w:t>Item 1.</w:t>
              </w:r>
            </w:hyperlink>
          </w:p>
        </w:tc>
        <w:tc>
          <w:tcPr>
            <w:tcW w:w="9072" w:type="dxa"/>
            <w:tcBorders/>
            <w:vAlign w:val="center"/>
          </w:tcPr>
          <w:p>
            <w:pPr>
              <w:pStyle w:val="TableContents"/>
              <w:bidi w:val="0"/>
              <w:spacing w:before="0" w:after="0"/>
              <w:ind w:left="0" w:right="0" w:hanging="0"/>
              <w:jc w:val="left"/>
              <w:rPr/>
            </w:pPr>
            <w:hyperlink w:anchor="Item1_184970">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hyperlink w:anchor="Item1A_807724">
              <w:r>
                <w:rPr>
                  <w:rStyle w:val="InternetLink"/>
                  <w:rFonts w:ascii="Times New Roman;Times;serif" w:hAnsi="Times New Roman;Times;serif"/>
                  <w:b w:val="false"/>
                  <w:i w:val="false"/>
                  <w:caps w:val="false"/>
                  <w:smallCaps w:val="false"/>
                  <w:sz w:val="20"/>
                </w:rPr>
                <w:t>Item 1A.</w:t>
              </w:r>
            </w:hyperlink>
          </w:p>
        </w:tc>
        <w:tc>
          <w:tcPr>
            <w:tcW w:w="9072" w:type="dxa"/>
            <w:tcBorders/>
            <w:vAlign w:val="center"/>
          </w:tcPr>
          <w:p>
            <w:pPr>
              <w:pStyle w:val="TableContents"/>
              <w:bidi w:val="0"/>
              <w:spacing w:before="0" w:after="0"/>
              <w:ind w:left="0" w:right="0" w:hanging="0"/>
              <w:jc w:val="left"/>
              <w:rPr/>
            </w:pPr>
            <w:hyperlink w:anchor="Item1A_807724">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hyperlink w:anchor="Item2UnregisteredSalesofEquity_747415">
              <w:r>
                <w:rPr>
                  <w:rStyle w:val="InternetLink"/>
                  <w:rFonts w:ascii="Times New Roman;Times;serif" w:hAnsi="Times New Roman;Times;serif"/>
                  <w:b w:val="false"/>
                  <w:i w:val="false"/>
                  <w:caps w:val="false"/>
                  <w:smallCaps w:val="false"/>
                  <w:sz w:val="20"/>
                </w:rPr>
                <w:t>Item 2.</w:t>
              </w:r>
            </w:hyperlink>
          </w:p>
        </w:tc>
        <w:tc>
          <w:tcPr>
            <w:tcW w:w="9072" w:type="dxa"/>
            <w:tcBorders/>
            <w:vAlign w:val="center"/>
          </w:tcPr>
          <w:p>
            <w:pPr>
              <w:pStyle w:val="TableContents"/>
              <w:bidi w:val="0"/>
              <w:spacing w:before="0" w:after="0"/>
              <w:ind w:left="0" w:right="0" w:hanging="0"/>
              <w:jc w:val="left"/>
              <w:rPr/>
            </w:pPr>
            <w:hyperlink w:anchor="Item2UnregisteredSalesofEquity_747415">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hyperlink w:anchor="Item3DefaultsuponSeniorSecurities_12800">
              <w:r>
                <w:rPr>
                  <w:rStyle w:val="InternetLink"/>
                  <w:rFonts w:ascii="Times New Roman;Times;serif" w:hAnsi="Times New Roman;Times;serif"/>
                  <w:b w:val="false"/>
                  <w:i w:val="false"/>
                  <w:caps w:val="false"/>
                  <w:smallCaps w:val="false"/>
                  <w:sz w:val="20"/>
                </w:rPr>
                <w:t>Item 3.</w:t>
              </w:r>
            </w:hyperlink>
          </w:p>
        </w:tc>
        <w:tc>
          <w:tcPr>
            <w:tcW w:w="9072" w:type="dxa"/>
            <w:tcBorders/>
            <w:vAlign w:val="center"/>
          </w:tcPr>
          <w:p>
            <w:pPr>
              <w:pStyle w:val="TableContents"/>
              <w:bidi w:val="0"/>
              <w:spacing w:before="0" w:after="0"/>
              <w:ind w:left="0" w:right="0" w:hanging="0"/>
              <w:jc w:val="left"/>
              <w:rPr/>
            </w:pPr>
            <w:hyperlink w:anchor="Item3DefaultsuponSeniorSecurities_12800">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hyperlink w:anchor="Item4MineSafetyDisclosures_857010">
              <w:r>
                <w:rPr>
                  <w:rStyle w:val="InternetLink"/>
                  <w:rFonts w:ascii="Times New Roman;Times;serif" w:hAnsi="Times New Roman;Times;serif"/>
                  <w:b w:val="false"/>
                  <w:i w:val="false"/>
                  <w:caps w:val="false"/>
                  <w:smallCaps w:val="false"/>
                  <w:sz w:val="20"/>
                </w:rPr>
                <w:t>Item 4.</w:t>
              </w:r>
            </w:hyperlink>
          </w:p>
        </w:tc>
        <w:tc>
          <w:tcPr>
            <w:tcW w:w="9072" w:type="dxa"/>
            <w:tcBorders/>
            <w:vAlign w:val="center"/>
          </w:tcPr>
          <w:p>
            <w:pPr>
              <w:pStyle w:val="TableContents"/>
              <w:bidi w:val="0"/>
              <w:spacing w:before="0" w:after="0"/>
              <w:ind w:left="0" w:right="0" w:hanging="0"/>
              <w:jc w:val="left"/>
              <w:rPr/>
            </w:pPr>
            <w:hyperlink w:anchor="Item4MineSafetyDisclosures_857010">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hyperlink w:anchor="Item5OtherInformation_402779">
              <w:r>
                <w:rPr>
                  <w:rStyle w:val="InternetLink"/>
                  <w:rFonts w:ascii="Times New Roman;Times;serif" w:hAnsi="Times New Roman;Times;serif"/>
                  <w:b w:val="false"/>
                  <w:i w:val="false"/>
                  <w:caps w:val="false"/>
                  <w:smallCaps w:val="false"/>
                  <w:sz w:val="20"/>
                </w:rPr>
                <w:t>Item 5.</w:t>
              </w:r>
            </w:hyperlink>
          </w:p>
        </w:tc>
        <w:tc>
          <w:tcPr>
            <w:tcW w:w="9072" w:type="dxa"/>
            <w:tcBorders/>
            <w:vAlign w:val="center"/>
          </w:tcPr>
          <w:p>
            <w:pPr>
              <w:pStyle w:val="TableContents"/>
              <w:bidi w:val="0"/>
              <w:spacing w:before="0" w:after="0"/>
              <w:ind w:left="0" w:right="0" w:hanging="0"/>
              <w:jc w:val="left"/>
              <w:rPr/>
            </w:pPr>
            <w:hyperlink w:anchor="Item5OtherInformation_402779">
              <w:r>
                <w:rPr>
                  <w:rStyle w:val="InternetLink"/>
                  <w:rFonts w:ascii="Times New Roman;Times;serif" w:hAnsi="Times New Roman;Times;serif"/>
                  <w:b w:val="false"/>
                  <w:i w:val="false"/>
                  <w:caps w:val="false"/>
                  <w:smallCaps w:val="false"/>
                  <w:sz w:val="20"/>
                </w:rPr>
                <w:t>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561" w:type="dxa"/>
            <w:tcBorders/>
            <w:vAlign w:val="center"/>
          </w:tcPr>
          <w:p>
            <w:pPr>
              <w:pStyle w:val="TableContents"/>
              <w:bidi w:val="0"/>
              <w:spacing w:before="0" w:after="0"/>
              <w:ind w:left="0" w:right="0" w:hanging="0"/>
              <w:jc w:val="left"/>
              <w:rPr/>
            </w:pPr>
            <w:hyperlink w:anchor="Item6Exhibits_682725">
              <w:r>
                <w:rPr>
                  <w:rStyle w:val="InternetLink"/>
                  <w:rFonts w:ascii="Times New Roman;Times;serif" w:hAnsi="Times New Roman;Times;serif"/>
                  <w:b w:val="false"/>
                  <w:i w:val="false"/>
                  <w:caps w:val="false"/>
                  <w:smallCaps w:val="false"/>
                  <w:sz w:val="20"/>
                </w:rPr>
                <w:t>Item 6.</w:t>
              </w:r>
            </w:hyperlink>
          </w:p>
        </w:tc>
        <w:tc>
          <w:tcPr>
            <w:tcW w:w="9072" w:type="dxa"/>
            <w:tcBorders/>
            <w:vAlign w:val="center"/>
          </w:tcPr>
          <w:p>
            <w:pPr>
              <w:pStyle w:val="TableContents"/>
              <w:bidi w:val="0"/>
              <w:spacing w:before="0" w:after="0"/>
              <w:ind w:left="0" w:right="0" w:hanging="0"/>
              <w:jc w:val="left"/>
              <w:rPr/>
            </w:pPr>
            <w:hyperlink w:anchor="Item6Exhibits_682725">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561" w:type="dxa"/>
            <w:tcBorders/>
            <w:vAlign w:val="center"/>
          </w:tcPr>
          <w:p>
            <w:pPr>
              <w:pStyle w:val="TableContents"/>
              <w:bidi w:val="0"/>
              <w:spacing w:before="0" w:after="0"/>
              <w:ind w:left="0" w:right="0" w:hanging="0"/>
              <w:jc w:val="left"/>
              <w:rPr/>
            </w:pPr>
            <w:r>
              <w:rPr/>
              <w:t>​</w:t>
            </w:r>
          </w:p>
        </w:tc>
        <w:tc>
          <w:tcPr>
            <w:tcW w:w="907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9633" w:type="dxa"/>
            <w:gridSpan w:val="2"/>
            <w:tcBorders/>
            <w:vAlign w:val="center"/>
          </w:tcPr>
          <w:p>
            <w:pPr>
              <w:pStyle w:val="TableContents"/>
              <w:bidi w:val="0"/>
              <w:spacing w:before="0" w:after="0"/>
              <w:ind w:left="0" w:right="0" w:hanging="0"/>
              <w:jc w:val="left"/>
              <w:rPr/>
            </w:pPr>
            <w:hyperlink w:anchor="SIGNATURES_342629">
              <w:r>
                <w:rPr>
                  <w:rStyle w:val="InternetLink"/>
                  <w:rFonts w:ascii="Times New Roman;Times;serif" w:hAnsi="Times New Roman;Times;serif"/>
                  <w:b/>
                  <w:i w:val="false"/>
                  <w:caps w:val="false"/>
                  <w:smallCaps w:val="false"/>
                  <w:sz w:val="20"/>
                </w:rPr>
                <w:t>SIGNATURES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59" w:name="PARTIFINANCIALINFORMATION_76804"/>
      <w:bookmarkStart w:id="60" w:name="_fe91403a_d273_404b_9eaa_a97d8c9bd869"/>
      <w:bookmarkEnd w:id="59"/>
      <w:bookmarkEnd w:id="60"/>
      <w:r>
        <w:rPr>
          <w:rFonts w:ascii="Times New Roman;Times;serif" w:hAnsi="Times New Roman;Times;serif"/>
          <w:b/>
          <w:sz w:val="20"/>
        </w:rPr>
        <w:t>PART I - FINANCIAL INFORMATION</w:t>
      </w:r>
    </w:p>
    <w:p>
      <w:pPr>
        <w:pStyle w:val="TextBody"/>
        <w:bidi w:val="0"/>
        <w:spacing w:before="120" w:after="0"/>
        <w:ind w:left="0" w:right="0" w:hanging="0"/>
        <w:jc w:val="left"/>
        <w:rPr>
          <w:rFonts w:ascii="Times New Roman;Times;serif" w:hAnsi="Times New Roman;Times;serif"/>
          <w:b/>
          <w:sz w:val="20"/>
        </w:rPr>
      </w:pPr>
      <w:r>
        <w:rPr>
          <w:rFonts w:ascii="Times New Roman;Times;serif" w:hAnsi="Times New Roman;Times;serif"/>
          <w:b/>
          <w:sz w:val="20"/>
        </w:rPr>
        <w:t>Item 1. Condensed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Adagio Medical Holdings Inc.</w:t>
      </w:r>
    </w:p>
    <w:p>
      <w:pPr>
        <w:pStyle w:val="TextBody"/>
        <w:bidi w:val="0"/>
        <w:spacing w:before="0" w:after="0"/>
        <w:ind w:left="0" w:right="0" w:hanging="0"/>
        <w:jc w:val="center"/>
        <w:rPr>
          <w:rFonts w:ascii="Times New Roman;Times;serif" w:hAnsi="Times New Roman;Times;serif"/>
          <w:b/>
          <w:sz w:val="20"/>
        </w:rPr>
      </w:pPr>
      <w:bookmarkStart w:id="61" w:name="Balance_Sheet"/>
      <w:bookmarkStart w:id="62" w:name="Item1FinancialStatements_949025"/>
      <w:bookmarkEnd w:id="61"/>
      <w:bookmarkEnd w:id="62"/>
      <w:r>
        <w:rPr>
          <w:rFonts w:ascii="Times New Roman;Times;serif" w:hAnsi="Times New Roman;Times;serif"/>
          <w:b/>
          <w:sz w:val="20"/>
        </w:rPr>
        <w:t xml:space="preserve">Condensed Consolidated Balance Sheets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share and per share data)</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63" w:name="Tc_Ty2aH629-02xdkYewli_Hg_46_6"/>
      <w:bookmarkStart w:id="64" w:name="Tc_gPezKlHL8kqxT__sBcg-Lg_46_2"/>
      <w:bookmarkStart w:id="65" w:name="Tc_UqkFuie9IkKr6G6ABMHv5w_46_0"/>
      <w:bookmarkStart w:id="66" w:name="Tc_cIRbIVG9GU-n_XMi52T1hg_45_0"/>
      <w:bookmarkStart w:id="67" w:name="Tc_iXCUggh1eUOOQ16kl0lvGQ_44_0"/>
      <w:bookmarkStart w:id="68" w:name="Tc_WqcEmjzAuEGhLX47mxhz1Q_43_0"/>
      <w:bookmarkStart w:id="69" w:name="Tc_s3mprxo5D0qIx9t2P3FQtw_42_0"/>
      <w:bookmarkStart w:id="70" w:name="Tc_wPX5Uxo8SEmyrXYd3rSUGA_41_7"/>
      <w:bookmarkStart w:id="71" w:name="Tc_HDDvj69pK0qpleO-SdlyOA_41_0"/>
      <w:bookmarkStart w:id="72" w:name="Tc_Rx71Q-ZjtUK29EMn5qms2Q_40_3"/>
      <w:bookmarkStart w:id="73" w:name="Tc_PXLEhZPc-0qQAx3kn1Oxtg_40_0"/>
      <w:bookmarkStart w:id="74" w:name="Tc_j4ya1rxiEEujmCeNfjlH5w_39_0"/>
      <w:bookmarkStart w:id="75" w:name="Tc_Ex3q1imkhEG825WTUFM8rQ_38_3"/>
      <w:bookmarkStart w:id="76" w:name="Tc_z9ugB5thA0qg0l2TOQToMw_38_0"/>
      <w:bookmarkStart w:id="77" w:name="Tc_vNi3oH5AJ0y_dYGVzp-HYA_37_0"/>
      <w:bookmarkStart w:id="78" w:name="Tc_M24hJFA7vEabuIkx111LQQ_36_0"/>
      <w:bookmarkStart w:id="79" w:name="Tc_Sh8MEC8tYkGXtFsf0zLcPQ_35_0"/>
      <w:bookmarkStart w:id="80" w:name="Tc_57pm95Y_DkKa_s2Bfw-xog_34_3"/>
      <w:bookmarkStart w:id="81" w:name="Tc_kjABpm_b6EeT796lVM3gGg_34_0"/>
      <w:bookmarkStart w:id="82" w:name="Tc_e9aYB79Vz02fDV0iq3CvjQ_33_7"/>
      <w:bookmarkStart w:id="83" w:name="Tc_Bs5RWsf6-Uqh3anOgnYPYw_33_0"/>
      <w:bookmarkStart w:id="84" w:name="Tc_MCcvLOYjaEOg7P2rRmmaEw_32_7"/>
      <w:bookmarkStart w:id="85" w:name="Tc_6eUImDxneEqrldEhqFfecw_32_0"/>
      <w:bookmarkStart w:id="86" w:name="Tc_rPChNOwGAEawOIdH4VYijQ_31_7"/>
      <w:bookmarkStart w:id="87" w:name="Tc_IN7ByTZqVEmkeWJxy3YuMQ_31_0"/>
      <w:bookmarkStart w:id="88" w:name="Tc_ZYHs1Vj-JkKLsudLeQItTg_30_0"/>
      <w:bookmarkStart w:id="89" w:name="Tc_tvpFV5UOvEii3K7qsbHuGQ_29_0"/>
      <w:bookmarkStart w:id="90" w:name="Tc_oPxof3Fbaka4ZtLD8NZb1g_28_0"/>
      <w:bookmarkStart w:id="91" w:name="Tc_YWf95Fcxv02hFx6yHSMiQA_27_3"/>
      <w:bookmarkStart w:id="92" w:name="Tc_8kKsSRHuJUqk5c9a1gOq4A_27_0"/>
      <w:bookmarkStart w:id="93" w:name="Tc_7YRj0hGXqUuaHiyQdgBmEw_26_3"/>
      <w:bookmarkStart w:id="94" w:name="Tc_9edhGUsoaEmAVncB1MINaw_26_0"/>
      <w:bookmarkStart w:id="95" w:name="Tc_aGKmVrhKCUaFhxmZMDRVag_25_3"/>
      <w:bookmarkStart w:id="96" w:name="Tc_LEyNg1_V6E6XJJ_kQgPvEQ_25_0"/>
      <w:bookmarkStart w:id="97" w:name="Tc_-MmJz3DVR0KgqTz2lneWiA_24_3"/>
      <w:bookmarkStart w:id="98" w:name="Tc_OwcZV2WrrUupaaEkmmpsiw_24_0"/>
      <w:bookmarkStart w:id="99" w:name="Tc_pK_GetTwd0yhAgYpwE3c7w_23_0"/>
      <w:bookmarkStart w:id="100" w:name="Tc_kJh8-QcKB0GGNy127jr_TA_22_0"/>
      <w:bookmarkStart w:id="101" w:name="Tc_KnPICELzd0O4fnBxMiuPYA_21_6"/>
      <w:bookmarkStart w:id="102" w:name="Tc_SK3ZJgSLlEuswfeXYsVKkQ_21_2"/>
      <w:bookmarkStart w:id="103" w:name="Tc_yV7Jcw23N0-fsZdGe8TG7A_21_0"/>
      <w:bookmarkStart w:id="104" w:name="Tc_MqxQJwhPDkCjksBSoUjKgg_20_0"/>
      <w:bookmarkStart w:id="105" w:name="Tc_DWVD7c8-XkqqgosWC1ud9g_19_0"/>
      <w:bookmarkStart w:id="106" w:name="Tc_vQwyfcUYIEWw_PYI-fp-lA_18_6"/>
      <w:bookmarkStart w:id="107" w:name="Tc_MZLkA_2YqkOIDWFezIwPkg_18_2"/>
      <w:bookmarkStart w:id="108" w:name="Tc_8jpBqKZZSEi9CaN4qROkkg_18_0"/>
      <w:bookmarkStart w:id="109" w:name="Tc_uBGfCzaA00uO-BI7xbIRTg_17_0"/>
      <w:bookmarkStart w:id="110" w:name="Tc_OeZzVN6ONkm53vJ0zpArfg_16_7"/>
      <w:bookmarkStart w:id="111" w:name="Tc_65mDGW1pU0mG2bOHMUAKSw_16_0"/>
      <w:bookmarkStart w:id="112" w:name="Tc_53IDP5kcIkCrQmqaSZP8yA_15_7"/>
      <w:bookmarkStart w:id="113" w:name="Tc_zjjkFL2P30uDEyg_zbJ4QA_15_0"/>
      <w:bookmarkStart w:id="114" w:name="Tc_PL5Tdd_I8EegdnYJUW8lfA_14_0"/>
      <w:bookmarkStart w:id="115" w:name="Tc_HqrdpYNDjkOK43dfQpDmoA_13_0"/>
      <w:bookmarkStart w:id="116" w:name="Tc_a3obVowNuUKhHWNcyL20yg_12_0"/>
      <w:bookmarkStart w:id="117" w:name="Tc_qkdKqQpiFkCBCv90-K25xg_11_0"/>
      <w:bookmarkStart w:id="118" w:name="Tc_10dH1hnMPk6cewgv_sZ_2g_10_0"/>
      <w:bookmarkStart w:id="119" w:name="Tc_5YA0KzG5OkCLGocz3S-EEA_9_0"/>
      <w:bookmarkStart w:id="120" w:name="Tc_gKN4zd7rlU--e79EAHA_0A_8_0"/>
      <w:bookmarkStart w:id="121" w:name="Tc_MJzWaG3WW0eqTOZxbCi3sw_7_6"/>
      <w:bookmarkStart w:id="122" w:name="Tc_JmVydbdVbkCsI7_3-ckZWg_7_2"/>
      <w:bookmarkStart w:id="123" w:name="Tc_AhoP0JrH3UGRyNucsHzsoQ_7_0"/>
      <w:bookmarkStart w:id="124" w:name="Tc_9pmYeiwWskq4TsKQNCDIXA_6_0"/>
      <w:bookmarkStart w:id="125" w:name="Tc_CtXADpeTfUyrDOBGa9JiNw_5_0"/>
      <w:bookmarkStart w:id="126" w:name="Tc_JT9WmJLs_0mMNCxypmd29Q_4_2"/>
      <w:bookmarkStart w:id="127" w:name="Tc_zY5CmfW2PUeCmNzbNKmQOA_3_6"/>
      <w:bookmarkStart w:id="128" w:name="Tc_PMuJrXNFeEymmDvfHLmAwQ_3_2"/>
      <w:bookmarkStart w:id="129" w:name="Tc_Bt7ACBAMa02H-Xd9p3enPQ_2_6"/>
      <w:bookmarkStart w:id="130" w:name="Tc_5AJZdGjS30yeGUJ-Fm8CtA_2_2"/>
      <w:bookmarkStart w:id="131" w:name="_d8612756_de90_477e_a1c9_219edbea5961"/>
      <w:bookmarkStart w:id="132" w:name="Tc_Ty2aH629-02xdkYewli_Hg_46_6"/>
      <w:bookmarkStart w:id="133" w:name="Tc_gPezKlHL8kqxT__sBcg-Lg_46_2"/>
      <w:bookmarkStart w:id="134" w:name="Tc_UqkFuie9IkKr6G6ABMHv5w_46_0"/>
      <w:bookmarkStart w:id="135" w:name="Tc_cIRbIVG9GU-n_XMi52T1hg_45_0"/>
      <w:bookmarkStart w:id="136" w:name="Tc_iXCUggh1eUOOQ16kl0lvGQ_44_0"/>
      <w:bookmarkStart w:id="137" w:name="Tc_WqcEmjzAuEGhLX47mxhz1Q_43_0"/>
      <w:bookmarkStart w:id="138" w:name="Tc_s3mprxo5D0qIx9t2P3FQtw_42_0"/>
      <w:bookmarkStart w:id="139" w:name="Tc_wPX5Uxo8SEmyrXYd3rSUGA_41_7"/>
      <w:bookmarkStart w:id="140" w:name="Tc_HDDvj69pK0qpleO-SdlyOA_41_0"/>
      <w:bookmarkStart w:id="141" w:name="Tc_Rx71Q-ZjtUK29EMn5qms2Q_40_3"/>
      <w:bookmarkStart w:id="142" w:name="Tc_PXLEhZPc-0qQAx3kn1Oxtg_40_0"/>
      <w:bookmarkStart w:id="143" w:name="Tc_j4ya1rxiEEujmCeNfjlH5w_39_0"/>
      <w:bookmarkStart w:id="144" w:name="Tc_Ex3q1imkhEG825WTUFM8rQ_38_3"/>
      <w:bookmarkStart w:id="145" w:name="Tc_z9ugB5thA0qg0l2TOQToMw_38_0"/>
      <w:bookmarkStart w:id="146" w:name="Tc_vNi3oH5AJ0y_dYGVzp-HYA_37_0"/>
      <w:bookmarkStart w:id="147" w:name="Tc_M24hJFA7vEabuIkx111LQQ_36_0"/>
      <w:bookmarkStart w:id="148" w:name="Tc_Sh8MEC8tYkGXtFsf0zLcPQ_35_0"/>
      <w:bookmarkStart w:id="149" w:name="Tc_57pm95Y_DkKa_s2Bfw-xog_34_3"/>
      <w:bookmarkStart w:id="150" w:name="Tc_kjABpm_b6EeT796lVM3gGg_34_0"/>
      <w:bookmarkStart w:id="151" w:name="Tc_e9aYB79Vz02fDV0iq3CvjQ_33_7"/>
      <w:bookmarkStart w:id="152" w:name="Tc_Bs5RWsf6-Uqh3anOgnYPYw_33_0"/>
      <w:bookmarkStart w:id="153" w:name="Tc_MCcvLOYjaEOg7P2rRmmaEw_32_7"/>
      <w:bookmarkStart w:id="154" w:name="Tc_6eUImDxneEqrldEhqFfecw_32_0"/>
      <w:bookmarkStart w:id="155" w:name="Tc_rPChNOwGAEawOIdH4VYijQ_31_7"/>
      <w:bookmarkStart w:id="156" w:name="Tc_IN7ByTZqVEmkeWJxy3YuMQ_31_0"/>
      <w:bookmarkStart w:id="157" w:name="Tc_ZYHs1Vj-JkKLsudLeQItTg_30_0"/>
      <w:bookmarkStart w:id="158" w:name="Tc_tvpFV5UOvEii3K7qsbHuGQ_29_0"/>
      <w:bookmarkStart w:id="159" w:name="Tc_oPxof3Fbaka4ZtLD8NZb1g_28_0"/>
      <w:bookmarkStart w:id="160" w:name="Tc_YWf95Fcxv02hFx6yHSMiQA_27_3"/>
      <w:bookmarkStart w:id="161" w:name="Tc_8kKsSRHuJUqk5c9a1gOq4A_27_0"/>
      <w:bookmarkStart w:id="162" w:name="Tc_7YRj0hGXqUuaHiyQdgBmEw_26_3"/>
      <w:bookmarkStart w:id="163" w:name="Tc_9edhGUsoaEmAVncB1MINaw_26_0"/>
      <w:bookmarkStart w:id="164" w:name="Tc_aGKmVrhKCUaFhxmZMDRVag_25_3"/>
      <w:bookmarkStart w:id="165" w:name="Tc_LEyNg1_V6E6XJJ_kQgPvEQ_25_0"/>
      <w:bookmarkStart w:id="166" w:name="Tc_-MmJz3DVR0KgqTz2lneWiA_24_3"/>
      <w:bookmarkStart w:id="167" w:name="Tc_OwcZV2WrrUupaaEkmmpsiw_24_0"/>
      <w:bookmarkStart w:id="168" w:name="Tc_pK_GetTwd0yhAgYpwE3c7w_23_0"/>
      <w:bookmarkStart w:id="169" w:name="Tc_kJh8-QcKB0GGNy127jr_TA_22_0"/>
      <w:bookmarkStart w:id="170" w:name="Tc_KnPICELzd0O4fnBxMiuPYA_21_6"/>
      <w:bookmarkStart w:id="171" w:name="Tc_SK3ZJgSLlEuswfeXYsVKkQ_21_2"/>
      <w:bookmarkStart w:id="172" w:name="Tc_yV7Jcw23N0-fsZdGe8TG7A_21_0"/>
      <w:bookmarkStart w:id="173" w:name="Tc_MqxQJwhPDkCjksBSoUjKgg_20_0"/>
      <w:bookmarkStart w:id="174" w:name="Tc_DWVD7c8-XkqqgosWC1ud9g_19_0"/>
      <w:bookmarkStart w:id="175" w:name="Tc_vQwyfcUYIEWw_PYI-fp-lA_18_6"/>
      <w:bookmarkStart w:id="176" w:name="Tc_MZLkA_2YqkOIDWFezIwPkg_18_2"/>
      <w:bookmarkStart w:id="177" w:name="Tc_8jpBqKZZSEi9CaN4qROkkg_18_0"/>
      <w:bookmarkStart w:id="178" w:name="Tc_uBGfCzaA00uO-BI7xbIRTg_17_0"/>
      <w:bookmarkStart w:id="179" w:name="Tc_OeZzVN6ONkm53vJ0zpArfg_16_7"/>
      <w:bookmarkStart w:id="180" w:name="Tc_65mDGW1pU0mG2bOHMUAKSw_16_0"/>
      <w:bookmarkStart w:id="181" w:name="Tc_53IDP5kcIkCrQmqaSZP8yA_15_7"/>
      <w:bookmarkStart w:id="182" w:name="Tc_zjjkFL2P30uDEyg_zbJ4QA_15_0"/>
      <w:bookmarkStart w:id="183" w:name="Tc_PL5Tdd_I8EegdnYJUW8lfA_14_0"/>
      <w:bookmarkStart w:id="184" w:name="Tc_HqrdpYNDjkOK43dfQpDmoA_13_0"/>
      <w:bookmarkStart w:id="185" w:name="Tc_a3obVowNuUKhHWNcyL20yg_12_0"/>
      <w:bookmarkStart w:id="186" w:name="Tc_qkdKqQpiFkCBCv90-K25xg_11_0"/>
      <w:bookmarkStart w:id="187" w:name="Tc_10dH1hnMPk6cewgv_sZ_2g_10_0"/>
      <w:bookmarkStart w:id="188" w:name="Tc_5YA0KzG5OkCLGocz3S-EEA_9_0"/>
      <w:bookmarkStart w:id="189" w:name="Tc_gKN4zd7rlU--e79EAHA_0A_8_0"/>
      <w:bookmarkStart w:id="190" w:name="Tc_MJzWaG3WW0eqTOZxbCi3sw_7_6"/>
      <w:bookmarkStart w:id="191" w:name="Tc_JmVydbdVbkCsI7_3-ckZWg_7_2"/>
      <w:bookmarkStart w:id="192" w:name="Tc_AhoP0JrH3UGRyNucsHzsoQ_7_0"/>
      <w:bookmarkStart w:id="193" w:name="Tc_9pmYeiwWskq4TsKQNCDIXA_6_0"/>
      <w:bookmarkStart w:id="194" w:name="Tc_CtXADpeTfUyrDOBGa9JiNw_5_0"/>
      <w:bookmarkStart w:id="195" w:name="Tc_JT9WmJLs_0mMNCxypmd29Q_4_2"/>
      <w:bookmarkStart w:id="196" w:name="Tc_zY5CmfW2PUeCmNzbNKmQOA_3_6"/>
      <w:bookmarkStart w:id="197" w:name="Tc_PMuJrXNFeEymmDvfHLmAwQ_3_2"/>
      <w:bookmarkStart w:id="198" w:name="Tc_Bt7ACBAMa02H-Xd9p3enPQ_2_6"/>
      <w:bookmarkStart w:id="199" w:name="Tc_5AJZdGjS30yeGUJ-Fm8CtA_2_2"/>
      <w:bookmarkStart w:id="200" w:name="_d8612756_de90_477e_a1c9_219edbea596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tbl>
      <w:tblPr>
        <w:tblW w:w="10205" w:type="dxa"/>
        <w:jc w:val="left"/>
        <w:tblInd w:w="0" w:type="dxa"/>
        <w:tblLayout w:type="fixed"/>
        <w:tblCellMar>
          <w:top w:w="0" w:type="dxa"/>
          <w:left w:w="0" w:type="dxa"/>
          <w:bottom w:w="0" w:type="dxa"/>
          <w:right w:w="0" w:type="dxa"/>
        </w:tblCellMar>
      </w:tblPr>
      <w:tblGrid>
        <w:gridCol w:w="7189"/>
        <w:gridCol w:w="326"/>
        <w:gridCol w:w="248"/>
        <w:gridCol w:w="878"/>
        <w:gridCol w:w="109"/>
        <w:gridCol w:w="326"/>
        <w:gridCol w:w="218"/>
        <w:gridCol w:w="911"/>
      </w:tblGrid>
      <w:tr>
        <w:trPr/>
        <w:tc>
          <w:tcPr>
            <w:tcW w:w="7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565015" cy="175260"/>
                      <wp:effectExtent l="0" t="0" r="0" b="0"/>
                      <wp:wrapNone/>
                      <wp:docPr id="5" name="Frame5"/>
                      <a:graphic xmlns:a="http://schemas.openxmlformats.org/drawingml/2006/main">
                        <a:graphicData uri="http://schemas.microsoft.com/office/word/2010/wordprocessingShape">
                          <wps:wsp>
                            <wps:cNvSpPr txBox="1"/>
                            <wps:spPr>
                              <a:xfrm>
                                <a:off x="0" y="0"/>
                                <a:ext cx="4565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57480" cy="175260"/>
                      <wp:effectExtent l="0" t="0" r="0" b="0"/>
                      <wp:wrapNone/>
                      <wp:docPr id="7" name="Frame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57530" cy="175260"/>
                      <wp:effectExtent l="0" t="0" r="0" b="0"/>
                      <wp:wrapNone/>
                      <wp:docPr id="8" name="Frame8"/>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8430" cy="175260"/>
                      <wp:effectExtent l="0" t="0" r="0" b="0"/>
                      <wp:wrapNone/>
                      <wp:docPr id="11" name="Frame11"/>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78485" cy="175260"/>
                      <wp:effectExtent l="0" t="0" r="0" b="0"/>
                      <wp:wrapNone/>
                      <wp:docPr id="12" name="Frame12"/>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71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center"/>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1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1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(Unaudited)</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center"/>
              <w:rPr/>
            </w:pPr>
            <w:r>
              <w:rPr/>
              <w:t>​</w:t>
            </w:r>
          </w:p>
        </w:tc>
        <w:tc>
          <w:tcPr>
            <w:tcW w:w="911" w:type="dxa"/>
            <w:tcBorders/>
            <w:vAlign w:val="center"/>
          </w:tcPr>
          <w:p>
            <w:pPr>
              <w:pStyle w:val="TableContents"/>
              <w:bidi w:val="0"/>
              <w:spacing w:before="0" w:after="0"/>
              <w:ind w:left="0" w:right="0" w:hanging="0"/>
              <w:jc w:val="center"/>
              <w:rPr/>
            </w:pPr>
            <w:r>
              <w:rPr/>
              <w:t>​</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0"/>
              <w:ind w:left="0" w:right="0" w:hanging="0"/>
              <w:jc w:val="center"/>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28,260</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1,383</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 net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Inventory, net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4,139</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3,322</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2,328</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35,030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5,185</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1,487</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Right-of-use assets, net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130</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26,061</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44,291</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107,196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6,825</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Liabilities, convertible preferred stock, and stockholders’ equity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4,419</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3,830</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3,048</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current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Convertible notes payable, current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36,430</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Term loan, current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1,695</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transaction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444</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accrued liabilities</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448</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1,572</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7,919</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47,176</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 long-term</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Convertible notes payable,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13,750</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Warrant liabilities</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2,465</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pPr>
            <w:r>
              <w:rPr/>
              <w:t>—</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tax liabilities,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2,800</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Term loan, long-term</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3,616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30,635</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47,379</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Commitments and contingencies (Note 12)</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Legacy Adagio's Convertible preferred stock, $0.001 par value; 4,939,946 shares authorized as of December 31, 2023; 4,939,946 shares issued and outstanding as of December 31, 2023, with aggregate liquidation preference of $91,637 as of December 31, 2023</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91,469</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Stockholders’ equity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911" w:type="dxa"/>
            <w:tcBorders/>
            <w:shd w:fill="CCEEFF" w:val="clear"/>
            <w:vAlign w:val="center"/>
          </w:tcPr>
          <w:p>
            <w:pPr>
              <w:pStyle w:val="TableContents"/>
              <w:bidi w:val="0"/>
              <w:spacing w:before="0" w:after="0"/>
              <w:ind w:left="0" w:right="0" w:hanging="0"/>
              <w:jc w:val="right"/>
              <w:rPr/>
            </w:pPr>
            <w:r>
              <w:rPr/>
              <w:t>​</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Legacy Adagio's Common stock, $0.001 par value; 6,594,946 shares authorized as of December 31, 2023; 786,510 shares issued as of December 31, 2023; 779,908 shares outstanding as of December 31, 2023</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Common stock, $0.0001 par value; 210,000,000 shares authorized as of September 30, 2024; 14,535,136 shares issued and outstanding as of September 30, 2024 </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911" w:type="dxa"/>
            <w:tcBorders/>
            <w:shd w:fill="CCEEFF" w:val="clear"/>
            <w:vAlign w:val="center"/>
          </w:tcPr>
          <w:p>
            <w:pPr>
              <w:pStyle w:val="TableContents"/>
              <w:bidi w:val="0"/>
              <w:spacing w:before="0" w:after="0"/>
              <w:ind w:left="0" w:right="0" w:hanging="0"/>
              <w:jc w:val="right"/>
              <w:rPr/>
            </w:pPr>
            <w:r>
              <w:rPr/>
              <w:t>—</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89,786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1,608</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(13,217)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(133,649)</w:t>
            </w:r>
          </w:p>
        </w:tc>
      </w:tr>
      <w:tr>
        <w:trPr/>
        <w:tc>
          <w:tcPr>
            <w:tcW w:w="718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stockholders’ equity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76,561</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(132,023)</w:t>
            </w:r>
          </w:p>
        </w:tc>
      </w:tr>
      <w:tr>
        <w:trPr/>
        <w:tc>
          <w:tcPr>
            <w:tcW w:w="718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liabilities, convertible preferred stock, and stockholders’ equity (deficit)</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107,196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326" w:type="dxa"/>
            <w:tcBorders>
              <w:left w:val="single" w:sz="2" w:space="0" w:color="000000"/>
            </w:tcBorders>
            <w:tcMar>
              <w:left w:w="28" w:type="dxa"/>
            </w:tcMar>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6,825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01" w:name="_2b48b50f_f828_4f91_b63b_886942bd5ce2"/>
      <w:bookmarkEnd w:id="201"/>
      <w:r>
        <w:rPr>
          <w:rFonts w:ascii="Times New Roman;Times;serif" w:hAnsi="Times New Roman;Times;serif"/>
          <w:b/>
          <w:sz w:val="20"/>
        </w:rPr>
        <w:t>Adagio Medical Holdings Inc.</w:t>
      </w:r>
    </w:p>
    <w:p>
      <w:pPr>
        <w:pStyle w:val="TextBody"/>
        <w:bidi w:val="0"/>
        <w:spacing w:before="0" w:after="0"/>
        <w:ind w:left="0" w:right="0" w:hanging="0"/>
        <w:jc w:val="center"/>
        <w:rPr>
          <w:rFonts w:ascii="Times New Roman;Times;serif" w:hAnsi="Times New Roman;Times;serif"/>
          <w:b/>
          <w:sz w:val="20"/>
        </w:rPr>
      </w:pPr>
      <w:bookmarkStart w:id="202" w:name="Income_STMT"/>
      <w:bookmarkEnd w:id="202"/>
      <w:r>
        <w:rPr>
          <w:rFonts w:ascii="Times New Roman;Times;serif" w:hAnsi="Times New Roman;Times;serif"/>
          <w:b/>
          <w:sz w:val="20"/>
        </w:rPr>
        <w:t xml:space="preserve">Condensed Consolidated Statements of Operations and Comprehensive Income (Loss)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share and per share data)</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203" w:name="Tc_zE3lLGwFskiUpEwWYZsnJw_26_19"/>
      <w:bookmarkStart w:id="204" w:name="Tc_LHDS01gQ5U6ay7l0xHminA_26_16"/>
      <w:bookmarkStart w:id="205" w:name="Tc_h-9deMFod0-jCDap7ZrtEg_26_12"/>
      <w:bookmarkStart w:id="206" w:name="Tc_ArhZ7Zv63Ue339ukUD8Dtg_26_8"/>
      <w:bookmarkStart w:id="207" w:name="Tc_CyX8hsANmkCs-pbjP71Z1Q_26_5"/>
      <w:bookmarkStart w:id="208" w:name="Tc_EX605J2iR0OrHG1MFRiY3w_26_1"/>
      <w:bookmarkStart w:id="209" w:name="Tc_0dbpJABOZU-PpoxyIC7gcw_26_0"/>
      <w:bookmarkStart w:id="210" w:name="Tc_zoodIN_kgku8gsaMK_zilw_25_19"/>
      <w:bookmarkStart w:id="211" w:name="Tc_YMbt0et8a02BlcpdmorIuA_25_16"/>
      <w:bookmarkStart w:id="212" w:name="Tc_lMhRiA3E9k2dILZaTLC56w_25_12"/>
      <w:bookmarkStart w:id="213" w:name="Tc_3F18er2ReUml5V5O4VCE_g_25_8"/>
      <w:bookmarkStart w:id="214" w:name="Tc_doUVLhcDpE6HJ0LLHa5MzA_25_5"/>
      <w:bookmarkStart w:id="215" w:name="Tc_ee6BkHntQ0i2h-l8WCZy3w_25_1"/>
      <w:bookmarkStart w:id="216" w:name="Tc_CG2RfmAXE0O7y5q8V4MvGA_25_0"/>
      <w:bookmarkStart w:id="217" w:name="Tc_ieyS8Pk5vUKBLshq7Nzd5Q_23_19"/>
      <w:bookmarkStart w:id="218" w:name="Tc_YUwLCDiOWUuxdJahIFUccg_23_16"/>
      <w:bookmarkStart w:id="219" w:name="Tc_q5YF-WG17kSI8W8dt1IYwg_23_12"/>
      <w:bookmarkStart w:id="220" w:name="Tc_Duhxgt6Mzk-StJrOiZcTAQ_23_8"/>
      <w:bookmarkStart w:id="221" w:name="Tc_L8EUQqRf6EaXoy0ojekRzQ_23_5"/>
      <w:bookmarkStart w:id="222" w:name="Tc_OIvFM056Kk2gOnG9krgfaQ_23_1"/>
      <w:bookmarkStart w:id="223" w:name="Tc_yucDYXPn6UKKuit8ruSz7w_23_0"/>
      <w:bookmarkStart w:id="224" w:name="Tc_4f4XEJrKb0m6sJTJQ44OAQ_22_0"/>
      <w:bookmarkStart w:id="225" w:name="Tc_fC7K_6yzhU2Uvqf0PB05qw_21_0"/>
      <w:bookmarkStart w:id="226" w:name="Tc_1d_UE2IRhE2wB6igNwoe8Q_20_19"/>
      <w:bookmarkStart w:id="227" w:name="Tc_-B1WxiVd1kmFD5ZD18PlDg_20_16"/>
      <w:bookmarkStart w:id="228" w:name="Tc_jHcBp0CPc0udkd8CSgLPbw_20_12"/>
      <w:bookmarkStart w:id="229" w:name="Tc_ilxc14TwEkytpDqrzZ-mYQ_20_8"/>
      <w:bookmarkStart w:id="230" w:name="Tc_d2h3QZf_-Uq8rpwGBJeI4g_20_5"/>
      <w:bookmarkStart w:id="231" w:name="Tc__ywSceYnsEuTN7w1P_amgA_20_1"/>
      <w:bookmarkStart w:id="232" w:name="Tc_zdfe-nef_kOyN9AKYgDbaQ_20_0"/>
      <w:bookmarkStart w:id="233" w:name="Tc_ZUBsin0X3km5JgNsbaW3ZA_19_0"/>
      <w:bookmarkStart w:id="234" w:name="Tc_iyC2dThzikGQqmlWCppftA_18_0"/>
      <w:bookmarkStart w:id="235" w:name="Tc_yPZP0wh5mkKIcR0hSpr_1g_17_6"/>
      <w:bookmarkStart w:id="236" w:name="Tc_0L_z1j3Yq0WBWRuvgoCcDA_17_0"/>
      <w:bookmarkStart w:id="237" w:name="Tc_g-Rwm0BJqkSKNVx4MkgkCA_16_0"/>
      <w:bookmarkStart w:id="238" w:name="Tc_UqlD2IHBV0i64WeVYzy_XQ_15_0"/>
      <w:bookmarkStart w:id="239" w:name="Tc_oBKegupDN0CGPk0HuooU-g_14_0"/>
      <w:bookmarkStart w:id="240" w:name="Tc_GxuPStHDnEq0aSATsvUNIg_13_0"/>
      <w:bookmarkStart w:id="241" w:name="Tc_0SX9HB9ZB06tivUvjRF4-Q_12_0"/>
      <w:bookmarkStart w:id="242" w:name="Tc_LsekKXJrjEea7ZrhEHUbTg_11_0"/>
      <w:bookmarkStart w:id="243" w:name="Tc_C1GrYj2W-0aUKvnvpZZfqg_10_0"/>
      <w:bookmarkStart w:id="244" w:name="Tc_k8jWgAwqAEOo3Gn4MWkstA_9_0"/>
      <w:bookmarkStart w:id="245" w:name="Tc_8Fj7y6sBAkCp5U47OF3IBA_8_0"/>
      <w:bookmarkStart w:id="246" w:name="Tc_OKetsOBqOU-85mdxpgo4Vw_7_0"/>
      <w:bookmarkStart w:id="247" w:name="Tc_96fYYAm7UUeIzGCFPUdyZA_6_19"/>
      <w:bookmarkStart w:id="248" w:name="Tc_a05vu4LRI0KOf_M2NILUXQ_6_16"/>
      <w:bookmarkStart w:id="249" w:name="Tc_JhLMKgE4PkuglGppTzp0wg_6_12"/>
      <w:bookmarkStart w:id="250" w:name="Tc_FRLLf-vvkkCI8uVjIDf59g_6_8"/>
      <w:bookmarkStart w:id="251" w:name="Tc_odTL-nAxAUuiWF1S6R-6VQ_6_5"/>
      <w:bookmarkStart w:id="252" w:name="Tc_M8IMmUZnPku0KqgnQBXZrA_6_1"/>
      <w:bookmarkStart w:id="253" w:name="Tc_wwNp7JZqik6usWksuljrEg_6_0"/>
      <w:bookmarkStart w:id="254" w:name="Tc_uSojqCCQX0iMY4yy8v2sCQ_4_19"/>
      <w:bookmarkStart w:id="255" w:name="Tc_QpEIiO38q0ODVk7nqiYM9g_4_16"/>
      <w:bookmarkStart w:id="256" w:name="Tc_ht1OW_2Ss0KbIz1N9UDlaw_4_12"/>
      <w:bookmarkStart w:id="257" w:name="Tc_bEwqD41Q5UegMv975iyIhQ_4_8"/>
      <w:bookmarkStart w:id="258" w:name="Tc_p_Z-AVRJREq3GFF9J5KhSA_4_5"/>
      <w:bookmarkStart w:id="259" w:name="Tc_Vj-ag2aWeUOfpdgjujvf6g_4_1"/>
      <w:bookmarkStart w:id="260" w:name="Tc_3F9Oddk73kmygr8VB4VtFg_2_19"/>
      <w:bookmarkStart w:id="261" w:name="Tc_dBoQEF5uhE6PiguDfHntlw_2_12"/>
      <w:bookmarkStart w:id="262" w:name="Tc_VzYdTrBYf0q3ubqExjTjWw_2_8"/>
      <w:bookmarkStart w:id="263" w:name="Tc_HHQx0ibUUUGFHg3oBo8zyA_2_1"/>
      <w:bookmarkStart w:id="264" w:name="Tc_5rzKu45no0mrB6ID3qsDsA_1_12"/>
      <w:bookmarkStart w:id="265" w:name="Tc_DR9Sx1-KGE6j5UJ2-6IAZQ_1_1"/>
      <w:bookmarkStart w:id="266" w:name="_da23ddce_c47a_4f23_b776_80bc537cdc95"/>
      <w:bookmarkStart w:id="267" w:name="Tc_zE3lLGwFskiUpEwWYZsnJw_26_19"/>
      <w:bookmarkStart w:id="268" w:name="Tc_LHDS01gQ5U6ay7l0xHminA_26_16"/>
      <w:bookmarkStart w:id="269" w:name="Tc_h-9deMFod0-jCDap7ZrtEg_26_12"/>
      <w:bookmarkStart w:id="270" w:name="Tc_ArhZ7Zv63Ue339ukUD8Dtg_26_8"/>
      <w:bookmarkStart w:id="271" w:name="Tc_CyX8hsANmkCs-pbjP71Z1Q_26_5"/>
      <w:bookmarkStart w:id="272" w:name="Tc_EX605J2iR0OrHG1MFRiY3w_26_1"/>
      <w:bookmarkStart w:id="273" w:name="Tc_0dbpJABOZU-PpoxyIC7gcw_26_0"/>
      <w:bookmarkStart w:id="274" w:name="Tc_zoodIN_kgku8gsaMK_zilw_25_19"/>
      <w:bookmarkStart w:id="275" w:name="Tc_YMbt0et8a02BlcpdmorIuA_25_16"/>
      <w:bookmarkStart w:id="276" w:name="Tc_lMhRiA3E9k2dILZaTLC56w_25_12"/>
      <w:bookmarkStart w:id="277" w:name="Tc_3F18er2ReUml5V5O4VCE_g_25_8"/>
      <w:bookmarkStart w:id="278" w:name="Tc_doUVLhcDpE6HJ0LLHa5MzA_25_5"/>
      <w:bookmarkStart w:id="279" w:name="Tc_ee6BkHntQ0i2h-l8WCZy3w_25_1"/>
      <w:bookmarkStart w:id="280" w:name="Tc_CG2RfmAXE0O7y5q8V4MvGA_25_0"/>
      <w:bookmarkStart w:id="281" w:name="Tc_ieyS8Pk5vUKBLshq7Nzd5Q_23_19"/>
      <w:bookmarkStart w:id="282" w:name="Tc_YUwLCDiOWUuxdJahIFUccg_23_16"/>
      <w:bookmarkStart w:id="283" w:name="Tc_q5YF-WG17kSI8W8dt1IYwg_23_12"/>
      <w:bookmarkStart w:id="284" w:name="Tc_Duhxgt6Mzk-StJrOiZcTAQ_23_8"/>
      <w:bookmarkStart w:id="285" w:name="Tc_L8EUQqRf6EaXoy0ojekRzQ_23_5"/>
      <w:bookmarkStart w:id="286" w:name="Tc_OIvFM056Kk2gOnG9krgfaQ_23_1"/>
      <w:bookmarkStart w:id="287" w:name="Tc_yucDYXPn6UKKuit8ruSz7w_23_0"/>
      <w:bookmarkStart w:id="288" w:name="Tc_4f4XEJrKb0m6sJTJQ44OAQ_22_0"/>
      <w:bookmarkStart w:id="289" w:name="Tc_fC7K_6yzhU2Uvqf0PB05qw_21_0"/>
      <w:bookmarkStart w:id="290" w:name="Tc_1d_UE2IRhE2wB6igNwoe8Q_20_19"/>
      <w:bookmarkStart w:id="291" w:name="Tc_-B1WxiVd1kmFD5ZD18PlDg_20_16"/>
      <w:bookmarkStart w:id="292" w:name="Tc_jHcBp0CPc0udkd8CSgLPbw_20_12"/>
      <w:bookmarkStart w:id="293" w:name="Tc_ilxc14TwEkytpDqrzZ-mYQ_20_8"/>
      <w:bookmarkStart w:id="294" w:name="Tc_d2h3QZf_-Uq8rpwGBJeI4g_20_5"/>
      <w:bookmarkStart w:id="295" w:name="Tc__ywSceYnsEuTN7w1P_amgA_20_1"/>
      <w:bookmarkStart w:id="296" w:name="Tc_zdfe-nef_kOyN9AKYgDbaQ_20_0"/>
      <w:bookmarkStart w:id="297" w:name="Tc_ZUBsin0X3km5JgNsbaW3ZA_19_0"/>
      <w:bookmarkStart w:id="298" w:name="Tc_iyC2dThzikGQqmlWCppftA_18_0"/>
      <w:bookmarkStart w:id="299" w:name="Tc_yPZP0wh5mkKIcR0hSpr_1g_17_6"/>
      <w:bookmarkStart w:id="300" w:name="Tc_0L_z1j3Yq0WBWRuvgoCcDA_17_0"/>
      <w:bookmarkStart w:id="301" w:name="Tc_g-Rwm0BJqkSKNVx4MkgkCA_16_0"/>
      <w:bookmarkStart w:id="302" w:name="Tc_UqlD2IHBV0i64WeVYzy_XQ_15_0"/>
      <w:bookmarkStart w:id="303" w:name="Tc_oBKegupDN0CGPk0HuooU-g_14_0"/>
      <w:bookmarkStart w:id="304" w:name="Tc_GxuPStHDnEq0aSATsvUNIg_13_0"/>
      <w:bookmarkStart w:id="305" w:name="Tc_0SX9HB9ZB06tivUvjRF4-Q_12_0"/>
      <w:bookmarkStart w:id="306" w:name="Tc_LsekKXJrjEea7ZrhEHUbTg_11_0"/>
      <w:bookmarkStart w:id="307" w:name="Tc_C1GrYj2W-0aUKvnvpZZfqg_10_0"/>
      <w:bookmarkStart w:id="308" w:name="Tc_k8jWgAwqAEOo3Gn4MWkstA_9_0"/>
      <w:bookmarkStart w:id="309" w:name="Tc_8Fj7y6sBAkCp5U47OF3IBA_8_0"/>
      <w:bookmarkStart w:id="310" w:name="Tc_OKetsOBqOU-85mdxpgo4Vw_7_0"/>
      <w:bookmarkStart w:id="311" w:name="Tc_96fYYAm7UUeIzGCFPUdyZA_6_19"/>
      <w:bookmarkStart w:id="312" w:name="Tc_a05vu4LRI0KOf_M2NILUXQ_6_16"/>
      <w:bookmarkStart w:id="313" w:name="Tc_JhLMKgE4PkuglGppTzp0wg_6_12"/>
      <w:bookmarkStart w:id="314" w:name="Tc_FRLLf-vvkkCI8uVjIDf59g_6_8"/>
      <w:bookmarkStart w:id="315" w:name="Tc_odTL-nAxAUuiWF1S6R-6VQ_6_5"/>
      <w:bookmarkStart w:id="316" w:name="Tc_M8IMmUZnPku0KqgnQBXZrA_6_1"/>
      <w:bookmarkStart w:id="317" w:name="Tc_wwNp7JZqik6usWksuljrEg_6_0"/>
      <w:bookmarkStart w:id="318" w:name="Tc_uSojqCCQX0iMY4yy8v2sCQ_4_19"/>
      <w:bookmarkStart w:id="319" w:name="Tc_QpEIiO38q0ODVk7nqiYM9g_4_16"/>
      <w:bookmarkStart w:id="320" w:name="Tc_ht1OW_2Ss0KbIz1N9UDlaw_4_12"/>
      <w:bookmarkStart w:id="321" w:name="Tc_bEwqD41Q5UegMv975iyIhQ_4_8"/>
      <w:bookmarkStart w:id="322" w:name="Tc_p_Z-AVRJREq3GFF9J5KhSA_4_5"/>
      <w:bookmarkStart w:id="323" w:name="Tc_Vj-ag2aWeUOfpdgjujvf6g_4_1"/>
      <w:bookmarkStart w:id="324" w:name="Tc_3F9Oddk73kmygr8VB4VtFg_2_19"/>
      <w:bookmarkStart w:id="325" w:name="Tc_dBoQEF5uhE6PiguDfHntlw_2_12"/>
      <w:bookmarkStart w:id="326" w:name="Tc_VzYdTrBYf0q3ubqExjTjWw_2_8"/>
      <w:bookmarkStart w:id="327" w:name="Tc_HHQx0ibUUUGFHg3oBo8zyA_2_1"/>
      <w:bookmarkStart w:id="328" w:name="Tc_5rzKu45no0mrB6ID3qsDsA_1_12"/>
      <w:bookmarkStart w:id="329" w:name="Tc_DR9Sx1-KGE6j5UJ2-6IAZQ_1_1"/>
      <w:bookmarkStart w:id="330" w:name="_da23ddce_c47a_4f23_b776_80bc537cdc95"/>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tbl>
      <w:tblPr>
        <w:tblW w:w="10205" w:type="dxa"/>
        <w:jc w:val="left"/>
        <w:tblInd w:w="0" w:type="dxa"/>
        <w:tblLayout w:type="fixed"/>
        <w:tblCellMar>
          <w:top w:w="0" w:type="dxa"/>
          <w:left w:w="0" w:type="dxa"/>
          <w:bottom w:w="0" w:type="dxa"/>
          <w:right w:w="0" w:type="dxa"/>
        </w:tblCellMar>
      </w:tblPr>
      <w:tblGrid>
        <w:gridCol w:w="1905"/>
        <w:gridCol w:w="313"/>
        <w:gridCol w:w="917"/>
        <w:gridCol w:w="109"/>
        <w:gridCol w:w="109"/>
        <w:gridCol w:w="283"/>
        <w:gridCol w:w="827"/>
        <w:gridCol w:w="109"/>
        <w:gridCol w:w="287"/>
        <w:gridCol w:w="969"/>
        <w:gridCol w:w="109"/>
        <w:gridCol w:w="109"/>
        <w:gridCol w:w="313"/>
        <w:gridCol w:w="917"/>
        <w:gridCol w:w="109"/>
        <w:gridCol w:w="109"/>
        <w:gridCol w:w="275"/>
        <w:gridCol w:w="928"/>
        <w:gridCol w:w="109"/>
        <w:gridCol w:w="302"/>
        <w:gridCol w:w="1097"/>
      </w:tblGrid>
      <w:tr>
        <w:trPr/>
        <w:tc>
          <w:tcPr>
            <w:tcW w:w="1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09675" cy="175260"/>
                      <wp:effectExtent l="0" t="0" r="0" b="0"/>
                      <wp:wrapNone/>
                      <wp:docPr id="13" name="Frame13"/>
                      <a:graphic xmlns:a="http://schemas.openxmlformats.org/drawingml/2006/main">
                        <a:graphicData uri="http://schemas.microsoft.com/office/word/2010/wordprocessingShape">
                          <wps:wsp>
                            <wps:cNvSpPr txBox="1"/>
                            <wps:spPr>
                              <a:xfrm>
                                <a:off x="0" y="0"/>
                                <a:ext cx="1209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98755" cy="175260"/>
                      <wp:effectExtent l="0" t="0" r="0" b="0"/>
                      <wp:wrapNone/>
                      <wp:docPr id="14" name="Frame14"/>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82295" cy="175260"/>
                      <wp:effectExtent l="0" t="0" r="0" b="0"/>
                      <wp:wrapNone/>
                      <wp:docPr id="15" name="Frame15"/>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175260"/>
                      <wp:effectExtent l="0" t="0" r="0" b="0"/>
                      <wp:wrapNone/>
                      <wp:docPr id="16"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7"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79705" cy="175260"/>
                      <wp:effectExtent l="0" t="0" r="0" b="0"/>
                      <wp:wrapNone/>
                      <wp:docPr id="18" name="Frame18"/>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25145" cy="175260"/>
                      <wp:effectExtent l="0" t="0" r="0" b="0"/>
                      <wp:wrapNone/>
                      <wp:docPr id="19" name="Frame19"/>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82245" cy="175260"/>
                      <wp:effectExtent l="0" t="0" r="0" b="0"/>
                      <wp:wrapNone/>
                      <wp:docPr id="21" name="Frame21"/>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15315" cy="175260"/>
                      <wp:effectExtent l="0" t="0" r="0" b="0"/>
                      <wp:wrapNone/>
                      <wp:docPr id="22" name="Frame22"/>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9215" cy="175260"/>
                      <wp:effectExtent l="0" t="0" r="0" b="0"/>
                      <wp:wrapNone/>
                      <wp:docPr id="24"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98755" cy="175260"/>
                      <wp:effectExtent l="0" t="0" r="0" b="0"/>
                      <wp:wrapNone/>
                      <wp:docPr id="25" name="Frame25"/>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82295" cy="175260"/>
                      <wp:effectExtent l="0" t="0" r="0" b="0"/>
                      <wp:wrapNone/>
                      <wp:docPr id="26" name="Frame26"/>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175260"/>
                      <wp:effectExtent l="0" t="0" r="0" b="0"/>
                      <wp:wrapNone/>
                      <wp:docPr id="28" name="Frame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74625" cy="175260"/>
                      <wp:effectExtent l="0" t="0" r="0" b="0"/>
                      <wp:wrapNone/>
                      <wp:docPr id="29" name="Frame29"/>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89280" cy="175260"/>
                      <wp:effectExtent l="0" t="0" r="0" b="0"/>
                      <wp:wrapNone/>
                      <wp:docPr id="30" name="Frame30"/>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1" name="Frame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91770" cy="175260"/>
                      <wp:effectExtent l="0" t="0" r="0" b="0"/>
                      <wp:wrapNone/>
                      <wp:docPr id="32" name="Frame32"/>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6595" cy="175260"/>
                      <wp:effectExtent l="0" t="0" r="0" b="0"/>
                      <wp:wrapNone/>
                      <wp:docPr id="33" name="Frame33"/>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5" w:type="dxa"/>
            <w:tcBorders/>
            <w:vAlign w:val="center"/>
          </w:tcPr>
          <w:p>
            <w:pPr>
              <w:pStyle w:val="TableContents"/>
              <w:bidi w:val="0"/>
              <w:spacing w:before="0" w:after="0"/>
              <w:ind w:left="0" w:right="0" w:hanging="0"/>
              <w:jc w:val="left"/>
              <w:rPr/>
            </w:pPr>
            <w:r>
              <w:rPr/>
              <w:t>​</w:t>
            </w:r>
          </w:p>
        </w:tc>
        <w:tc>
          <w:tcPr>
            <w:tcW w:w="3923"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5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w:t>
            </w:r>
          </w:p>
        </w:tc>
      </w:tr>
      <w:tr>
        <w:trPr/>
        <w:tc>
          <w:tcPr>
            <w:tcW w:w="1905" w:type="dxa"/>
            <w:tcBorders/>
            <w:vAlign w:val="center"/>
          </w:tcPr>
          <w:p>
            <w:pPr>
              <w:pStyle w:val="TableContents"/>
              <w:bidi w:val="0"/>
              <w:spacing w:before="0" w:after="0"/>
              <w:ind w:left="0" w:right="0" w:hanging="0"/>
              <w:jc w:val="left"/>
              <w:rPr/>
            </w:pPr>
            <w:r>
              <w:rPr/>
              <w:t>​</w:t>
            </w:r>
          </w:p>
        </w:tc>
        <w:tc>
          <w:tcPr>
            <w:tcW w:w="255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0"/>
              <w:ind w:left="0" w:right="0" w:hanging="0"/>
              <w:jc w:val="left"/>
              <w:rPr/>
            </w:pPr>
            <w:r>
              <w:rPr/>
              <w:t>​</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5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0"/>
              <w:ind w:left="0" w:right="0" w:hanging="0"/>
              <w:jc w:val="left"/>
              <w:rPr/>
            </w:pPr>
            <w:r>
              <w:rPr/>
              <w:t>​</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1905"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c>
          <w:tcPr>
            <w:tcW w:w="109" w:type="dxa"/>
            <w:tcBorders/>
            <w:vAlign w:val="center"/>
          </w:tcPr>
          <w:p>
            <w:pPr>
              <w:pStyle w:val="TableContents"/>
              <w:bidi w:val="0"/>
              <w:spacing w:before="0" w:after="0"/>
              <w:ind w:left="0" w:right="0" w:hanging="0"/>
              <w:jc w:val="left"/>
              <w:rPr/>
            </w:pPr>
            <w:r>
              <w:rPr/>
              <w:t>​</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2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c>
          <w:tcPr>
            <w:tcW w:w="109" w:type="dxa"/>
            <w:tcBorders/>
            <w:vAlign w:val="center"/>
          </w:tcPr>
          <w:p>
            <w:pPr>
              <w:pStyle w:val="TableContents"/>
              <w:bidi w:val="0"/>
              <w:spacing w:before="0" w:after="0"/>
              <w:ind w:left="0" w:right="0" w:hanging="0"/>
              <w:jc w:val="left"/>
              <w:rPr/>
            </w:pPr>
            <w:r>
              <w:rPr/>
              <w:t>​</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r>
      <w:tr>
        <w:trPr/>
        <w:tc>
          <w:tcPr>
            <w:tcW w:w="1905"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31 to September 30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1 to July 30</w:t>
            </w:r>
          </w:p>
        </w:tc>
        <w:tc>
          <w:tcPr>
            <w:tcW w:w="109" w:type="dxa"/>
            <w:tcBorders/>
            <w:vAlign w:val="center"/>
          </w:tcPr>
          <w:p>
            <w:pPr>
              <w:pStyle w:val="TableContents"/>
              <w:bidi w:val="0"/>
              <w:spacing w:before="0" w:after="0"/>
              <w:ind w:left="0" w:right="0" w:hanging="0"/>
              <w:jc w:val="left"/>
              <w:rPr/>
            </w:pPr>
            <w:r>
              <w:rPr/>
              <w:t>​</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1 to September 30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31 to September 30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2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January 1 to July 30</w:t>
            </w:r>
          </w:p>
        </w:tc>
        <w:tc>
          <w:tcPr>
            <w:tcW w:w="109" w:type="dxa"/>
            <w:tcBorders/>
            <w:vAlign w:val="center"/>
          </w:tcPr>
          <w:p>
            <w:pPr>
              <w:pStyle w:val="TableContents"/>
              <w:bidi w:val="0"/>
              <w:spacing w:before="0" w:after="0"/>
              <w:ind w:left="0" w:right="0" w:hanging="0"/>
              <w:jc w:val="left"/>
              <w:rPr/>
            </w:pPr>
            <w:r>
              <w:rPr/>
              <w:t>​</w:t>
            </w:r>
          </w:p>
        </w:tc>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January 1 to September 30</w:t>
            </w:r>
          </w:p>
        </w:tc>
      </w:tr>
      <w:tr>
        <w:trPr/>
        <w:tc>
          <w:tcPr>
            <w:tcW w:w="1905"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19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w:t>
            </w:r>
          </w:p>
        </w:tc>
      </w:tr>
      <w:tr>
        <w:trPr/>
        <w:tc>
          <w:tcPr>
            <w:tcW w:w="19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 and operating expenses:</w:t>
            </w:r>
          </w:p>
        </w:tc>
        <w:tc>
          <w:tcPr>
            <w:tcW w:w="313" w:type="dxa"/>
            <w:tcBorders/>
            <w:vAlign w:val="center"/>
          </w:tcPr>
          <w:p>
            <w:pPr>
              <w:pStyle w:val="TableContents"/>
              <w:bidi w:val="0"/>
              <w:spacing w:before="0" w:after="0"/>
              <w:ind w:left="0" w:right="0" w:hanging="0"/>
              <w:jc w:val="right"/>
              <w:rPr/>
            </w:pPr>
            <w:r>
              <w:rPr/>
              <w:t>​</w:t>
            </w:r>
          </w:p>
        </w:tc>
        <w:tc>
          <w:tcPr>
            <w:tcW w:w="917"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right"/>
              <w:rPr/>
            </w:pPr>
            <w:r>
              <w:rPr/>
              <w:t>​</w:t>
            </w:r>
          </w:p>
        </w:tc>
        <w:tc>
          <w:tcPr>
            <w:tcW w:w="8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right"/>
              <w:rPr/>
            </w:pPr>
            <w:r>
              <w:rPr/>
              <w:t>​</w:t>
            </w:r>
          </w:p>
        </w:tc>
        <w:tc>
          <w:tcPr>
            <w:tcW w:w="917"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right"/>
              <w:rPr/>
            </w:pPr>
            <w:r>
              <w:rPr/>
              <w:t>​</w:t>
            </w:r>
          </w:p>
        </w:tc>
        <w:tc>
          <w:tcPr>
            <w:tcW w:w="9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19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313"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righ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righ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righ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972</w:t>
            </w:r>
          </w:p>
        </w:tc>
      </w:tr>
      <w:tr>
        <w:trPr/>
        <w:tc>
          <w:tcPr>
            <w:tcW w:w="19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13" w:type="dxa"/>
            <w:tcBorders/>
            <w:vAlign w:val="center"/>
          </w:tcPr>
          <w:p>
            <w:pPr>
              <w:pStyle w:val="TableContents"/>
              <w:bidi w:val="0"/>
              <w:spacing w:before="0" w:after="0"/>
              <w:ind w:left="0" w:right="0" w:hanging="0"/>
              <w:jc w:val="righ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righ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1,251</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righ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righ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7,585</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13,625</w:t>
            </w:r>
          </w:p>
        </w:tc>
      </w:tr>
      <w:tr>
        <w:trPr/>
        <w:tc>
          <w:tcPr>
            <w:tcW w:w="19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4,851</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13,047</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8,234</w:t>
            </w:r>
          </w:p>
        </w:tc>
      </w:tr>
      <w:tr>
        <w:trPr/>
        <w:tc>
          <w:tcPr>
            <w:tcW w:w="19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 and operating expenses</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6,259</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9,122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22,013</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22,831</w:t>
            </w:r>
          </w:p>
        </w:tc>
      </w:tr>
      <w:tr>
        <w:trPr/>
        <w:tc>
          <w:tcPr>
            <w:tcW w:w="19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13"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righ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(6,206)</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(9,081)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righ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(21,680)</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righ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(22,609)</w:t>
            </w:r>
          </w:p>
        </w:tc>
      </w:tr>
      <w:tr>
        <w:trPr/>
        <w:tc>
          <w:tcPr>
            <w:tcW w:w="19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313" w:type="dxa"/>
            <w:tcBorders/>
            <w:vAlign w:val="center"/>
          </w:tcPr>
          <w:p>
            <w:pPr>
              <w:pStyle w:val="TableContents"/>
              <w:bidi w:val="0"/>
              <w:spacing w:before="0" w:after="0"/>
              <w:ind w:left="0" w:right="0" w:hanging="0"/>
              <w:jc w:val="right"/>
              <w:rPr/>
            </w:pPr>
            <w:r>
              <w:rPr/>
              <w:t>​</w:t>
            </w:r>
          </w:p>
        </w:tc>
        <w:tc>
          <w:tcPr>
            <w:tcW w:w="917"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right"/>
              <w:rPr/>
            </w:pPr>
            <w:r>
              <w:rPr/>
              <w:t>​</w:t>
            </w:r>
          </w:p>
        </w:tc>
        <w:tc>
          <w:tcPr>
            <w:tcW w:w="8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right"/>
              <w:rPr/>
            </w:pPr>
            <w:r>
              <w:rPr/>
              <w:t>​</w:t>
            </w:r>
          </w:p>
        </w:tc>
        <w:tc>
          <w:tcPr>
            <w:tcW w:w="917"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right"/>
              <w:rPr/>
            </w:pPr>
            <w:r>
              <w:rPr/>
              <w:t>​</w:t>
            </w:r>
          </w:p>
        </w:tc>
        <w:tc>
          <w:tcPr>
            <w:tcW w:w="9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19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Convertible notes fair value adjustment</w:t>
            </w:r>
          </w:p>
        </w:tc>
        <w:tc>
          <w:tcPr>
            <w:tcW w:w="313"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righ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(1,907)</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righ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2,059</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righ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(4,084)</w:t>
            </w:r>
          </w:p>
        </w:tc>
      </w:tr>
      <w:tr>
        <w:trPr/>
        <w:tc>
          <w:tcPr>
            <w:tcW w:w="19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 liabilities fair value adjustment</w:t>
            </w:r>
          </w:p>
        </w:tc>
        <w:tc>
          <w:tcPr>
            <w:tcW w:w="313" w:type="dxa"/>
            <w:tcBorders/>
            <w:vAlign w:val="center"/>
          </w:tcPr>
          <w:p>
            <w:pPr>
              <w:pStyle w:val="TableContents"/>
              <w:bidi w:val="0"/>
              <w:spacing w:before="0" w:after="0"/>
              <w:ind w:left="0" w:right="0" w:hanging="0"/>
              <w:jc w:val="righ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4,973</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righ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righ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4,973</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righ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r>
      <w:tr>
        <w:trPr/>
        <w:tc>
          <w:tcPr>
            <w:tcW w:w="19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313"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83" w:type="dxa"/>
            <w:tcBorders/>
            <w:shd w:fill="CCEEFF" w:val="clear"/>
            <w:vAlign w:val="center"/>
          </w:tcPr>
          <w:p>
            <w:pPr>
              <w:pStyle w:val="TableContents"/>
              <w:bidi w:val="0"/>
              <w:spacing w:before="0" w:after="0"/>
              <w:ind w:left="0" w:right="0" w:hanging="0"/>
              <w:jc w:val="righ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shd w:fill="CCEEFF" w:val="clear"/>
            <w:vAlign w:val="center"/>
          </w:tcPr>
          <w:p>
            <w:pPr>
              <w:pStyle w:val="TableContents"/>
              <w:bidi w:val="0"/>
              <w:spacing w:before="0" w:after="0"/>
              <w:ind w:left="0" w:right="0" w:hanging="0"/>
              <w:jc w:val="right"/>
              <w:rPr/>
            </w:pPr>
            <w:r>
              <w:rPr/>
              <w:t>​</w:t>
            </w:r>
          </w:p>
        </w:tc>
        <w:tc>
          <w:tcPr>
            <w:tcW w:w="91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75" w:type="dxa"/>
            <w:tcBorders/>
            <w:shd w:fill="CCEEFF" w:val="clear"/>
            <w:vAlign w:val="center"/>
          </w:tcPr>
          <w:p>
            <w:pPr>
              <w:pStyle w:val="TableContents"/>
              <w:bidi w:val="0"/>
              <w:spacing w:before="0" w:after="0"/>
              <w:ind w:left="0" w:right="0" w:hanging="0"/>
              <w:jc w:val="right"/>
              <w:rPr/>
            </w:pPr>
            <w:r>
              <w:rPr/>
              <w:t>​</w:t>
            </w:r>
          </w:p>
        </w:tc>
        <w:tc>
          <w:tcPr>
            <w:tcW w:w="92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(1,818)</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right"/>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(1,082)</w:t>
            </w:r>
          </w:p>
        </w:tc>
      </w:tr>
      <w:tr>
        <w:trPr/>
        <w:tc>
          <w:tcPr>
            <w:tcW w:w="19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13" w:type="dxa"/>
            <w:tcBorders/>
            <w:vAlign w:val="center"/>
          </w:tcPr>
          <w:p>
            <w:pPr>
              <w:pStyle w:val="TableContents"/>
              <w:bidi w:val="0"/>
              <w:spacing w:before="0" w:after="0"/>
              <w:ind w:left="0" w:right="0" w:hanging="0"/>
              <w:jc w:val="righ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right"/>
              <w:rPr/>
            </w:pPr>
            <w:r>
              <w:rPr/>
              <w:t>​</w:t>
            </w:r>
          </w:p>
        </w:tc>
        <w:tc>
          <w:tcPr>
            <w:tcW w:w="8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righ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right"/>
              <w:rPr/>
            </w:pPr>
            <w:r>
              <w:rPr/>
              <w:t>​</w:t>
            </w:r>
          </w:p>
        </w:tc>
        <w:tc>
          <w:tcPr>
            <w:tcW w:w="92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19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income, net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w:t>
            </w:r>
          </w:p>
        </w:tc>
      </w:tr>
      <w:tr>
        <w:trPr/>
        <w:tc>
          <w:tcPr>
            <w:tcW w:w="19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8,031</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(2,029)</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8,031</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(5,360)</w:t>
            </w:r>
          </w:p>
        </w:tc>
      </w:tr>
      <w:tr>
        <w:trPr/>
        <w:tc>
          <w:tcPr>
            <w:tcW w:w="19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(8,235)</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(10,761)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(21,278)</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(27,969)</w:t>
            </w:r>
          </w:p>
        </w:tc>
      </w:tr>
      <w:tr>
        <w:trPr/>
        <w:tc>
          <w:tcPr>
            <w:tcW w:w="19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13" w:type="dxa"/>
            <w:tcBorders/>
            <w:vAlign w:val="center"/>
          </w:tcPr>
          <w:p>
            <w:pPr>
              <w:pStyle w:val="TableContents"/>
              <w:bidi w:val="0"/>
              <w:spacing w:before="0" w:after="0"/>
              <w:ind w:left="0" w:right="0" w:hanging="0"/>
              <w:jc w:val="right"/>
              <w:rPr/>
            </w:pPr>
            <w:r>
              <w:rPr/>
              <w:t>​</w:t>
            </w:r>
          </w:p>
        </w:tc>
        <w:tc>
          <w:tcPr>
            <w:tcW w:w="917"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83" w:type="dxa"/>
            <w:tcBorders/>
            <w:vAlign w:val="center"/>
          </w:tcPr>
          <w:p>
            <w:pPr>
              <w:pStyle w:val="TableContents"/>
              <w:bidi w:val="0"/>
              <w:spacing w:before="0" w:after="0"/>
              <w:ind w:left="0" w:right="0" w:hanging="0"/>
              <w:jc w:val="right"/>
              <w:rPr/>
            </w:pPr>
            <w:r>
              <w:rPr/>
              <w:t>​</w:t>
            </w:r>
          </w:p>
        </w:tc>
        <w:tc>
          <w:tcPr>
            <w:tcW w:w="82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vAlign w:val="center"/>
          </w:tcPr>
          <w:p>
            <w:pPr>
              <w:pStyle w:val="TableContents"/>
              <w:bidi w:val="0"/>
              <w:spacing w:before="0" w:after="0"/>
              <w:ind w:left="0" w:right="0" w:hanging="0"/>
              <w:jc w:val="right"/>
              <w:rPr/>
            </w:pPr>
            <w:r>
              <w:rPr/>
              <w:t>​</w:t>
            </w:r>
          </w:p>
        </w:tc>
        <w:tc>
          <w:tcPr>
            <w:tcW w:w="917"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right"/>
              <w:rPr/>
            </w:pPr>
            <w:r>
              <w:rPr/>
              <w:t>​</w:t>
            </w:r>
          </w:p>
        </w:tc>
        <w:tc>
          <w:tcPr>
            <w:tcW w:w="92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right"/>
              <w:rPr/>
            </w:pPr>
            <w:r>
              <w:rPr/>
              <w:t>​</w:t>
            </w:r>
          </w:p>
        </w:tc>
        <w:tc>
          <w:tcPr>
            <w:tcW w:w="1097" w:type="dxa"/>
            <w:tcBorders/>
            <w:vAlign w:val="center"/>
          </w:tcPr>
          <w:p>
            <w:pPr>
              <w:pStyle w:val="TableContents"/>
              <w:bidi w:val="0"/>
              <w:spacing w:before="0" w:after="0"/>
              <w:ind w:left="0" w:right="0" w:hanging="0"/>
              <w:jc w:val="right"/>
              <w:rPr/>
            </w:pPr>
            <w:r>
              <w:rPr/>
              <w:t>​</w:t>
            </w:r>
          </w:p>
        </w:tc>
      </w:tr>
      <w:tr>
        <w:trPr/>
        <w:tc>
          <w:tcPr>
            <w:tcW w:w="190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190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income (loss)</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(8,237)</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(10,757)</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(21,275)</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0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(27,970)</w:t>
            </w:r>
          </w:p>
        </w:tc>
      </w:tr>
      <w:tr>
        <w:trPr/>
        <w:tc>
          <w:tcPr>
            <w:tcW w:w="1905"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905"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Basic net income (loss) per share (Note 15)</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0.18</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(8.34)</w:t>
            </w:r>
          </w:p>
        </w:tc>
        <w:tc>
          <w:tcPr>
            <w:tcW w:w="109"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0.18</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(26.08)</w:t>
            </w:r>
          </w:p>
        </w:tc>
        <w:tc>
          <w:tcPr>
            <w:tcW w:w="109" w:type="dxa"/>
            <w:tcBorders/>
            <w:vAlign w:val="center"/>
          </w:tcPr>
          <w:p>
            <w:pPr>
              <w:pStyle w:val="TableContents"/>
              <w:bidi w:val="0"/>
              <w:spacing w:before="0" w:after="0"/>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09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(36.83)</w:t>
            </w:r>
          </w:p>
        </w:tc>
      </w:tr>
      <w:tr>
        <w:trPr/>
        <w:tc>
          <w:tcPr>
            <w:tcW w:w="1905"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Diluted net income (loss) per share (Note 15)</w:t>
            </w:r>
          </w:p>
        </w:tc>
        <w:tc>
          <w:tcPr>
            <w:tcW w:w="3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(8.34)</w:t>
            </w:r>
          </w:p>
        </w:tc>
        <w:tc>
          <w:tcPr>
            <w:tcW w:w="109" w:type="dxa"/>
            <w:tcBorders/>
            <w:shd w:fill="CCEEFF" w:val="clear"/>
            <w:vAlign w:val="center"/>
          </w:tcPr>
          <w:p>
            <w:pPr>
              <w:pStyle w:val="TableContents"/>
              <w:bidi w:val="0"/>
              <w:spacing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(26.08)</w:t>
            </w:r>
          </w:p>
        </w:tc>
        <w:tc>
          <w:tcPr>
            <w:tcW w:w="109"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0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6"/>
        </w:rPr>
      </w:pPr>
      <w:bookmarkStart w:id="331" w:name="_c9e0b9c1_c10d_426b_b560_276c6cbbf359"/>
      <w:bookmarkEnd w:id="331"/>
      <w:r>
        <w:rPr>
          <w:rFonts w:ascii="Times New Roman;Times;serif" w:hAnsi="Times New Roman;Times;serif"/>
          <w:b/>
          <w:sz w:val="16"/>
        </w:rPr>
        <w:t>Adagio Medical Holdings Inc.</w:t>
      </w:r>
    </w:p>
    <w:p>
      <w:pPr>
        <w:pStyle w:val="TextBody"/>
        <w:bidi w:val="0"/>
        <w:spacing w:before="0" w:after="0"/>
        <w:ind w:left="0" w:right="0" w:hanging="0"/>
        <w:jc w:val="center"/>
        <w:rPr>
          <w:rFonts w:ascii="Times New Roman;Times;serif" w:hAnsi="Times New Roman;Times;serif"/>
          <w:b/>
          <w:sz w:val="16"/>
        </w:rPr>
      </w:pPr>
      <w:bookmarkStart w:id="332" w:name="SSE"/>
      <w:bookmarkStart w:id="333" w:name="STATEMENTOFCHANGESINSTOCKHOLDERSDEFICIT_"/>
      <w:bookmarkEnd w:id="332"/>
      <w:bookmarkEnd w:id="333"/>
      <w:r>
        <w:rPr>
          <w:rFonts w:ascii="Times New Roman;Times;serif" w:hAnsi="Times New Roman;Times;serif"/>
          <w:b/>
          <w:sz w:val="16"/>
        </w:rPr>
        <w:t>Condensed Consolidated Statements of Convertible Preferred Stock and Stockholders’ Equity (Deficit)</w:t>
      </w:r>
    </w:p>
    <w:p>
      <w:pPr>
        <w:pStyle w:val="TextBody"/>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34" w:name="Tc_FLlKa8mfG0eQFDIbuUx6rw_31_21"/>
      <w:bookmarkStart w:id="335" w:name="Tc_BdhgM8xxhUmdeSWAGpjZtg_31_18"/>
      <w:bookmarkStart w:id="336" w:name="Tc_9jxOQM2yGUuZybgTg-t4PQ_31_15"/>
      <w:bookmarkStart w:id="337" w:name="Tc_2ednI1x3wEi7H5h8NndCkA_31_12"/>
      <w:bookmarkStart w:id="338" w:name="Tc_rVEWshmrl0eCM-lXXVfwVA_31_9"/>
      <w:bookmarkStart w:id="339" w:name="Tc_0-x53bVI-EKf1_vuF3F96Q_31_4"/>
      <w:bookmarkStart w:id="340" w:name="Tc_fBDdJE2h8UqlFADp9t4Hng_31_0"/>
      <w:bookmarkStart w:id="341" w:name="Tc_z91uIe1mXkGtrV8uthoi7g_30_19"/>
      <w:bookmarkStart w:id="342" w:name="Tc_cjQACey1qke67kZuob6qwA_30_13"/>
      <w:bookmarkStart w:id="343" w:name="Tc_rrvJXrzb0ku_OnaViUxJNg_30_10"/>
      <w:bookmarkStart w:id="344" w:name="Tc_N6EU6550TUahkFaTYv20tw_30_7"/>
      <w:bookmarkStart w:id="345" w:name="Tc_-Kx1E6meC0aspUJbCHGDsQ_30_5"/>
      <w:bookmarkStart w:id="346" w:name="Tc_c__g80ef4Em0MK495vA2dg_30_2"/>
      <w:bookmarkStart w:id="347" w:name="Tc_sQgen5n0Pk-Gjn98pQHmvA_30_0"/>
      <w:bookmarkStart w:id="348" w:name="Tc_tUA7lMvpQ0-uu-69LDhQfA_29_19"/>
      <w:bookmarkStart w:id="349" w:name="Tc_I_lyB9w_QEaQt4df5tYOZg_29_16"/>
      <w:bookmarkStart w:id="350" w:name="Tc_CXpnEAJLvEStBcabRAPl0A_29_10"/>
      <w:bookmarkStart w:id="351" w:name="Tc_YXVQ7qMuHkGM7uzZLtaqPQ_29_7"/>
      <w:bookmarkStart w:id="352" w:name="Tc_gaO8x_e2sk-x77UgRMNaVw_29_5"/>
      <w:bookmarkStart w:id="353" w:name="Tc_zHpK1kVjJEiEZSDQ79mARw_29_2"/>
      <w:bookmarkStart w:id="354" w:name="Tc_-Xywd_-WOEq9b0_zwd83OQ_29_0"/>
      <w:bookmarkStart w:id="355" w:name="Tc_BHwLDKDFIUGi1VS0TZQXoQ_28_19"/>
      <w:bookmarkStart w:id="356" w:name="Tc_s2UyjrNBQU-XhmIH-SRPnA_28_16"/>
      <w:bookmarkStart w:id="357" w:name="Tc_TpGy_4t9wUCYSPEnRZzyGQ_28_10"/>
      <w:bookmarkStart w:id="358" w:name="Tc_ZIsSKZZfvU28tZr8XtthLw_28_5"/>
      <w:bookmarkStart w:id="359" w:name="Tc_-wBscMKZHkG_zPPwLkWafQ_28_2"/>
      <w:bookmarkStart w:id="360" w:name="Tc_SIKHpbMvjUqd-MVoLLmuig_28_0"/>
      <w:bookmarkStart w:id="361" w:name="Tc_Uharmlcc3k2hWOG3-yi_fA_27_16"/>
      <w:bookmarkStart w:id="362" w:name="Tc_TKy_ZrJZRE-pdNL4uRxFqA_27_13"/>
      <w:bookmarkStart w:id="363" w:name="Tc_-W6wHG7oh06K6Aj3NKvmaw_27_10"/>
      <w:bookmarkStart w:id="364" w:name="Tc_znJoDfM85kGGdUi72UXqJw_27_7"/>
      <w:bookmarkStart w:id="365" w:name="Tc_BRIzTXE30EuWSJF-nXMhLA_27_5"/>
      <w:bookmarkStart w:id="366" w:name="Tc_-NIwWkVGf06445stV2aTtQ_27_2"/>
      <w:bookmarkStart w:id="367" w:name="Tc_LTk8IIIqwEqZ74bBW0qiIQ_27_0"/>
      <w:bookmarkStart w:id="368" w:name="Tc_fpziY-ZP302ct-Nf3RnzxA_26_21"/>
      <w:bookmarkStart w:id="369" w:name="Tc_CyeCaf3V6UWm86FlwVV2GA_26_18"/>
      <w:bookmarkStart w:id="370" w:name="Tc_qWqbCvwwD0GpgKMwR_5lNg_26_15"/>
      <w:bookmarkStart w:id="371" w:name="Tc_Ln4sRLEeOkebrYCIE3yGBg_26_12"/>
      <w:bookmarkStart w:id="372" w:name="Tc_1TDQSskz9USUj0C5KFg_BA_26_9"/>
      <w:bookmarkStart w:id="373" w:name="Tc_YYkGjxDWtUaJVGSlGjoEtw_26_4"/>
      <w:bookmarkStart w:id="374" w:name="Tc_doL3dSQ_sUSO44pi-FvbBQ_26_0"/>
      <w:bookmarkStart w:id="375" w:name="Tc_k_gQ_zLKp0G-vTC3wKWJ0A_25_21"/>
      <w:bookmarkStart w:id="376" w:name="Tc_mq0FVaDoKEimCARkE9gBYw_25_18"/>
      <w:bookmarkStart w:id="377" w:name="Tc_ae3dpHDwXUqOcKh8atUaqA_25_15"/>
      <w:bookmarkStart w:id="378" w:name="Tc_G5c2O91l3EOlkaT_jgt1SA_25_12"/>
      <w:bookmarkStart w:id="379" w:name="Tc_xDEPMk2pcECeS-hp_-_L2g_25_9"/>
      <w:bookmarkStart w:id="380" w:name="Tc_e5pixCTx-keYwuK0wkffPg_25_7"/>
      <w:bookmarkStart w:id="381" w:name="Tc_I3I10M8FiEe0XWNaZrUR_g_25_4"/>
      <w:bookmarkStart w:id="382" w:name="Tc_PmI592aDI0Sl38E3SSmCGQ_25_2"/>
      <w:bookmarkStart w:id="383" w:name="Tc_L9SvfRzfNkOIolGIopF8gQ_24_21"/>
      <w:bookmarkStart w:id="384" w:name="Tc_emQJmVwKWEOv3aPikvI-wA_24_18"/>
      <w:bookmarkStart w:id="385" w:name="Tc_1hnVrCe3J0Gv1uCjmDBm-w_24_15"/>
      <w:bookmarkStart w:id="386" w:name="Tc_ZERsW_U8y0eEhOmZMgL0eQ_24_12"/>
      <w:bookmarkStart w:id="387" w:name="Tc_gFgg0LaIlEa9FcnEqg661Q_24_7"/>
      <w:bookmarkStart w:id="388" w:name="Tc_otZlBPxSLEqtWZewbb-Sow_24_2"/>
      <w:bookmarkStart w:id="389" w:name="Tc_mF2GZhDGYEuQ4F9Aa4c2cA_23_21"/>
      <w:bookmarkStart w:id="390" w:name="Tc_y_7YLR_MakS-HUuFqNoG2w_23_18"/>
      <w:bookmarkStart w:id="391" w:name="Tc_MaZXiidRZUqvDYmYr5nPpg_23_12"/>
      <w:bookmarkStart w:id="392" w:name="Tc_CS1va5S4gkideHv5Jc8qXA_22_18"/>
      <w:bookmarkStart w:id="393" w:name="Tc_vZz6g4OmTkWxow9x7aiP3A_21_2"/>
      <w:bookmarkStart w:id="394" w:name="Tc_cOf7DQT-ZUSTjojNNJPpTQ_18_21"/>
      <w:bookmarkStart w:id="395" w:name="Tc_7eHp6AiM2Eyc0XflPBVDXg_18_18"/>
      <w:bookmarkStart w:id="396" w:name="Tc_Ng1CoHkbl0WoZqX8c18-LA_18_15"/>
      <w:bookmarkStart w:id="397" w:name="Tc_k31Vr_Jw9E-XtZbP2CsruQ_18_12"/>
      <w:bookmarkStart w:id="398" w:name="Tc_YuCqgujox0qhHx2Cvvi7wg_18_9"/>
      <w:bookmarkStart w:id="399" w:name="Tc_DLHirnLv20iy3aa0r-Awjw_18_5"/>
      <w:bookmarkStart w:id="400" w:name="Tc_y3q4he0WNESTaPO6rWLWAw_18_4"/>
      <w:bookmarkStart w:id="401" w:name="Tc_Lo3D3dk_r0ii99wWgYyidQ_18_2"/>
      <w:bookmarkStart w:id="402" w:name="Tc_8xKSWKp2e0i930VfKFJX7g_18_0"/>
      <w:bookmarkStart w:id="403" w:name="Tc_pFFhpF8b2U6GdvIs0TIPlA_17_19"/>
      <w:bookmarkStart w:id="404" w:name="Tc_6F0sp3piBUKGecPcBoL4AA_17_13"/>
      <w:bookmarkStart w:id="405" w:name="Tc_7NTCi9aaA0-o04M0BdZ3xA_17_10"/>
      <w:bookmarkStart w:id="406" w:name="Tc_ISpY32nRdE-9xx7Dj_zgGA_17_7"/>
      <w:bookmarkStart w:id="407" w:name="Tc_7v9JpEhNUkGYFwDyUHIWDA_17_5"/>
      <w:bookmarkStart w:id="408" w:name="Tc_O3HvOa48AEu36VesCDs9AA_17_2"/>
      <w:bookmarkStart w:id="409" w:name="Tc_OGyaMg1XEkCOlqDXlxVKmQ_17_0"/>
      <w:bookmarkStart w:id="410" w:name="Tc_9eQ5yUSGE0G2WukKJzeYPA_16_22"/>
      <w:bookmarkStart w:id="411" w:name="Tc_6zeKjOhAakicHs8fEklBog_16_19"/>
      <w:bookmarkStart w:id="412" w:name="Tc_k_saxrmvkkSMGgN2n77e0g_16_16"/>
      <w:bookmarkStart w:id="413" w:name="Tc_Bj4y7Xyu70mftNL_2UNNIw_16_13"/>
      <w:bookmarkStart w:id="414" w:name="Tc_pq5MNVOci0SlsoIAKWExag_16_10"/>
      <w:bookmarkStart w:id="415" w:name="Tc_EpvyWQnaI0uXrXI3WdTmRg_16_5"/>
      <w:bookmarkStart w:id="416" w:name="Tc_QG9sMDvuIk2lbMvdNJXeGg_16_2"/>
      <w:bookmarkStart w:id="417" w:name="Tc_cCuexA6cGUaqBxfZ0qSywQ_16_0"/>
      <w:bookmarkStart w:id="418" w:name="Tc_VQcxzi2-t0W-P9fyupJHvA_15_16"/>
      <w:bookmarkStart w:id="419" w:name="Tc_ccENcDWhRk2D2G0AXgANDw_15_13"/>
      <w:bookmarkStart w:id="420" w:name="Tc_1AdSvRx3_0-cShn0hvZ_LA_15_10"/>
      <w:bookmarkStart w:id="421" w:name="Tc_tYwxP3dZ0k6IHpObEe09DA_15_7"/>
      <w:bookmarkStart w:id="422" w:name="Tc_lBLOQuyatkiKYbo0zi-L4g_15_5"/>
      <w:bookmarkStart w:id="423" w:name="Tc_JIAY1Nd8HkeehioiCpoLuQ_15_2"/>
      <w:bookmarkStart w:id="424" w:name="Tc_Ld6ZDv38Xkq5vGKXe9dwow_15_0"/>
      <w:bookmarkStart w:id="425" w:name="Tc_uRb1EHJmcU62SNd8T0GcoA_14_21"/>
      <w:bookmarkStart w:id="426" w:name="Tc_4bYJNbZsG0yQ1L3ek7D3-w_14_19"/>
      <w:bookmarkStart w:id="427" w:name="Tc_kbuBCfdJgEGWxuogoG5YSw_14_18"/>
      <w:bookmarkStart w:id="428" w:name="Tc_FF1Lp9yVo0Cy8qvs9cCmow_14_15"/>
      <w:bookmarkStart w:id="429" w:name="Tc_VnHkqbUyXkGFZxHvLY7ssg_14_12"/>
      <w:bookmarkStart w:id="430" w:name="Tc_aKGJNP7dzkyM1C4scBx83g_14_9"/>
      <w:bookmarkStart w:id="431" w:name="Tc_trHkcIulWkqLIBIXaPK3Tg_14_5"/>
      <w:bookmarkStart w:id="432" w:name="Tc_eNhIj-lcBkGzYS7bIK5Sxg_14_4"/>
      <w:bookmarkStart w:id="433" w:name="Tc_KMcNIDjgX0aZmgcd6FkaNg_14_2"/>
      <w:bookmarkStart w:id="434" w:name="Tc_hZybwUiKiUS-b6QRfwtlPw_14_0"/>
      <w:bookmarkStart w:id="435" w:name="Tc_s-P1BThZtESL7bEclJzquQ_11_21"/>
      <w:bookmarkStart w:id="436" w:name="Tc_YqpaXbVFOUOfKgbe5WlVfQ_11_18"/>
      <w:bookmarkStart w:id="437" w:name="Tc_YJdkcveU7ESEAryngevKlw_11_15"/>
      <w:bookmarkStart w:id="438" w:name="Tc_dISw4oyGVkm2_iAkrgXrrQ_11_12"/>
      <w:bookmarkStart w:id="439" w:name="Tc_qiUrxUzFzU2sXijDASYMdQ_11_9"/>
      <w:bookmarkStart w:id="440" w:name="Tc_fd5mVd7jVUeGD0F_qx8wyg_11_4"/>
      <w:bookmarkStart w:id="441" w:name="Tc_I1xQH5mEkEGxULCsvKTkNA_11_0"/>
      <w:bookmarkStart w:id="442" w:name="Tc_ECy-IIS0HUmpPJ5ExkYEjg_10_19"/>
      <w:bookmarkStart w:id="443" w:name="Tc_5zd6HHbD_U6y4ygsn8MKHg_10_13"/>
      <w:bookmarkStart w:id="444" w:name="Tc_pkSeDSQrSUeiCvjEKeLIug_10_10"/>
      <w:bookmarkStart w:id="445" w:name="Tc_w7AaYvWXm0eD9gsTvXYt4A_10_7"/>
      <w:bookmarkStart w:id="446" w:name="Tc_oJkzxvGtS0iJ5cDR5SP8jg_10_5"/>
      <w:bookmarkStart w:id="447" w:name="Tc_YEQ3xdQpY0CuWkJtWacFOg_10_2"/>
      <w:bookmarkStart w:id="448" w:name="Tc_r9hnTXjEpEu5T8wmKIYD3Q_10_0"/>
      <w:bookmarkStart w:id="449" w:name="Tc_M_qqnP9CpEuQLiR02Fal2Q_9_19"/>
      <w:bookmarkStart w:id="450" w:name="Tc_BE_Rw6WfH0SYxiGYaCw4OA_9_16"/>
      <w:bookmarkStart w:id="451" w:name="Tc_n1bzSo8kEEiB0ZzUiyk3Dw_9_10"/>
      <w:bookmarkStart w:id="452" w:name="Tc_RY1sRMhpzUqYbO1l7rX0ug_9_7"/>
      <w:bookmarkStart w:id="453" w:name="Tc_DTDl5chP7kG7LDbwQQymrQ_9_5"/>
      <w:bookmarkStart w:id="454" w:name="Tc_qylUpKC0pUilpYoNQUuqyQ_9_2"/>
      <w:bookmarkStart w:id="455" w:name="Tc_QYV50Wo4xUiHltKvG7Ciow_9_0"/>
      <w:bookmarkStart w:id="456" w:name="Tc_xiZww05lxEay-tYuQKbcYQ_8_19"/>
      <w:bookmarkStart w:id="457" w:name="Tc_kh2J2TekyEmm6yvoDcEFpA_8_16"/>
      <w:bookmarkStart w:id="458" w:name="Tc_UsGfzB79FkGtdjFwjQJRvg_8_10"/>
      <w:bookmarkStart w:id="459" w:name="Tc_-zUtnbcxxUu34VAXp7OF3w_8_5"/>
      <w:bookmarkStart w:id="460" w:name="Tc_lkvmnKkAlEWuQXubLncv7g_8_2"/>
      <w:bookmarkStart w:id="461" w:name="Tc_D3L4kTjpyUW76OeRKn2mHQ_8_0"/>
      <w:bookmarkStart w:id="462" w:name="Tc_JQdiiLOmFUO7C140mRvkPQ_7_16"/>
      <w:bookmarkStart w:id="463" w:name="Tc_yBMMciEdh0OTcQgd5sayiQ_7_13"/>
      <w:bookmarkStart w:id="464" w:name="Tc_xuhOgOL3Ak2AoMIx0RaXzg_7_10"/>
      <w:bookmarkStart w:id="465" w:name="Tc_lq88p0tmgki_WpZrMkJW2g_7_7"/>
      <w:bookmarkStart w:id="466" w:name="Tc_Xd3O2Igwn0qqt5c90hZKJg_7_5"/>
      <w:bookmarkStart w:id="467" w:name="Tc_gXvPc_QlHE2c-7gUILSXyg_7_2"/>
      <w:bookmarkStart w:id="468" w:name="Tc_oeLPrZLSQEumpJVswkQ3IQ_7_0"/>
      <w:bookmarkStart w:id="469" w:name="Tc_j7OmrOvdHk6luBiWxk-w_Q_6_21"/>
      <w:bookmarkStart w:id="470" w:name="Tc_o-V26jNIlEyRzvFMJ1gBIQ_6_18"/>
      <w:bookmarkStart w:id="471" w:name="Tc_D9RuUZkUIEahbPSb2yHhTg_6_15"/>
      <w:bookmarkStart w:id="472" w:name="Tc_0ko0LsuSfkaE0OBKIvKTug_6_12"/>
      <w:bookmarkStart w:id="473" w:name="Tc_9vn5Y7F4aU2AGT_FyspL_g_6_9"/>
      <w:bookmarkStart w:id="474" w:name="Tc_GUCAaLH5KkaOYekHZ2FDmg_6_4"/>
      <w:bookmarkStart w:id="475" w:name="Tc_BMU8IGgJLE6yThW1Rty40Q_6_0"/>
      <w:bookmarkStart w:id="476" w:name="Tc_a9vx34ymOkGosUuq_AvLGw_5_21"/>
      <w:bookmarkStart w:id="477" w:name="Tc_GQIJkCHb50uH8lS3tOGm-w_5_18"/>
      <w:bookmarkStart w:id="478" w:name="Tc_hWriNG7JbkuEvuEQv3u1fg_5_15"/>
      <w:bookmarkStart w:id="479" w:name="Tc_UixPRd3aZEGBTIl03CQMSA_5_12"/>
      <w:bookmarkStart w:id="480" w:name="Tc_mWpOoDnyzUG7kpsSYBjLJQ_5_9"/>
      <w:bookmarkStart w:id="481" w:name="Tc_sS89FCqugk2aQLhk9hntIg_5_7"/>
      <w:bookmarkStart w:id="482" w:name="Tc_aVg-zUKdFEqW9PFpKBiC_w_5_4"/>
      <w:bookmarkStart w:id="483" w:name="Tc_o4uNDsj0eE6F5SW80GVEww_5_2"/>
      <w:bookmarkStart w:id="484" w:name="Tc_-Tm3_9iU3kKUy5Q13F73eQ_4_21"/>
      <w:bookmarkStart w:id="485" w:name="Tc_Eup6JdewmE6ETIuRNLq7ww_4_18"/>
      <w:bookmarkStart w:id="486" w:name="Tc_0Bo9eQjhakyWM8xWEeFNFQ_4_15"/>
      <w:bookmarkStart w:id="487" w:name="Tc_PLCVs7HttUya5L7E8ZHPCA_4_12"/>
      <w:bookmarkStart w:id="488" w:name="Tc_vCh8hg9rZUyIVKGoKeO8Mw_4_7"/>
      <w:bookmarkStart w:id="489" w:name="Tc_7nOKxl5d6kiL-9lIsdOVew_4_2"/>
      <w:bookmarkStart w:id="490" w:name="Tc_vAsofuIyxUKIcku5fB1r_w_3_21"/>
      <w:bookmarkStart w:id="491" w:name="Tc_Rbr_gN2KbkWHSQGrI0ZPwA_3_18"/>
      <w:bookmarkStart w:id="492" w:name="Tc_XkCCKNvCC0ie3LfWTCQpHg_3_12"/>
      <w:bookmarkStart w:id="493" w:name="Tc_kE9gd4K-tEiMTnLqg0w1EA_2_18"/>
      <w:bookmarkStart w:id="494" w:name="Tc_qhULmpcd7ken0xmQP3x_2g_1_2"/>
      <w:bookmarkStart w:id="495" w:name="_346293fc_662b_40cd_b8fc_18de96be8720"/>
      <w:bookmarkStart w:id="496" w:name="Tc_FLlKa8mfG0eQFDIbuUx6rw_31_21"/>
      <w:bookmarkStart w:id="497" w:name="Tc_BdhgM8xxhUmdeSWAGpjZtg_31_18"/>
      <w:bookmarkStart w:id="498" w:name="Tc_9jxOQM2yGUuZybgTg-t4PQ_31_15"/>
      <w:bookmarkStart w:id="499" w:name="Tc_2ednI1x3wEi7H5h8NndCkA_31_12"/>
      <w:bookmarkStart w:id="500" w:name="Tc_rVEWshmrl0eCM-lXXVfwVA_31_9"/>
      <w:bookmarkStart w:id="501" w:name="Tc_0-x53bVI-EKf1_vuF3F96Q_31_4"/>
      <w:bookmarkStart w:id="502" w:name="Tc_fBDdJE2h8UqlFADp9t4Hng_31_0"/>
      <w:bookmarkStart w:id="503" w:name="Tc_z91uIe1mXkGtrV8uthoi7g_30_19"/>
      <w:bookmarkStart w:id="504" w:name="Tc_cjQACey1qke67kZuob6qwA_30_13"/>
      <w:bookmarkStart w:id="505" w:name="Tc_rrvJXrzb0ku_OnaViUxJNg_30_10"/>
      <w:bookmarkStart w:id="506" w:name="Tc_N6EU6550TUahkFaTYv20tw_30_7"/>
      <w:bookmarkStart w:id="507" w:name="Tc_-Kx1E6meC0aspUJbCHGDsQ_30_5"/>
      <w:bookmarkStart w:id="508" w:name="Tc_c__g80ef4Em0MK495vA2dg_30_2"/>
      <w:bookmarkStart w:id="509" w:name="Tc_sQgen5n0Pk-Gjn98pQHmvA_30_0"/>
      <w:bookmarkStart w:id="510" w:name="Tc_tUA7lMvpQ0-uu-69LDhQfA_29_19"/>
      <w:bookmarkStart w:id="511" w:name="Tc_I_lyB9w_QEaQt4df5tYOZg_29_16"/>
      <w:bookmarkStart w:id="512" w:name="Tc_CXpnEAJLvEStBcabRAPl0A_29_10"/>
      <w:bookmarkStart w:id="513" w:name="Tc_YXVQ7qMuHkGM7uzZLtaqPQ_29_7"/>
      <w:bookmarkStart w:id="514" w:name="Tc_gaO8x_e2sk-x77UgRMNaVw_29_5"/>
      <w:bookmarkStart w:id="515" w:name="Tc_zHpK1kVjJEiEZSDQ79mARw_29_2"/>
      <w:bookmarkStart w:id="516" w:name="Tc_-Xywd_-WOEq9b0_zwd83OQ_29_0"/>
      <w:bookmarkStart w:id="517" w:name="Tc_BHwLDKDFIUGi1VS0TZQXoQ_28_19"/>
      <w:bookmarkStart w:id="518" w:name="Tc_s2UyjrNBQU-XhmIH-SRPnA_28_16"/>
      <w:bookmarkStart w:id="519" w:name="Tc_TpGy_4t9wUCYSPEnRZzyGQ_28_10"/>
      <w:bookmarkStart w:id="520" w:name="Tc_ZIsSKZZfvU28tZr8XtthLw_28_5"/>
      <w:bookmarkStart w:id="521" w:name="Tc_-wBscMKZHkG_zPPwLkWafQ_28_2"/>
      <w:bookmarkStart w:id="522" w:name="Tc_SIKHpbMvjUqd-MVoLLmuig_28_0"/>
      <w:bookmarkStart w:id="523" w:name="Tc_Uharmlcc3k2hWOG3-yi_fA_27_16"/>
      <w:bookmarkStart w:id="524" w:name="Tc_TKy_ZrJZRE-pdNL4uRxFqA_27_13"/>
      <w:bookmarkStart w:id="525" w:name="Tc_-W6wHG7oh06K6Aj3NKvmaw_27_10"/>
      <w:bookmarkStart w:id="526" w:name="Tc_znJoDfM85kGGdUi72UXqJw_27_7"/>
      <w:bookmarkStart w:id="527" w:name="Tc_BRIzTXE30EuWSJF-nXMhLA_27_5"/>
      <w:bookmarkStart w:id="528" w:name="Tc_-NIwWkVGf06445stV2aTtQ_27_2"/>
      <w:bookmarkStart w:id="529" w:name="Tc_LTk8IIIqwEqZ74bBW0qiIQ_27_0"/>
      <w:bookmarkStart w:id="530" w:name="Tc_fpziY-ZP302ct-Nf3RnzxA_26_21"/>
      <w:bookmarkStart w:id="531" w:name="Tc_CyeCaf3V6UWm86FlwVV2GA_26_18"/>
      <w:bookmarkStart w:id="532" w:name="Tc_qWqbCvwwD0GpgKMwR_5lNg_26_15"/>
      <w:bookmarkStart w:id="533" w:name="Tc_Ln4sRLEeOkebrYCIE3yGBg_26_12"/>
      <w:bookmarkStart w:id="534" w:name="Tc_1TDQSskz9USUj0C5KFg_BA_26_9"/>
      <w:bookmarkStart w:id="535" w:name="Tc_YYkGjxDWtUaJVGSlGjoEtw_26_4"/>
      <w:bookmarkStart w:id="536" w:name="Tc_doL3dSQ_sUSO44pi-FvbBQ_26_0"/>
      <w:bookmarkStart w:id="537" w:name="Tc_k_gQ_zLKp0G-vTC3wKWJ0A_25_21"/>
      <w:bookmarkStart w:id="538" w:name="Tc_mq0FVaDoKEimCARkE9gBYw_25_18"/>
      <w:bookmarkStart w:id="539" w:name="Tc_ae3dpHDwXUqOcKh8atUaqA_25_15"/>
      <w:bookmarkStart w:id="540" w:name="Tc_G5c2O91l3EOlkaT_jgt1SA_25_12"/>
      <w:bookmarkStart w:id="541" w:name="Tc_xDEPMk2pcECeS-hp_-_L2g_25_9"/>
      <w:bookmarkStart w:id="542" w:name="Tc_e5pixCTx-keYwuK0wkffPg_25_7"/>
      <w:bookmarkStart w:id="543" w:name="Tc_I3I10M8FiEe0XWNaZrUR_g_25_4"/>
      <w:bookmarkStart w:id="544" w:name="Tc_PmI592aDI0Sl38E3SSmCGQ_25_2"/>
      <w:bookmarkStart w:id="545" w:name="Tc_L9SvfRzfNkOIolGIopF8gQ_24_21"/>
      <w:bookmarkStart w:id="546" w:name="Tc_emQJmVwKWEOv3aPikvI-wA_24_18"/>
      <w:bookmarkStart w:id="547" w:name="Tc_1hnVrCe3J0Gv1uCjmDBm-w_24_15"/>
      <w:bookmarkStart w:id="548" w:name="Tc_ZERsW_U8y0eEhOmZMgL0eQ_24_12"/>
      <w:bookmarkStart w:id="549" w:name="Tc_gFgg0LaIlEa9FcnEqg661Q_24_7"/>
      <w:bookmarkStart w:id="550" w:name="Tc_otZlBPxSLEqtWZewbb-Sow_24_2"/>
      <w:bookmarkStart w:id="551" w:name="Tc_mF2GZhDGYEuQ4F9Aa4c2cA_23_21"/>
      <w:bookmarkStart w:id="552" w:name="Tc_y_7YLR_MakS-HUuFqNoG2w_23_18"/>
      <w:bookmarkStart w:id="553" w:name="Tc_MaZXiidRZUqvDYmYr5nPpg_23_12"/>
      <w:bookmarkStart w:id="554" w:name="Tc_CS1va5S4gkideHv5Jc8qXA_22_18"/>
      <w:bookmarkStart w:id="555" w:name="Tc_vZz6g4OmTkWxow9x7aiP3A_21_2"/>
      <w:bookmarkStart w:id="556" w:name="Tc_cOf7DQT-ZUSTjojNNJPpTQ_18_21"/>
      <w:bookmarkStart w:id="557" w:name="Tc_7eHp6AiM2Eyc0XflPBVDXg_18_18"/>
      <w:bookmarkStart w:id="558" w:name="Tc_Ng1CoHkbl0WoZqX8c18-LA_18_15"/>
      <w:bookmarkStart w:id="559" w:name="Tc_k31Vr_Jw9E-XtZbP2CsruQ_18_12"/>
      <w:bookmarkStart w:id="560" w:name="Tc_YuCqgujox0qhHx2Cvvi7wg_18_9"/>
      <w:bookmarkStart w:id="561" w:name="Tc_DLHirnLv20iy3aa0r-Awjw_18_5"/>
      <w:bookmarkStart w:id="562" w:name="Tc_y3q4he0WNESTaPO6rWLWAw_18_4"/>
      <w:bookmarkStart w:id="563" w:name="Tc_Lo3D3dk_r0ii99wWgYyidQ_18_2"/>
      <w:bookmarkStart w:id="564" w:name="Tc_8xKSWKp2e0i930VfKFJX7g_18_0"/>
      <w:bookmarkStart w:id="565" w:name="Tc_pFFhpF8b2U6GdvIs0TIPlA_17_19"/>
      <w:bookmarkStart w:id="566" w:name="Tc_6F0sp3piBUKGecPcBoL4AA_17_13"/>
      <w:bookmarkStart w:id="567" w:name="Tc_7NTCi9aaA0-o04M0BdZ3xA_17_10"/>
      <w:bookmarkStart w:id="568" w:name="Tc_ISpY32nRdE-9xx7Dj_zgGA_17_7"/>
      <w:bookmarkStart w:id="569" w:name="Tc_7v9JpEhNUkGYFwDyUHIWDA_17_5"/>
      <w:bookmarkStart w:id="570" w:name="Tc_O3HvOa48AEu36VesCDs9AA_17_2"/>
      <w:bookmarkStart w:id="571" w:name="Tc_OGyaMg1XEkCOlqDXlxVKmQ_17_0"/>
      <w:bookmarkStart w:id="572" w:name="Tc_9eQ5yUSGE0G2WukKJzeYPA_16_22"/>
      <w:bookmarkStart w:id="573" w:name="Tc_6zeKjOhAakicHs8fEklBog_16_19"/>
      <w:bookmarkStart w:id="574" w:name="Tc_k_saxrmvkkSMGgN2n77e0g_16_16"/>
      <w:bookmarkStart w:id="575" w:name="Tc_Bj4y7Xyu70mftNL_2UNNIw_16_13"/>
      <w:bookmarkStart w:id="576" w:name="Tc_pq5MNVOci0SlsoIAKWExag_16_10"/>
      <w:bookmarkStart w:id="577" w:name="Tc_EpvyWQnaI0uXrXI3WdTmRg_16_5"/>
      <w:bookmarkStart w:id="578" w:name="Tc_QG9sMDvuIk2lbMvdNJXeGg_16_2"/>
      <w:bookmarkStart w:id="579" w:name="Tc_cCuexA6cGUaqBxfZ0qSywQ_16_0"/>
      <w:bookmarkStart w:id="580" w:name="Tc_VQcxzi2-t0W-P9fyupJHvA_15_16"/>
      <w:bookmarkStart w:id="581" w:name="Tc_ccENcDWhRk2D2G0AXgANDw_15_13"/>
      <w:bookmarkStart w:id="582" w:name="Tc_1AdSvRx3_0-cShn0hvZ_LA_15_10"/>
      <w:bookmarkStart w:id="583" w:name="Tc_tYwxP3dZ0k6IHpObEe09DA_15_7"/>
      <w:bookmarkStart w:id="584" w:name="Tc_lBLOQuyatkiKYbo0zi-L4g_15_5"/>
      <w:bookmarkStart w:id="585" w:name="Tc_JIAY1Nd8HkeehioiCpoLuQ_15_2"/>
      <w:bookmarkStart w:id="586" w:name="Tc_Ld6ZDv38Xkq5vGKXe9dwow_15_0"/>
      <w:bookmarkStart w:id="587" w:name="Tc_uRb1EHJmcU62SNd8T0GcoA_14_21"/>
      <w:bookmarkStart w:id="588" w:name="Tc_4bYJNbZsG0yQ1L3ek7D3-w_14_19"/>
      <w:bookmarkStart w:id="589" w:name="Tc_kbuBCfdJgEGWxuogoG5YSw_14_18"/>
      <w:bookmarkStart w:id="590" w:name="Tc_FF1Lp9yVo0Cy8qvs9cCmow_14_15"/>
      <w:bookmarkStart w:id="591" w:name="Tc_VnHkqbUyXkGFZxHvLY7ssg_14_12"/>
      <w:bookmarkStart w:id="592" w:name="Tc_aKGJNP7dzkyM1C4scBx83g_14_9"/>
      <w:bookmarkStart w:id="593" w:name="Tc_trHkcIulWkqLIBIXaPK3Tg_14_5"/>
      <w:bookmarkStart w:id="594" w:name="Tc_eNhIj-lcBkGzYS7bIK5Sxg_14_4"/>
      <w:bookmarkStart w:id="595" w:name="Tc_KMcNIDjgX0aZmgcd6FkaNg_14_2"/>
      <w:bookmarkStart w:id="596" w:name="Tc_hZybwUiKiUS-b6QRfwtlPw_14_0"/>
      <w:bookmarkStart w:id="597" w:name="Tc_s-P1BThZtESL7bEclJzquQ_11_21"/>
      <w:bookmarkStart w:id="598" w:name="Tc_YqpaXbVFOUOfKgbe5WlVfQ_11_18"/>
      <w:bookmarkStart w:id="599" w:name="Tc_YJdkcveU7ESEAryngevKlw_11_15"/>
      <w:bookmarkStart w:id="600" w:name="Tc_dISw4oyGVkm2_iAkrgXrrQ_11_12"/>
      <w:bookmarkStart w:id="601" w:name="Tc_qiUrxUzFzU2sXijDASYMdQ_11_9"/>
      <w:bookmarkStart w:id="602" w:name="Tc_fd5mVd7jVUeGD0F_qx8wyg_11_4"/>
      <w:bookmarkStart w:id="603" w:name="Tc_I1xQH5mEkEGxULCsvKTkNA_11_0"/>
      <w:bookmarkStart w:id="604" w:name="Tc_ECy-IIS0HUmpPJ5ExkYEjg_10_19"/>
      <w:bookmarkStart w:id="605" w:name="Tc_5zd6HHbD_U6y4ygsn8MKHg_10_13"/>
      <w:bookmarkStart w:id="606" w:name="Tc_pkSeDSQrSUeiCvjEKeLIug_10_10"/>
      <w:bookmarkStart w:id="607" w:name="Tc_w7AaYvWXm0eD9gsTvXYt4A_10_7"/>
      <w:bookmarkStart w:id="608" w:name="Tc_oJkzxvGtS0iJ5cDR5SP8jg_10_5"/>
      <w:bookmarkStart w:id="609" w:name="Tc_YEQ3xdQpY0CuWkJtWacFOg_10_2"/>
      <w:bookmarkStart w:id="610" w:name="Tc_r9hnTXjEpEu5T8wmKIYD3Q_10_0"/>
      <w:bookmarkStart w:id="611" w:name="Tc_M_qqnP9CpEuQLiR02Fal2Q_9_19"/>
      <w:bookmarkStart w:id="612" w:name="Tc_BE_Rw6WfH0SYxiGYaCw4OA_9_16"/>
      <w:bookmarkStart w:id="613" w:name="Tc_n1bzSo8kEEiB0ZzUiyk3Dw_9_10"/>
      <w:bookmarkStart w:id="614" w:name="Tc_RY1sRMhpzUqYbO1l7rX0ug_9_7"/>
      <w:bookmarkStart w:id="615" w:name="Tc_DTDl5chP7kG7LDbwQQymrQ_9_5"/>
      <w:bookmarkStart w:id="616" w:name="Tc_qylUpKC0pUilpYoNQUuqyQ_9_2"/>
      <w:bookmarkStart w:id="617" w:name="Tc_QYV50Wo4xUiHltKvG7Ciow_9_0"/>
      <w:bookmarkStart w:id="618" w:name="Tc_xiZww05lxEay-tYuQKbcYQ_8_19"/>
      <w:bookmarkStart w:id="619" w:name="Tc_kh2J2TekyEmm6yvoDcEFpA_8_16"/>
      <w:bookmarkStart w:id="620" w:name="Tc_UsGfzB79FkGtdjFwjQJRvg_8_10"/>
      <w:bookmarkStart w:id="621" w:name="Tc_-zUtnbcxxUu34VAXp7OF3w_8_5"/>
      <w:bookmarkStart w:id="622" w:name="Tc_lkvmnKkAlEWuQXubLncv7g_8_2"/>
      <w:bookmarkStart w:id="623" w:name="Tc_D3L4kTjpyUW76OeRKn2mHQ_8_0"/>
      <w:bookmarkStart w:id="624" w:name="Tc_JQdiiLOmFUO7C140mRvkPQ_7_16"/>
      <w:bookmarkStart w:id="625" w:name="Tc_yBMMciEdh0OTcQgd5sayiQ_7_13"/>
      <w:bookmarkStart w:id="626" w:name="Tc_xuhOgOL3Ak2AoMIx0RaXzg_7_10"/>
      <w:bookmarkStart w:id="627" w:name="Tc_lq88p0tmgki_WpZrMkJW2g_7_7"/>
      <w:bookmarkStart w:id="628" w:name="Tc_Xd3O2Igwn0qqt5c90hZKJg_7_5"/>
      <w:bookmarkStart w:id="629" w:name="Tc_gXvPc_QlHE2c-7gUILSXyg_7_2"/>
      <w:bookmarkStart w:id="630" w:name="Tc_oeLPrZLSQEumpJVswkQ3IQ_7_0"/>
      <w:bookmarkStart w:id="631" w:name="Tc_j7OmrOvdHk6luBiWxk-w_Q_6_21"/>
      <w:bookmarkStart w:id="632" w:name="Tc_o-V26jNIlEyRzvFMJ1gBIQ_6_18"/>
      <w:bookmarkStart w:id="633" w:name="Tc_D9RuUZkUIEahbPSb2yHhTg_6_15"/>
      <w:bookmarkStart w:id="634" w:name="Tc_0ko0LsuSfkaE0OBKIvKTug_6_12"/>
      <w:bookmarkStart w:id="635" w:name="Tc_9vn5Y7F4aU2AGT_FyspL_g_6_9"/>
      <w:bookmarkStart w:id="636" w:name="Tc_GUCAaLH5KkaOYekHZ2FDmg_6_4"/>
      <w:bookmarkStart w:id="637" w:name="Tc_BMU8IGgJLE6yThW1Rty40Q_6_0"/>
      <w:bookmarkStart w:id="638" w:name="Tc_a9vx34ymOkGosUuq_AvLGw_5_21"/>
      <w:bookmarkStart w:id="639" w:name="Tc_GQIJkCHb50uH8lS3tOGm-w_5_18"/>
      <w:bookmarkStart w:id="640" w:name="Tc_hWriNG7JbkuEvuEQv3u1fg_5_15"/>
      <w:bookmarkStart w:id="641" w:name="Tc_UixPRd3aZEGBTIl03CQMSA_5_12"/>
      <w:bookmarkStart w:id="642" w:name="Tc_mWpOoDnyzUG7kpsSYBjLJQ_5_9"/>
      <w:bookmarkStart w:id="643" w:name="Tc_sS89FCqugk2aQLhk9hntIg_5_7"/>
      <w:bookmarkStart w:id="644" w:name="Tc_aVg-zUKdFEqW9PFpKBiC_w_5_4"/>
      <w:bookmarkStart w:id="645" w:name="Tc_o4uNDsj0eE6F5SW80GVEww_5_2"/>
      <w:bookmarkStart w:id="646" w:name="Tc_-Tm3_9iU3kKUy5Q13F73eQ_4_21"/>
      <w:bookmarkStart w:id="647" w:name="Tc_Eup6JdewmE6ETIuRNLq7ww_4_18"/>
      <w:bookmarkStart w:id="648" w:name="Tc_0Bo9eQjhakyWM8xWEeFNFQ_4_15"/>
      <w:bookmarkStart w:id="649" w:name="Tc_PLCVs7HttUya5L7E8ZHPCA_4_12"/>
      <w:bookmarkStart w:id="650" w:name="Tc_vCh8hg9rZUyIVKGoKeO8Mw_4_7"/>
      <w:bookmarkStart w:id="651" w:name="Tc_7nOKxl5d6kiL-9lIsdOVew_4_2"/>
      <w:bookmarkStart w:id="652" w:name="Tc_vAsofuIyxUKIcku5fB1r_w_3_21"/>
      <w:bookmarkStart w:id="653" w:name="Tc_Rbr_gN2KbkWHSQGrI0ZPwA_3_18"/>
      <w:bookmarkStart w:id="654" w:name="Tc_XkCCKNvCC0ie3LfWTCQpHg_3_12"/>
      <w:bookmarkStart w:id="655" w:name="Tc_kE9gd4K-tEiMTnLqg0w1EA_2_18"/>
      <w:bookmarkStart w:id="656" w:name="Tc_qhULmpcd7ken0xmQP3x_2g_1_2"/>
      <w:bookmarkStart w:id="657" w:name="_346293fc_662b_40cd_b8fc_18de96be8720"/>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tbl>
      <w:tblPr>
        <w:tblW w:w="11318" w:type="dxa"/>
        <w:jc w:val="left"/>
        <w:tblInd w:w="0" w:type="dxa"/>
        <w:tblLayout w:type="fixed"/>
        <w:tblCellMar>
          <w:top w:w="0" w:type="dxa"/>
          <w:left w:w="0" w:type="dxa"/>
          <w:bottom w:w="0" w:type="dxa"/>
          <w:right w:w="0" w:type="dxa"/>
        </w:tblCellMar>
      </w:tblPr>
      <w:tblGrid>
        <w:gridCol w:w="1081"/>
        <w:gridCol w:w="326"/>
        <w:gridCol w:w="826"/>
        <w:gridCol w:w="326"/>
        <w:gridCol w:w="196"/>
        <w:gridCol w:w="601"/>
        <w:gridCol w:w="386"/>
        <w:gridCol w:w="916"/>
        <w:gridCol w:w="326"/>
        <w:gridCol w:w="249"/>
        <w:gridCol w:w="442"/>
        <w:gridCol w:w="386"/>
        <w:gridCol w:w="214"/>
        <w:gridCol w:w="657"/>
        <w:gridCol w:w="326"/>
        <w:gridCol w:w="217"/>
        <w:gridCol w:w="834"/>
        <w:gridCol w:w="326"/>
        <w:gridCol w:w="439"/>
        <w:gridCol w:w="777"/>
        <w:gridCol w:w="386"/>
        <w:gridCol w:w="213"/>
        <w:gridCol w:w="868"/>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86435" cy="175260"/>
                      <wp:effectExtent l="0" t="0" r="0" b="0"/>
                      <wp:wrapNone/>
                      <wp:docPr id="34" name="Frame3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24510" cy="175260"/>
                      <wp:effectExtent l="0" t="0" r="0" b="0"/>
                      <wp:wrapNone/>
                      <wp:docPr id="36" name="Frame3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81635" cy="175260"/>
                      <wp:effectExtent l="0" t="0" r="0" b="0"/>
                      <wp:wrapNone/>
                      <wp:docPr id="39" name="Frame3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45110" cy="175260"/>
                      <wp:effectExtent l="0" t="0" r="0" b="0"/>
                      <wp:wrapNone/>
                      <wp:docPr id="40" name="Frame4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81660" cy="175260"/>
                      <wp:effectExtent l="0" t="0" r="0" b="0"/>
                      <wp:wrapNone/>
                      <wp:docPr id="41" name="Frame4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58115" cy="175260"/>
                      <wp:effectExtent l="0" t="0" r="0" b="0"/>
                      <wp:wrapNone/>
                      <wp:docPr id="43" name="Frame4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80670" cy="175260"/>
                      <wp:effectExtent l="0" t="0" r="0" b="0"/>
                      <wp:wrapNone/>
                      <wp:docPr id="44" name="Frame44"/>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45110" cy="175260"/>
                      <wp:effectExtent l="0" t="0" r="0" b="0"/>
                      <wp:wrapNone/>
                      <wp:docPr id="45" name="Frame4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5890" cy="175260"/>
                      <wp:effectExtent l="0" t="0" r="0" b="0"/>
                      <wp:wrapNone/>
                      <wp:docPr id="46" name="Frame46"/>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17195" cy="175260"/>
                      <wp:effectExtent l="0" t="0" r="0" b="0"/>
                      <wp:wrapNone/>
                      <wp:docPr id="47" name="Frame47"/>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7795" cy="175260"/>
                      <wp:effectExtent l="0" t="0" r="0" b="0"/>
                      <wp:wrapNone/>
                      <wp:docPr id="49" name="Frame49"/>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29590" cy="175260"/>
                      <wp:effectExtent l="0" t="0" r="0" b="0"/>
                      <wp:wrapNone/>
                      <wp:docPr id="50" name="Frame50"/>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78765" cy="175260"/>
                      <wp:effectExtent l="0" t="0" r="0" b="0"/>
                      <wp:wrapNone/>
                      <wp:docPr id="52" name="Frame52"/>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93395" cy="175260"/>
                      <wp:effectExtent l="0" t="0" r="0" b="0"/>
                      <wp:wrapNone/>
                      <wp:docPr id="53" name="Frame53"/>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45110" cy="175260"/>
                      <wp:effectExtent l="0" t="0" r="0" b="0"/>
                      <wp:wrapNone/>
                      <wp:docPr id="54" name="Frame5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5255" cy="175260"/>
                      <wp:effectExtent l="0" t="0" r="0" b="0"/>
                      <wp:wrapNone/>
                      <wp:docPr id="55" name="Frame5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51180" cy="175260"/>
                      <wp:effectExtent l="0" t="0" r="0" b="0"/>
                      <wp:wrapNone/>
                      <wp:docPr id="56" name="Frame56"/>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1" w:type="dxa"/>
            <w:gridSpan w:val="2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2024</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9" w:type="dxa"/>
            <w:gridSpan w:val="4"/>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left"/>
              <w:rPr/>
            </w:pPr>
            <w:r>
              <w:rPr/>
              <w:t>​</w:t>
            </w:r>
          </w:p>
        </w:tc>
        <w:tc>
          <w:tcPr>
            <w:tcW w:w="1933" w:type="dxa"/>
            <w:gridSpan w:val="4"/>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8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 Preferred Stock</w:t>
            </w:r>
          </w:p>
        </w:tc>
        <w:tc>
          <w:tcPr>
            <w:tcW w:w="386" w:type="dxa"/>
            <w:tcBorders/>
            <w:vAlign w:val="center"/>
          </w:tcPr>
          <w:p>
            <w:pPr>
              <w:pStyle w:val="TableContents"/>
              <w:bidi w:val="0"/>
              <w:spacing w:before="0" w:after="0"/>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8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8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8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2024 (Predecessor)</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4,732,044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86,783</w:t>
            </w:r>
          </w:p>
        </w:tc>
        <w:tc>
          <w:tcPr>
            <w:tcW w:w="38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780,180</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6,163</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(146,692)</w:t>
            </w:r>
          </w:p>
        </w:tc>
        <w:tc>
          <w:tcPr>
            <w:tcW w:w="32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w:t>
            </w:r>
          </w:p>
        </w:tc>
        <w:tc>
          <w:tcPr>
            <w:tcW w:w="38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(140,506)</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8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 exercises</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421</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(8,235)</w:t>
            </w:r>
          </w:p>
        </w:tc>
        <w:tc>
          <w:tcPr>
            <w:tcW w:w="326" w:type="dxa"/>
            <w:tcBorders/>
            <w:shd w:fill="CCEEFF" w:val="cle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(8,235)</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July 30, 2024 (Predecessor)</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4,732,044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86,783</w:t>
            </w:r>
          </w:p>
        </w:tc>
        <w:tc>
          <w:tcPr>
            <w:tcW w:w="38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780,213</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6,591</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(154,927)</w:t>
            </w:r>
          </w:p>
        </w:tc>
        <w:tc>
          <w:tcPr>
            <w:tcW w:w="326" w:type="dxa"/>
            <w:tcBorders/>
            <w:vAlign w:val="center"/>
          </w:tcPr>
          <w:p>
            <w:pPr>
              <w:pStyle w:val="TableContents"/>
              <w:bidi w:val="0"/>
              <w:spacing w:before="0" w:after="0"/>
              <w:ind w:left="0" w:right="0" w:hanging="0"/>
              <w:jc w:val="left"/>
              <w:rPr/>
            </w:pPr>
            <w:r>
              <w:rPr/>
              <w:t>​</w:t>
            </w:r>
          </w:p>
        </w:tc>
        <w:tc>
          <w:tcPr>
            <w:tcW w:w="4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c>
          <w:tcPr>
            <w:tcW w:w="38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(148,315)</w:t>
            </w:r>
          </w:p>
        </w:tc>
      </w:tr>
      <w:tr>
        <w:trPr/>
        <w:tc>
          <w:tcPr>
            <w:tcW w:w="108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38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91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24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38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214"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657"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217"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439"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386"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213"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c>
          <w:tcPr>
            <w:tcW w:w="868" w:type="dxa"/>
            <w:tcBorders>
              <w:bottom w:val="single" w:sz="12" w:space="0" w:color="000000"/>
            </w:tcBorders>
            <w:tcMar>
              <w:bottom w:w="28" w:type="dxa"/>
            </w:tcM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July 31, 2024 (Successor)</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13,387,636</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89,786</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(16,823)</w:t>
            </w:r>
          </w:p>
        </w:tc>
        <w:tc>
          <w:tcPr>
            <w:tcW w:w="32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72,964</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8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Sponsor Earnout</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1,147,500</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6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3,606</w:t>
            </w:r>
          </w:p>
        </w:tc>
        <w:tc>
          <w:tcPr>
            <w:tcW w:w="326" w:type="dxa"/>
            <w:tcBorders/>
            <w:vAlign w:val="center"/>
          </w:tcPr>
          <w:p>
            <w:pPr>
              <w:pStyle w:val="TableContents"/>
              <w:bidi w:val="0"/>
              <w:spacing w:before="0" w:after="0"/>
              <w:ind w:left="0" w:right="0" w:hanging="0"/>
              <w:jc w:val="left"/>
              <w:rPr/>
            </w:pPr>
            <w:r>
              <w:rPr/>
              <w:t>​</w:t>
            </w:r>
          </w:p>
        </w:tc>
        <w:tc>
          <w:tcPr>
            <w:tcW w:w="4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3,606</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September 30, 2024 (Successor)</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14,535,136</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89,786</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(13,217)</w:t>
            </w:r>
          </w:p>
        </w:tc>
        <w:tc>
          <w:tcPr>
            <w:tcW w:w="326" w:type="dxa"/>
            <w:tcBorders/>
            <w:shd w:fill="CCEEFF" w:val="clear"/>
            <w:vAlign w:val="center"/>
          </w:tcPr>
          <w:p>
            <w:pPr>
              <w:pStyle w:val="TableContents"/>
              <w:bidi w:val="0"/>
              <w:spacing w:before="0" w:after="0"/>
              <w:ind w:left="0" w:right="0" w:hanging="0"/>
              <w:jc w:val="left"/>
              <w:rPr/>
            </w:pPr>
            <w:r>
              <w:rPr/>
              <w:t>​</w:t>
            </w:r>
          </w:p>
        </w:tc>
        <w:tc>
          <w:tcPr>
            <w:tcW w:w="4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8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76,561</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1" w:type="dxa"/>
            <w:gridSpan w:val="2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2023</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9" w:type="dxa"/>
            <w:gridSpan w:val="4"/>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left"/>
              <w:rPr/>
            </w:pPr>
            <w:r>
              <w:rPr/>
              <w:t>​</w:t>
            </w:r>
          </w:p>
        </w:tc>
        <w:tc>
          <w:tcPr>
            <w:tcW w:w="1933" w:type="dxa"/>
            <w:gridSpan w:val="4"/>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8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49" w:type="dxa"/>
            <w:tcBorders/>
            <w:vAlign w:val="center"/>
          </w:tcPr>
          <w:p>
            <w:pPr>
              <w:pStyle w:val="TableContents"/>
              <w:bidi w:val="0"/>
              <w:spacing w:before="0" w:after="0"/>
              <w:ind w:left="0" w:right="0" w:hanging="0"/>
              <w:jc w:val="center"/>
              <w:rPr/>
            </w:pPr>
            <w:r>
              <w:rPr/>
              <w:t>​</w:t>
            </w:r>
          </w:p>
        </w:tc>
        <w:tc>
          <w:tcPr>
            <w:tcW w:w="442"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 Preferred Stock</w:t>
            </w:r>
          </w:p>
        </w:tc>
        <w:tc>
          <w:tcPr>
            <w:tcW w:w="386" w:type="dxa"/>
            <w:tcBorders/>
            <w:vAlign w:val="center"/>
          </w:tcPr>
          <w:p>
            <w:pPr>
              <w:pStyle w:val="TableContents"/>
              <w:bidi w:val="0"/>
              <w:spacing w:before="0" w:after="0"/>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8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8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0"/>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86"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2023 (Predecessor)</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4,939,946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91,469</w:t>
            </w:r>
          </w:p>
        </w:tc>
        <w:tc>
          <w:tcPr>
            <w:tcW w:w="38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760,918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(114,267)</w:t>
            </w:r>
          </w:p>
        </w:tc>
        <w:tc>
          <w:tcPr>
            <w:tcW w:w="32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8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(112,876)</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8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 exercises</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(346)</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right"/>
              <w:rPr/>
            </w:pPr>
            <w:r>
              <w:rPr/>
              <w:t>​</w:t>
            </w:r>
          </w:p>
        </w:tc>
        <w:tc>
          <w:tcPr>
            <w:tcW w:w="6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6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(10,761)</w:t>
            </w:r>
          </w:p>
        </w:tc>
        <w:tc>
          <w:tcPr>
            <w:tcW w:w="326" w:type="dxa"/>
            <w:tcBorders/>
            <w:shd w:fill="CCEEFF" w:val="cle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(10,761)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September 30, 2023 (Predecessor)</w:t>
            </w:r>
          </w:p>
        </w:tc>
        <w:tc>
          <w:tcPr>
            <w:tcW w:w="326"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4,939,946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91,469</w:t>
            </w:r>
          </w:p>
        </w:tc>
        <w:tc>
          <w:tcPr>
            <w:tcW w:w="38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760,572</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1,493</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(125,028)</w:t>
            </w:r>
          </w:p>
        </w:tc>
        <w:tc>
          <w:tcPr>
            <w:tcW w:w="326" w:type="dxa"/>
            <w:tcBorders/>
            <w:vAlign w:val="center"/>
          </w:tcPr>
          <w:p>
            <w:pPr>
              <w:pStyle w:val="TableContents"/>
              <w:bidi w:val="0"/>
              <w:spacing w:before="0" w:after="0"/>
              <w:ind w:left="0" w:right="0" w:hanging="0"/>
              <w:jc w:val="left"/>
              <w:rPr/>
            </w:pPr>
            <w:r>
              <w:rPr/>
              <w:t>​</w:t>
            </w:r>
          </w:p>
        </w:tc>
        <w:tc>
          <w:tcPr>
            <w:tcW w:w="4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38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(123,507)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Adagio Medical Holdings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Condensed Consolidated Statements of Convertible Preferred Stock and Stockholders’ Equity (Deficit </w:t>
      </w:r>
    </w:p>
    <w:p>
      <w:pPr>
        <w:pStyle w:val="TextBody"/>
        <w:bidi w:val="0"/>
        <w:spacing w:before="0" w:after="0"/>
        <w:ind w:left="0" w:right="0" w:hanging="0"/>
        <w:jc w:val="center"/>
        <w:rPr>
          <w:rFonts w:ascii="Times New Roman;Times;serif" w:hAnsi="Times New Roman;Times;serif"/>
          <w:i/>
          <w:sz w:val="16"/>
        </w:rPr>
      </w:pPr>
      <w:r>
        <w:rPr>
          <w:rFonts w:ascii="Times New Roman;Times;serif" w:hAnsi="Times New Roman;Times;serif"/>
          <w:i/>
          <w:sz w:val="16"/>
        </w:rPr>
        <w:t>(in thousands, except share data)</w:t>
      </w:r>
    </w:p>
    <w:p>
      <w:pPr>
        <w:pStyle w:val="Normal"/>
        <w:bidi w:val="0"/>
        <w:spacing w:before="0" w:after="0"/>
        <w:jc w:val="left"/>
        <w:rPr>
          <w:sz w:val="4"/>
          <w:szCs w:val="4"/>
        </w:rPr>
      </w:pPr>
      <w:r>
        <w:rPr>
          <w:sz w:val="4"/>
          <w:szCs w:val="4"/>
        </w:rPr>
      </w:r>
      <w:bookmarkStart w:id="658" w:name="Tc_81eWKq2NEUC9_KG7uVjnQg_34_21"/>
      <w:bookmarkStart w:id="659" w:name="Tc_canJZD4sqkCPkm0vi3ZYnQ_34_18"/>
      <w:bookmarkStart w:id="660" w:name="Tc_UV2C8eD05UaQRWvIl03P8A_34_15"/>
      <w:bookmarkStart w:id="661" w:name="Tc_sv2s4-YnPkOrk4wEyBKNYw_34_12"/>
      <w:bookmarkStart w:id="662" w:name="Tc_sOeJm6YzikmK7MmJEZIJ6g_34_9"/>
      <w:bookmarkStart w:id="663" w:name="Tc_Nxljzso6C0S-f_fy4AMb5Q_34_4"/>
      <w:bookmarkStart w:id="664" w:name="Tc_4RYuaj4PDEiWXGIx6E5sHg_34_0"/>
      <w:bookmarkStart w:id="665" w:name="Tc_9VE8JFxuhE2yaQfAII63MA_33_19"/>
      <w:bookmarkStart w:id="666" w:name="Tc_ljDRX49nwUqa7d11R96DjQ_33_13"/>
      <w:bookmarkStart w:id="667" w:name="Tc_rv4RlW0DZUK9mAT39yEt6g_33_10"/>
      <w:bookmarkStart w:id="668" w:name="Tc_BE68gxH7DkWZhOb3H0RQNg_33_7"/>
      <w:bookmarkStart w:id="669" w:name="Tc_MZ9pdbZMZki6GiJJ9vFFNw_33_5"/>
      <w:bookmarkStart w:id="670" w:name="Tc_ManbBNMtu0aTfvurQprrFw_33_2"/>
      <w:bookmarkStart w:id="671" w:name="Tc_Th1VnScAIkyo0R-ZmWXcvA_33_0"/>
      <w:bookmarkStart w:id="672" w:name="Tc_qkD3n7qzf0yjHPBf3GET_Q_32_19"/>
      <w:bookmarkStart w:id="673" w:name="Tc_W90tc8JF2U6i_nIY57wGIw_32_16"/>
      <w:bookmarkStart w:id="674" w:name="Tc_YuvVjHrDo0SR7mbtso-XBA_32_10"/>
      <w:bookmarkStart w:id="675" w:name="Tc_kHZUlq7lxkKNJ0IoXLSCLg_32_7"/>
      <w:bookmarkStart w:id="676" w:name="Tc_zpduernm6U-EAK3oD-bWrw_32_5"/>
      <w:bookmarkStart w:id="677" w:name="Tc_5-EcMpLGNkeBS41rD6lH5w_32_2"/>
      <w:bookmarkStart w:id="678" w:name="Tc_1yz9N4qZ9U-DdNU6ExiIJg_32_0"/>
      <w:bookmarkStart w:id="679" w:name="Tc_Ooc9BFlKZEaCgObPSJnb6w_31_19"/>
      <w:bookmarkStart w:id="680" w:name="Tc_XkWkTzJ_M0KI9gooFzyLrQ_31_16"/>
      <w:bookmarkStart w:id="681" w:name="Tc_W0F8GAabH02uS4mfK0Xd-Q_31_10"/>
      <w:bookmarkStart w:id="682" w:name="Tc_wSKau9k-JEOr8AFOtsNL8A_31_5"/>
      <w:bookmarkStart w:id="683" w:name="Tc_nPeEhF0ZpEeymffO4Fb6nw_31_2"/>
      <w:bookmarkStart w:id="684" w:name="Tc_ulij7BMpCEap9Ytt6tmfUA_31_0"/>
      <w:bookmarkStart w:id="685" w:name="Tc_fsne-5Z8u0uGso4gzaaySA_30_16"/>
      <w:bookmarkStart w:id="686" w:name="Tc_CeHqr3cST0urjyXJvVUsTg_30_13"/>
      <w:bookmarkStart w:id="687" w:name="Tc_lT8c8qwDy0eO_5qxLLYTGQ_30_10"/>
      <w:bookmarkStart w:id="688" w:name="Tc_70qP5jlB30mJf20MLg_61w_30_7"/>
      <w:bookmarkStart w:id="689" w:name="Tc_7gIDLKYRLUWGnPFT7_ObVQ_30_5"/>
      <w:bookmarkStart w:id="690" w:name="Tc_dBmXnEy6rkCgbSC5-d2C5g_30_2"/>
      <w:bookmarkStart w:id="691" w:name="Tc_C1t0gKA9D0CGS-QzC3QL_Q_30_0"/>
      <w:bookmarkStart w:id="692" w:name="Tc_01UlDp6-C0yqKWR3cj5v5A_29_21"/>
      <w:bookmarkStart w:id="693" w:name="Tc_n00Wo9wxvUWs4FeEymBwjg_29_18"/>
      <w:bookmarkStart w:id="694" w:name="Tc_MStrFONWPU-EjNg6_10CrQ_29_15"/>
      <w:bookmarkStart w:id="695" w:name="Tc_u5aE1I3RZEW-K2YlDvwoeg_29_12"/>
      <w:bookmarkStart w:id="696" w:name="Tc_Rqst-vX2u0Knz12BCKWX0Q_29_9"/>
      <w:bookmarkStart w:id="697" w:name="Tc_mycCPAmPzkee1OaqftDyMw_29_4"/>
      <w:bookmarkStart w:id="698" w:name="Tc_qyQA5bT6NUCFNFKnAq9Yvw_29_0"/>
      <w:bookmarkStart w:id="699" w:name="Tc_TP8apReaFE69qxrePy1IpQ_28_21"/>
      <w:bookmarkStart w:id="700" w:name="Tc_4UzJKTeyNUOM-l4OEBw5Fg_28_18"/>
      <w:bookmarkStart w:id="701" w:name="Tc_h_kTMMDn2Uix01Xj8C3htw_28_15"/>
      <w:bookmarkStart w:id="702" w:name="Tc_FZHOqzPwF0OFuiODOx71fA_28_12"/>
      <w:bookmarkStart w:id="703" w:name="Tc_vtzWO5ToLESrjKmgRdnfSQ_28_9"/>
      <w:bookmarkStart w:id="704" w:name="Tc_12vEGh0OGkC5-jxSOxAaFw_28_7"/>
      <w:bookmarkStart w:id="705" w:name="Tc_UH3WQ4AcH0aeTXUYzcEUyw_28_4"/>
      <w:bookmarkStart w:id="706" w:name="Tc_WK2f08_E2UqO6LbPCRBa6w_28_2"/>
      <w:bookmarkStart w:id="707" w:name="Tc_jjGlu170rki3bODcjNbT_Q_27_21"/>
      <w:bookmarkStart w:id="708" w:name="Tc_UVw82UOirEG2m36Ea0mk9A_27_18"/>
      <w:bookmarkStart w:id="709" w:name="Tc_KT-ZJqQSo06jlp8IHl6rww_27_15"/>
      <w:bookmarkStart w:id="710" w:name="Tc_tJ-Ohy4JG0-5E1P3TKRQAw_27_12"/>
      <w:bookmarkStart w:id="711" w:name="Tc_Tu1uhvQQa0OHwEZ1oH1tQQ_27_7"/>
      <w:bookmarkStart w:id="712" w:name="Tc_U1vzUKv84Eq9uosaFzrqlg_27_2"/>
      <w:bookmarkStart w:id="713" w:name="Tc_6-JsmSx9oUSCyzYDvkAkDg_26_21"/>
      <w:bookmarkStart w:id="714" w:name="Tc_4cZfVlwTBkO7r4J-zggTCg_26_18"/>
      <w:bookmarkStart w:id="715" w:name="Tc_UzmlyJh3TEWCXtyxoTrmrw_26_12"/>
      <w:bookmarkStart w:id="716" w:name="Tc_51ZFLLTp7EifmriObXlheQ_25_18"/>
      <w:bookmarkStart w:id="717" w:name="Tc_nElyeUTBj0mz921hXPsAvA_24_2"/>
      <w:bookmarkStart w:id="718" w:name="Tc_mk0t2jLN30e67zQbBpOIjw_21_21"/>
      <w:bookmarkStart w:id="719" w:name="Tc_0XE0HthFjUywxzIsAeP-ew_21_18"/>
      <w:bookmarkStart w:id="720" w:name="Tc_QsBVuEMUTE-e8tf6wI9P8w_21_15"/>
      <w:bookmarkStart w:id="721" w:name="Tc_AqJWW2A9gkeG3k-R-6SUwg_21_12"/>
      <w:bookmarkStart w:id="722" w:name="Tc_4Y_8LMy46UKg8MHHbp6k5Q_21_9"/>
      <w:bookmarkStart w:id="723" w:name="Tc_Hqy-C8K_8U6dFXcjWHBdDw_21_5"/>
      <w:bookmarkStart w:id="724" w:name="Tc_OcuN7ds590ug59krKW3PTg_21_4"/>
      <w:bookmarkStart w:id="725" w:name="Tc_YjrvAAXaO0mrKMir7n_IyA_21_2"/>
      <w:bookmarkStart w:id="726" w:name="Tc_qc9EucnOtE-Nzbweox3ypw_21_0"/>
      <w:bookmarkStart w:id="727" w:name="Tc_0WUwXy4t2UiDMV1FkxHzRQ_20_19"/>
      <w:bookmarkStart w:id="728" w:name="Tc_xAv028Eiuk-OYk7XK6QaDg_20_13"/>
      <w:bookmarkStart w:id="729" w:name="Tc_oUEOgGQ63kyAwgcGaj1cSQ_20_10"/>
      <w:bookmarkStart w:id="730" w:name="Tc_m_4wvwkc8UCCgpBZcfz4jQ_20_7"/>
      <w:bookmarkStart w:id="731" w:name="Tc_solH-FmqlUC-xVZThJNGqg_20_5"/>
      <w:bookmarkStart w:id="732" w:name="Tc_-pVW1r831E2D0LQytglZ_A_20_2"/>
      <w:bookmarkStart w:id="733" w:name="Tc_qyg7k9GbBUikPFM3k326rQ_20_0"/>
      <w:bookmarkStart w:id="734" w:name="Tc_wdvf8f6ib0ehPK7Ihj53vw_19_22"/>
      <w:bookmarkStart w:id="735" w:name="Tc_EdA4CKiAwk2L1xc7iPJKIw_19_19"/>
      <w:bookmarkStart w:id="736" w:name="Tc_GGsn8GJ3lEGi4g0OyW1LFw_19_16"/>
      <w:bookmarkStart w:id="737" w:name="Tc_iNJ77Vxoc0GWuya50skrOA_19_13"/>
      <w:bookmarkStart w:id="738" w:name="Tc_nKC45NSsykafdFqktPnquA_19_10"/>
      <w:bookmarkStart w:id="739" w:name="Tc_WpArKA1ba0WYI57_nJTr-w_19_5"/>
      <w:bookmarkStart w:id="740" w:name="Tc_tUCFXwt_sEaVfno1jiLtEg_19_2"/>
      <w:bookmarkStart w:id="741" w:name="Tc_y6jMxZKtLUGAz68_D-rMuA_19_0"/>
      <w:bookmarkStart w:id="742" w:name="Tc_9Et3F4Snt0Gmi0If-cwI0w_18_16"/>
      <w:bookmarkStart w:id="743" w:name="Tc_Dc-Zr8Hjg0u_RdM2ADJYIA_18_13"/>
      <w:bookmarkStart w:id="744" w:name="Tc_nIRmMrZelkiyyLauiVHFFA_18_10"/>
      <w:bookmarkStart w:id="745" w:name="Tc_FzMhyDKS4EWSUTEjCIfCtA_18_7"/>
      <w:bookmarkStart w:id="746" w:name="Tc_axbefTEIoEOqnKisjILUvw_18_5"/>
      <w:bookmarkStart w:id="747" w:name="Tc_yihK5gNNLkqMGWFkAthABQ_18_2"/>
      <w:bookmarkStart w:id="748" w:name="Tc_h6hms9E8b0K4AikJuUvNSw_18_0"/>
      <w:bookmarkStart w:id="749" w:name="Tc_lA96lYftlEiBcgyw2fD3fg_17_21"/>
      <w:bookmarkStart w:id="750" w:name="Tc_nzqe774YlUKi3mLXVGJ6Rg_17_19"/>
      <w:bookmarkStart w:id="751" w:name="Tc_Ud68r69EF0a7C5W7PqSNGw_17_18"/>
      <w:bookmarkStart w:id="752" w:name="Tc_fLMgiiLWFEK8boUyF5JFTA_17_15"/>
      <w:bookmarkStart w:id="753" w:name="Tc_k31_4thA2EqhUb8jg_s9FQ_17_12"/>
      <w:bookmarkStart w:id="754" w:name="Tc_SybnT4YSsUe1idxvbEhLYw_17_9"/>
      <w:bookmarkStart w:id="755" w:name="Tc_A7ti0O3EiECXAYGkGaUDpQ_17_5"/>
      <w:bookmarkStart w:id="756" w:name="Tc_cljUghFa4kq9szxa-bqdJw_17_4"/>
      <w:bookmarkStart w:id="757" w:name="Tc_lNljZqCfz0CDQGbTvB5K1g_17_2"/>
      <w:bookmarkStart w:id="758" w:name="Tc_AyvXPhdrZkyyRos3zBm8kA_17_0"/>
      <w:bookmarkStart w:id="759" w:name="Tc_PcJ_3givNEa--xamphzvuQ_14_21"/>
      <w:bookmarkStart w:id="760" w:name="Tc_ghtSbHAgIUupxHX4f5Z_zw_14_18"/>
      <w:bookmarkStart w:id="761" w:name="Tc_eI-I7F29_0Ohj9jH_MEYnw_14_15"/>
      <w:bookmarkStart w:id="762" w:name="Tc_2FBxvVrWa0iKwx8EfNoB7A_14_12"/>
      <w:bookmarkStart w:id="763" w:name="Tc_mI84R4Bmb0-7OI4cs6R51w_14_9"/>
      <w:bookmarkStart w:id="764" w:name="Tc_8RUuwNQwZUir5GRgoQUvIg_14_4"/>
      <w:bookmarkStart w:id="765" w:name="Tc_gwY7xOMo902j4PdonfeqmA_14_0"/>
      <w:bookmarkStart w:id="766" w:name="Tc_gOBS2qKgnESate1k3xxI_g_13_19"/>
      <w:bookmarkStart w:id="767" w:name="Tc_tmiw3cGLkUG2wLls77oEAA_13_13"/>
      <w:bookmarkStart w:id="768" w:name="Tc_g_A6NsxTwEGr0WEKNcBVfQ_13_10"/>
      <w:bookmarkStart w:id="769" w:name="Tc_7o4wAJPuqEW_543lWZAdzA_13_7"/>
      <w:bookmarkStart w:id="770" w:name="Tc_5JaqZHh_kUyim9CsvwERug_13_5"/>
      <w:bookmarkStart w:id="771" w:name="Tc_VUvy3rvdGUS-95FXAL3c7w_13_2"/>
      <w:bookmarkStart w:id="772" w:name="Tc_YSOmC1_SmEy9IPPdIWJP-g_13_0"/>
      <w:bookmarkStart w:id="773" w:name="Tc_G9LjiTVyikaQqy1EoFU1hQ_12_19"/>
      <w:bookmarkStart w:id="774" w:name="Tc_FpThsiIjqUqbdcqHhKmrAA_12_16"/>
      <w:bookmarkStart w:id="775" w:name="Tc_YeZVKkDbCkyBJEn6NNlc_A_12_10"/>
      <w:bookmarkStart w:id="776" w:name="Tc_04vGp-h640OzfMWqFZvZhA_12_7"/>
      <w:bookmarkStart w:id="777" w:name="Tc_dpJt2bCIJ0Ku8Otz1lKTaQ_12_5"/>
      <w:bookmarkStart w:id="778" w:name="Tc_NdGBztfOJky_AYILngkr_g_12_2"/>
      <w:bookmarkStart w:id="779" w:name="Tc_qjFvP68KvEWKmbHVkq9aWQ_12_0"/>
      <w:bookmarkStart w:id="780" w:name="Tc_97muoH3ek0mm45yv0a8lgg_11_19"/>
      <w:bookmarkStart w:id="781" w:name="Tc_lvW2TQClVkG96awVPKZ6Fw_11_16"/>
      <w:bookmarkStart w:id="782" w:name="Tc_ALJ1FwznV0GW1BXQ1DEoBA_11_10"/>
      <w:bookmarkStart w:id="783" w:name="Tc_-mkaKTDVTkSgt0Y5jHVvYQ_11_5"/>
      <w:bookmarkStart w:id="784" w:name="Tc_XGFOr7ySD0mdc0H3tjL4iw_11_2"/>
      <w:bookmarkStart w:id="785" w:name="Tc_kv-iApSudU6-4nzntdKFpA_11_0"/>
      <w:bookmarkStart w:id="786" w:name="Tc_YDFaJ_zbfkGDTwP9M2DmPw_10_19"/>
      <w:bookmarkStart w:id="787" w:name="Tc_b1DkwWygmUChZbVzgMomTw_10_16"/>
      <w:bookmarkStart w:id="788" w:name="Tc_MBaEXruLek2dggP435Rqgw_10_10"/>
      <w:bookmarkStart w:id="789" w:name="Tc_M61ixHibP0abCKCXQrVTIw_10_7"/>
      <w:bookmarkStart w:id="790" w:name="Tc_WOeU55AytECER9qa-Ef0vA_10_0"/>
      <w:bookmarkStart w:id="791" w:name="Tc_MFcsIJuhw0SwGBKP4AJAfw_9_16"/>
      <w:bookmarkStart w:id="792" w:name="Tc_IwC8hAWctUCok34rx4XQGQ_9_13"/>
      <w:bookmarkStart w:id="793" w:name="Tc_RenXxGX8a0qMySMRZUx4tA_9_10"/>
      <w:bookmarkStart w:id="794" w:name="Tc_IY4JP6a7vkOzKuXhOJUwOA_9_7"/>
      <w:bookmarkStart w:id="795" w:name="Tc_c8D74bn6wEaGCpPf6GsXuQ_9_5"/>
      <w:bookmarkStart w:id="796" w:name="Tc_knyBH2YHikKh2bkRPyeo9w_9_2"/>
      <w:bookmarkStart w:id="797" w:name="Tc_m8qUioaHN0mbjsrij4pUFw_9_0"/>
      <w:bookmarkStart w:id="798" w:name="Tc_bh5IeGkyokCJMjl88rkjKg_8_21"/>
      <w:bookmarkStart w:id="799" w:name="Tc_Ad8mw3oBbUONrk2uMCG1_g_8_18"/>
      <w:bookmarkStart w:id="800" w:name="Tc_pUuwRgCXr0WPOGCaGw9K6Q_8_15"/>
      <w:bookmarkStart w:id="801" w:name="Tc_8ZfqejXqP0C_dMTXBuj0sg_8_12"/>
      <w:bookmarkStart w:id="802" w:name="Tc_NjSndfcdt066Agi3K1HqkA_8_9"/>
      <w:bookmarkStart w:id="803" w:name="Tc_VuKQzDOTvUqci3G2RFq00w_8_4"/>
      <w:bookmarkStart w:id="804" w:name="Tc_GBTnZhVCrk6cYJdF9Orr2g_8_0"/>
      <w:bookmarkStart w:id="805" w:name="Tc_Aj6JXuq74kG3Y1rUZNCEfg_7_21"/>
      <w:bookmarkStart w:id="806" w:name="Tc_xiNyiZ1GWE2fr_kiS2hd6w_7_18"/>
      <w:bookmarkStart w:id="807" w:name="Tc_qHdAcZcF9kOLMaoe_ajg5g_7_15"/>
      <w:bookmarkStart w:id="808" w:name="Tc_Rf-1OjUzgE6vwyGcyPTcrw_7_12"/>
      <w:bookmarkStart w:id="809" w:name="Tc_D-Ih6CNmGkyC1AOUZ1MYSA_7_9"/>
      <w:bookmarkStart w:id="810" w:name="Tc_Efj_awn20kCp9wLUp0lVtQ_7_7"/>
      <w:bookmarkStart w:id="811" w:name="Tc_KIHyQothSEGjwgg-umTDEQ_7_4"/>
      <w:bookmarkStart w:id="812" w:name="Tc_1vuLVRVPCkmKG8KRrn1oBw_7_2"/>
      <w:bookmarkStart w:id="813" w:name="Tc_lrju7QVMeEymftfW4awhPw_6_21"/>
      <w:bookmarkStart w:id="814" w:name="Tc_Jxc_ZlphS0WYn8kgc408KA_6_18"/>
      <w:bookmarkStart w:id="815" w:name="Tc_NknblBGZ1Eq3PKE_rmSVqQ_6_15"/>
      <w:bookmarkStart w:id="816" w:name="Tc_WTncviSTi0a94XIZuttXiw_6_12"/>
      <w:bookmarkStart w:id="817" w:name="Tc_jyjHgkW-O0ujfnwl_KLXVg_6_7"/>
      <w:bookmarkStart w:id="818" w:name="Tc_1vyqUlHHgEefrLMRcevB1g_6_2"/>
      <w:bookmarkStart w:id="819" w:name="Tc_nGfEdzFY60yq8BFgSH1ltA_5_21"/>
      <w:bookmarkStart w:id="820" w:name="Tc_GQWkf2AnqEStjib27T1V2Q_5_18"/>
      <w:bookmarkStart w:id="821" w:name="Tc_Lr-YoxGz7EammW6xVxicgQ_5_12"/>
      <w:bookmarkStart w:id="822" w:name="Tc_6vQq-str4UudJRMQaa40WQ_4_18"/>
      <w:bookmarkStart w:id="823" w:name="Tc_wW4lWwMMKk6d0DnhOrV6aw_3_2"/>
      <w:bookmarkStart w:id="824" w:name="_4f64c803_abf0_46bc_8980_07561bc91387"/>
      <w:bookmarkStart w:id="825" w:name="Tc_81eWKq2NEUC9_KG7uVjnQg_34_21"/>
      <w:bookmarkStart w:id="826" w:name="Tc_canJZD4sqkCPkm0vi3ZYnQ_34_18"/>
      <w:bookmarkStart w:id="827" w:name="Tc_UV2C8eD05UaQRWvIl03P8A_34_15"/>
      <w:bookmarkStart w:id="828" w:name="Tc_sv2s4-YnPkOrk4wEyBKNYw_34_12"/>
      <w:bookmarkStart w:id="829" w:name="Tc_sOeJm6YzikmK7MmJEZIJ6g_34_9"/>
      <w:bookmarkStart w:id="830" w:name="Tc_Nxljzso6C0S-f_fy4AMb5Q_34_4"/>
      <w:bookmarkStart w:id="831" w:name="Tc_4RYuaj4PDEiWXGIx6E5sHg_34_0"/>
      <w:bookmarkStart w:id="832" w:name="Tc_9VE8JFxuhE2yaQfAII63MA_33_19"/>
      <w:bookmarkStart w:id="833" w:name="Tc_ljDRX49nwUqa7d11R96DjQ_33_13"/>
      <w:bookmarkStart w:id="834" w:name="Tc_rv4RlW0DZUK9mAT39yEt6g_33_10"/>
      <w:bookmarkStart w:id="835" w:name="Tc_BE68gxH7DkWZhOb3H0RQNg_33_7"/>
      <w:bookmarkStart w:id="836" w:name="Tc_MZ9pdbZMZki6GiJJ9vFFNw_33_5"/>
      <w:bookmarkStart w:id="837" w:name="Tc_ManbBNMtu0aTfvurQprrFw_33_2"/>
      <w:bookmarkStart w:id="838" w:name="Tc_Th1VnScAIkyo0R-ZmWXcvA_33_0"/>
      <w:bookmarkStart w:id="839" w:name="Tc_qkD3n7qzf0yjHPBf3GET_Q_32_19"/>
      <w:bookmarkStart w:id="840" w:name="Tc_W90tc8JF2U6i_nIY57wGIw_32_16"/>
      <w:bookmarkStart w:id="841" w:name="Tc_YuvVjHrDo0SR7mbtso-XBA_32_10"/>
      <w:bookmarkStart w:id="842" w:name="Tc_kHZUlq7lxkKNJ0IoXLSCLg_32_7"/>
      <w:bookmarkStart w:id="843" w:name="Tc_zpduernm6U-EAK3oD-bWrw_32_5"/>
      <w:bookmarkStart w:id="844" w:name="Tc_5-EcMpLGNkeBS41rD6lH5w_32_2"/>
      <w:bookmarkStart w:id="845" w:name="Tc_1yz9N4qZ9U-DdNU6ExiIJg_32_0"/>
      <w:bookmarkStart w:id="846" w:name="Tc_Ooc9BFlKZEaCgObPSJnb6w_31_19"/>
      <w:bookmarkStart w:id="847" w:name="Tc_XkWkTzJ_M0KI9gooFzyLrQ_31_16"/>
      <w:bookmarkStart w:id="848" w:name="Tc_W0F8GAabH02uS4mfK0Xd-Q_31_10"/>
      <w:bookmarkStart w:id="849" w:name="Tc_wSKau9k-JEOr8AFOtsNL8A_31_5"/>
      <w:bookmarkStart w:id="850" w:name="Tc_nPeEhF0ZpEeymffO4Fb6nw_31_2"/>
      <w:bookmarkStart w:id="851" w:name="Tc_ulij7BMpCEap9Ytt6tmfUA_31_0"/>
      <w:bookmarkStart w:id="852" w:name="Tc_fsne-5Z8u0uGso4gzaaySA_30_16"/>
      <w:bookmarkStart w:id="853" w:name="Tc_CeHqr3cST0urjyXJvVUsTg_30_13"/>
      <w:bookmarkStart w:id="854" w:name="Tc_lT8c8qwDy0eO_5qxLLYTGQ_30_10"/>
      <w:bookmarkStart w:id="855" w:name="Tc_70qP5jlB30mJf20MLg_61w_30_7"/>
      <w:bookmarkStart w:id="856" w:name="Tc_7gIDLKYRLUWGnPFT7_ObVQ_30_5"/>
      <w:bookmarkStart w:id="857" w:name="Tc_dBmXnEy6rkCgbSC5-d2C5g_30_2"/>
      <w:bookmarkStart w:id="858" w:name="Tc_C1t0gKA9D0CGS-QzC3QL_Q_30_0"/>
      <w:bookmarkStart w:id="859" w:name="Tc_01UlDp6-C0yqKWR3cj5v5A_29_21"/>
      <w:bookmarkStart w:id="860" w:name="Tc_n00Wo9wxvUWs4FeEymBwjg_29_18"/>
      <w:bookmarkStart w:id="861" w:name="Tc_MStrFONWPU-EjNg6_10CrQ_29_15"/>
      <w:bookmarkStart w:id="862" w:name="Tc_u5aE1I3RZEW-K2YlDvwoeg_29_12"/>
      <w:bookmarkStart w:id="863" w:name="Tc_Rqst-vX2u0Knz12BCKWX0Q_29_9"/>
      <w:bookmarkStart w:id="864" w:name="Tc_mycCPAmPzkee1OaqftDyMw_29_4"/>
      <w:bookmarkStart w:id="865" w:name="Tc_qyQA5bT6NUCFNFKnAq9Yvw_29_0"/>
      <w:bookmarkStart w:id="866" w:name="Tc_TP8apReaFE69qxrePy1IpQ_28_21"/>
      <w:bookmarkStart w:id="867" w:name="Tc_4UzJKTeyNUOM-l4OEBw5Fg_28_18"/>
      <w:bookmarkStart w:id="868" w:name="Tc_h_kTMMDn2Uix01Xj8C3htw_28_15"/>
      <w:bookmarkStart w:id="869" w:name="Tc_FZHOqzPwF0OFuiODOx71fA_28_12"/>
      <w:bookmarkStart w:id="870" w:name="Tc_vtzWO5ToLESrjKmgRdnfSQ_28_9"/>
      <w:bookmarkStart w:id="871" w:name="Tc_12vEGh0OGkC5-jxSOxAaFw_28_7"/>
      <w:bookmarkStart w:id="872" w:name="Tc_UH3WQ4AcH0aeTXUYzcEUyw_28_4"/>
      <w:bookmarkStart w:id="873" w:name="Tc_WK2f08_E2UqO6LbPCRBa6w_28_2"/>
      <w:bookmarkStart w:id="874" w:name="Tc_jjGlu170rki3bODcjNbT_Q_27_21"/>
      <w:bookmarkStart w:id="875" w:name="Tc_UVw82UOirEG2m36Ea0mk9A_27_18"/>
      <w:bookmarkStart w:id="876" w:name="Tc_KT-ZJqQSo06jlp8IHl6rww_27_15"/>
      <w:bookmarkStart w:id="877" w:name="Tc_tJ-Ohy4JG0-5E1P3TKRQAw_27_12"/>
      <w:bookmarkStart w:id="878" w:name="Tc_Tu1uhvQQa0OHwEZ1oH1tQQ_27_7"/>
      <w:bookmarkStart w:id="879" w:name="Tc_U1vzUKv84Eq9uosaFzrqlg_27_2"/>
      <w:bookmarkStart w:id="880" w:name="Tc_6-JsmSx9oUSCyzYDvkAkDg_26_21"/>
      <w:bookmarkStart w:id="881" w:name="Tc_4cZfVlwTBkO7r4J-zggTCg_26_18"/>
      <w:bookmarkStart w:id="882" w:name="Tc_UzmlyJh3TEWCXtyxoTrmrw_26_12"/>
      <w:bookmarkStart w:id="883" w:name="Tc_51ZFLLTp7EifmriObXlheQ_25_18"/>
      <w:bookmarkStart w:id="884" w:name="Tc_nElyeUTBj0mz921hXPsAvA_24_2"/>
      <w:bookmarkStart w:id="885" w:name="Tc_mk0t2jLN30e67zQbBpOIjw_21_21"/>
      <w:bookmarkStart w:id="886" w:name="Tc_0XE0HthFjUywxzIsAeP-ew_21_18"/>
      <w:bookmarkStart w:id="887" w:name="Tc_QsBVuEMUTE-e8tf6wI9P8w_21_15"/>
      <w:bookmarkStart w:id="888" w:name="Tc_AqJWW2A9gkeG3k-R-6SUwg_21_12"/>
      <w:bookmarkStart w:id="889" w:name="Tc_4Y_8LMy46UKg8MHHbp6k5Q_21_9"/>
      <w:bookmarkStart w:id="890" w:name="Tc_Hqy-C8K_8U6dFXcjWHBdDw_21_5"/>
      <w:bookmarkStart w:id="891" w:name="Tc_OcuN7ds590ug59krKW3PTg_21_4"/>
      <w:bookmarkStart w:id="892" w:name="Tc_YjrvAAXaO0mrKMir7n_IyA_21_2"/>
      <w:bookmarkStart w:id="893" w:name="Tc_qc9EucnOtE-Nzbweox3ypw_21_0"/>
      <w:bookmarkStart w:id="894" w:name="Tc_0WUwXy4t2UiDMV1FkxHzRQ_20_19"/>
      <w:bookmarkStart w:id="895" w:name="Tc_xAv028Eiuk-OYk7XK6QaDg_20_13"/>
      <w:bookmarkStart w:id="896" w:name="Tc_oUEOgGQ63kyAwgcGaj1cSQ_20_10"/>
      <w:bookmarkStart w:id="897" w:name="Tc_m_4wvwkc8UCCgpBZcfz4jQ_20_7"/>
      <w:bookmarkStart w:id="898" w:name="Tc_solH-FmqlUC-xVZThJNGqg_20_5"/>
      <w:bookmarkStart w:id="899" w:name="Tc_-pVW1r831E2D0LQytglZ_A_20_2"/>
      <w:bookmarkStart w:id="900" w:name="Tc_qyg7k9GbBUikPFM3k326rQ_20_0"/>
      <w:bookmarkStart w:id="901" w:name="Tc_wdvf8f6ib0ehPK7Ihj53vw_19_22"/>
      <w:bookmarkStart w:id="902" w:name="Tc_EdA4CKiAwk2L1xc7iPJKIw_19_19"/>
      <w:bookmarkStart w:id="903" w:name="Tc_GGsn8GJ3lEGi4g0OyW1LFw_19_16"/>
      <w:bookmarkStart w:id="904" w:name="Tc_iNJ77Vxoc0GWuya50skrOA_19_13"/>
      <w:bookmarkStart w:id="905" w:name="Tc_nKC45NSsykafdFqktPnquA_19_10"/>
      <w:bookmarkStart w:id="906" w:name="Tc_WpArKA1ba0WYI57_nJTr-w_19_5"/>
      <w:bookmarkStart w:id="907" w:name="Tc_tUCFXwt_sEaVfno1jiLtEg_19_2"/>
      <w:bookmarkStart w:id="908" w:name="Tc_y6jMxZKtLUGAz68_D-rMuA_19_0"/>
      <w:bookmarkStart w:id="909" w:name="Tc_9Et3F4Snt0Gmi0If-cwI0w_18_16"/>
      <w:bookmarkStart w:id="910" w:name="Tc_Dc-Zr8Hjg0u_RdM2ADJYIA_18_13"/>
      <w:bookmarkStart w:id="911" w:name="Tc_nIRmMrZelkiyyLauiVHFFA_18_10"/>
      <w:bookmarkStart w:id="912" w:name="Tc_FzMhyDKS4EWSUTEjCIfCtA_18_7"/>
      <w:bookmarkStart w:id="913" w:name="Tc_axbefTEIoEOqnKisjILUvw_18_5"/>
      <w:bookmarkStart w:id="914" w:name="Tc_yihK5gNNLkqMGWFkAthABQ_18_2"/>
      <w:bookmarkStart w:id="915" w:name="Tc_h6hms9E8b0K4AikJuUvNSw_18_0"/>
      <w:bookmarkStart w:id="916" w:name="Tc_lA96lYftlEiBcgyw2fD3fg_17_21"/>
      <w:bookmarkStart w:id="917" w:name="Tc_nzqe774YlUKi3mLXVGJ6Rg_17_19"/>
      <w:bookmarkStart w:id="918" w:name="Tc_Ud68r69EF0a7C5W7PqSNGw_17_18"/>
      <w:bookmarkStart w:id="919" w:name="Tc_fLMgiiLWFEK8boUyF5JFTA_17_15"/>
      <w:bookmarkStart w:id="920" w:name="Tc_k31_4thA2EqhUb8jg_s9FQ_17_12"/>
      <w:bookmarkStart w:id="921" w:name="Tc_SybnT4YSsUe1idxvbEhLYw_17_9"/>
      <w:bookmarkStart w:id="922" w:name="Tc_A7ti0O3EiECXAYGkGaUDpQ_17_5"/>
      <w:bookmarkStart w:id="923" w:name="Tc_cljUghFa4kq9szxa-bqdJw_17_4"/>
      <w:bookmarkStart w:id="924" w:name="Tc_lNljZqCfz0CDQGbTvB5K1g_17_2"/>
      <w:bookmarkStart w:id="925" w:name="Tc_AyvXPhdrZkyyRos3zBm8kA_17_0"/>
      <w:bookmarkStart w:id="926" w:name="Tc_PcJ_3givNEa--xamphzvuQ_14_21"/>
      <w:bookmarkStart w:id="927" w:name="Tc_ghtSbHAgIUupxHX4f5Z_zw_14_18"/>
      <w:bookmarkStart w:id="928" w:name="Tc_eI-I7F29_0Ohj9jH_MEYnw_14_15"/>
      <w:bookmarkStart w:id="929" w:name="Tc_2FBxvVrWa0iKwx8EfNoB7A_14_12"/>
      <w:bookmarkStart w:id="930" w:name="Tc_mI84R4Bmb0-7OI4cs6R51w_14_9"/>
      <w:bookmarkStart w:id="931" w:name="Tc_8RUuwNQwZUir5GRgoQUvIg_14_4"/>
      <w:bookmarkStart w:id="932" w:name="Tc_gwY7xOMo902j4PdonfeqmA_14_0"/>
      <w:bookmarkStart w:id="933" w:name="Tc_gOBS2qKgnESate1k3xxI_g_13_19"/>
      <w:bookmarkStart w:id="934" w:name="Tc_tmiw3cGLkUG2wLls77oEAA_13_13"/>
      <w:bookmarkStart w:id="935" w:name="Tc_g_A6NsxTwEGr0WEKNcBVfQ_13_10"/>
      <w:bookmarkStart w:id="936" w:name="Tc_7o4wAJPuqEW_543lWZAdzA_13_7"/>
      <w:bookmarkStart w:id="937" w:name="Tc_5JaqZHh_kUyim9CsvwERug_13_5"/>
      <w:bookmarkStart w:id="938" w:name="Tc_VUvy3rvdGUS-95FXAL3c7w_13_2"/>
      <w:bookmarkStart w:id="939" w:name="Tc_YSOmC1_SmEy9IPPdIWJP-g_13_0"/>
      <w:bookmarkStart w:id="940" w:name="Tc_G9LjiTVyikaQqy1EoFU1hQ_12_19"/>
      <w:bookmarkStart w:id="941" w:name="Tc_FpThsiIjqUqbdcqHhKmrAA_12_16"/>
      <w:bookmarkStart w:id="942" w:name="Tc_YeZVKkDbCkyBJEn6NNlc_A_12_10"/>
      <w:bookmarkStart w:id="943" w:name="Tc_04vGp-h640OzfMWqFZvZhA_12_7"/>
      <w:bookmarkStart w:id="944" w:name="Tc_dpJt2bCIJ0Ku8Otz1lKTaQ_12_5"/>
      <w:bookmarkStart w:id="945" w:name="Tc_NdGBztfOJky_AYILngkr_g_12_2"/>
      <w:bookmarkStart w:id="946" w:name="Tc_qjFvP68KvEWKmbHVkq9aWQ_12_0"/>
      <w:bookmarkStart w:id="947" w:name="Tc_97muoH3ek0mm45yv0a8lgg_11_19"/>
      <w:bookmarkStart w:id="948" w:name="Tc_lvW2TQClVkG96awVPKZ6Fw_11_16"/>
      <w:bookmarkStart w:id="949" w:name="Tc_ALJ1FwznV0GW1BXQ1DEoBA_11_10"/>
      <w:bookmarkStart w:id="950" w:name="Tc_-mkaKTDVTkSgt0Y5jHVvYQ_11_5"/>
      <w:bookmarkStart w:id="951" w:name="Tc_XGFOr7ySD0mdc0H3tjL4iw_11_2"/>
      <w:bookmarkStart w:id="952" w:name="Tc_kv-iApSudU6-4nzntdKFpA_11_0"/>
      <w:bookmarkStart w:id="953" w:name="Tc_YDFaJ_zbfkGDTwP9M2DmPw_10_19"/>
      <w:bookmarkStart w:id="954" w:name="Tc_b1DkwWygmUChZbVzgMomTw_10_16"/>
      <w:bookmarkStart w:id="955" w:name="Tc_MBaEXruLek2dggP435Rqgw_10_10"/>
      <w:bookmarkStart w:id="956" w:name="Tc_M61ixHibP0abCKCXQrVTIw_10_7"/>
      <w:bookmarkStart w:id="957" w:name="Tc_WOeU55AytECER9qa-Ef0vA_10_0"/>
      <w:bookmarkStart w:id="958" w:name="Tc_MFcsIJuhw0SwGBKP4AJAfw_9_16"/>
      <w:bookmarkStart w:id="959" w:name="Tc_IwC8hAWctUCok34rx4XQGQ_9_13"/>
      <w:bookmarkStart w:id="960" w:name="Tc_RenXxGX8a0qMySMRZUx4tA_9_10"/>
      <w:bookmarkStart w:id="961" w:name="Tc_IY4JP6a7vkOzKuXhOJUwOA_9_7"/>
      <w:bookmarkStart w:id="962" w:name="Tc_c8D74bn6wEaGCpPf6GsXuQ_9_5"/>
      <w:bookmarkStart w:id="963" w:name="Tc_knyBH2YHikKh2bkRPyeo9w_9_2"/>
      <w:bookmarkStart w:id="964" w:name="Tc_m8qUioaHN0mbjsrij4pUFw_9_0"/>
      <w:bookmarkStart w:id="965" w:name="Tc_bh5IeGkyokCJMjl88rkjKg_8_21"/>
      <w:bookmarkStart w:id="966" w:name="Tc_Ad8mw3oBbUONrk2uMCG1_g_8_18"/>
      <w:bookmarkStart w:id="967" w:name="Tc_pUuwRgCXr0WPOGCaGw9K6Q_8_15"/>
      <w:bookmarkStart w:id="968" w:name="Tc_8ZfqejXqP0C_dMTXBuj0sg_8_12"/>
      <w:bookmarkStart w:id="969" w:name="Tc_NjSndfcdt066Agi3K1HqkA_8_9"/>
      <w:bookmarkStart w:id="970" w:name="Tc_VuKQzDOTvUqci3G2RFq00w_8_4"/>
      <w:bookmarkStart w:id="971" w:name="Tc_GBTnZhVCrk6cYJdF9Orr2g_8_0"/>
      <w:bookmarkStart w:id="972" w:name="Tc_Aj6JXuq74kG3Y1rUZNCEfg_7_21"/>
      <w:bookmarkStart w:id="973" w:name="Tc_xiNyiZ1GWE2fr_kiS2hd6w_7_18"/>
      <w:bookmarkStart w:id="974" w:name="Tc_qHdAcZcF9kOLMaoe_ajg5g_7_15"/>
      <w:bookmarkStart w:id="975" w:name="Tc_Rf-1OjUzgE6vwyGcyPTcrw_7_12"/>
      <w:bookmarkStart w:id="976" w:name="Tc_D-Ih6CNmGkyC1AOUZ1MYSA_7_9"/>
      <w:bookmarkStart w:id="977" w:name="Tc_Efj_awn20kCp9wLUp0lVtQ_7_7"/>
      <w:bookmarkStart w:id="978" w:name="Tc_KIHyQothSEGjwgg-umTDEQ_7_4"/>
      <w:bookmarkStart w:id="979" w:name="Tc_1vuLVRVPCkmKG8KRrn1oBw_7_2"/>
      <w:bookmarkStart w:id="980" w:name="Tc_lrju7QVMeEymftfW4awhPw_6_21"/>
      <w:bookmarkStart w:id="981" w:name="Tc_Jxc_ZlphS0WYn8kgc408KA_6_18"/>
      <w:bookmarkStart w:id="982" w:name="Tc_NknblBGZ1Eq3PKE_rmSVqQ_6_15"/>
      <w:bookmarkStart w:id="983" w:name="Tc_WTncviSTi0a94XIZuttXiw_6_12"/>
      <w:bookmarkStart w:id="984" w:name="Tc_jyjHgkW-O0ujfnwl_KLXVg_6_7"/>
      <w:bookmarkStart w:id="985" w:name="Tc_1vyqUlHHgEefrLMRcevB1g_6_2"/>
      <w:bookmarkStart w:id="986" w:name="Tc_nGfEdzFY60yq8BFgSH1ltA_5_21"/>
      <w:bookmarkStart w:id="987" w:name="Tc_GQWkf2AnqEStjib27T1V2Q_5_18"/>
      <w:bookmarkStart w:id="988" w:name="Tc_Lr-YoxGz7EammW6xVxicgQ_5_12"/>
      <w:bookmarkStart w:id="989" w:name="Tc_6vQq-str4UudJRMQaa40WQ_4_18"/>
      <w:bookmarkStart w:id="990" w:name="Tc_wW4lWwMMKk6d0DnhOrV6aw_3_2"/>
      <w:bookmarkStart w:id="991" w:name="_4f64c803_abf0_46bc_8980_07561bc91387"/>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p>
    <w:tbl>
      <w:tblPr>
        <w:tblW w:w="11318" w:type="dxa"/>
        <w:jc w:val="left"/>
        <w:tblInd w:w="0" w:type="dxa"/>
        <w:tblLayout w:type="fixed"/>
        <w:tblCellMar>
          <w:top w:w="0" w:type="dxa"/>
          <w:left w:w="0" w:type="dxa"/>
          <w:bottom w:w="0" w:type="dxa"/>
          <w:right w:w="0" w:type="dxa"/>
        </w:tblCellMar>
      </w:tblPr>
      <w:tblGrid>
        <w:gridCol w:w="1081"/>
        <w:gridCol w:w="326"/>
        <w:gridCol w:w="826"/>
        <w:gridCol w:w="326"/>
        <w:gridCol w:w="196"/>
        <w:gridCol w:w="601"/>
        <w:gridCol w:w="386"/>
        <w:gridCol w:w="916"/>
        <w:gridCol w:w="326"/>
        <w:gridCol w:w="249"/>
        <w:gridCol w:w="442"/>
        <w:gridCol w:w="386"/>
        <w:gridCol w:w="214"/>
        <w:gridCol w:w="657"/>
        <w:gridCol w:w="326"/>
        <w:gridCol w:w="217"/>
        <w:gridCol w:w="834"/>
        <w:gridCol w:w="326"/>
        <w:gridCol w:w="439"/>
        <w:gridCol w:w="777"/>
        <w:gridCol w:w="386"/>
        <w:gridCol w:w="213"/>
        <w:gridCol w:w="868"/>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86435" cy="175260"/>
                      <wp:effectExtent l="0" t="0" r="0" b="0"/>
                      <wp:wrapNone/>
                      <wp:docPr id="57" name="Frame5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24510" cy="175260"/>
                      <wp:effectExtent l="0" t="0" r="0" b="0"/>
                      <wp:wrapNone/>
                      <wp:docPr id="59" name="Frame5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24460" cy="175260"/>
                      <wp:effectExtent l="0" t="0" r="0" b="0"/>
                      <wp:wrapNone/>
                      <wp:docPr id="61" name="Frame6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81635" cy="175260"/>
                      <wp:effectExtent l="0" t="0" r="0" b="0"/>
                      <wp:wrapNone/>
                      <wp:docPr id="62" name="Frame6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45110" cy="175260"/>
                      <wp:effectExtent l="0" t="0" r="0" b="0"/>
                      <wp:wrapNone/>
                      <wp:docPr id="63" name="Frame6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81660" cy="175260"/>
                      <wp:effectExtent l="0" t="0" r="0" b="0"/>
                      <wp:wrapNone/>
                      <wp:docPr id="64" name="Frame6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58115" cy="175260"/>
                      <wp:effectExtent l="0" t="0" r="0" b="0"/>
                      <wp:wrapNone/>
                      <wp:docPr id="66" name="Frame6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80670" cy="175260"/>
                      <wp:effectExtent l="0" t="0" r="0" b="0"/>
                      <wp:wrapNone/>
                      <wp:docPr id="67" name="Frame67"/>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45110" cy="175260"/>
                      <wp:effectExtent l="0" t="0" r="0" b="0"/>
                      <wp:wrapNone/>
                      <wp:docPr id="68" name="Frame6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5890" cy="175260"/>
                      <wp:effectExtent l="0" t="0" r="0" b="0"/>
                      <wp:wrapNone/>
                      <wp:docPr id="69" name="Frame69"/>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17195" cy="175260"/>
                      <wp:effectExtent l="0" t="0" r="0" b="0"/>
                      <wp:wrapNone/>
                      <wp:docPr id="70" name="Frame70"/>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7795" cy="175260"/>
                      <wp:effectExtent l="0" t="0" r="0" b="0"/>
                      <wp:wrapNone/>
                      <wp:docPr id="72" name="Frame7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29590" cy="175260"/>
                      <wp:effectExtent l="0" t="0" r="0" b="0"/>
                      <wp:wrapNone/>
                      <wp:docPr id="73" name="Frame73"/>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78765" cy="175260"/>
                      <wp:effectExtent l="0" t="0" r="0" b="0"/>
                      <wp:wrapNone/>
                      <wp:docPr id="75" name="Frame75"/>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3395" cy="175260"/>
                      <wp:effectExtent l="0" t="0" r="0" b="0"/>
                      <wp:wrapNone/>
                      <wp:docPr id="76" name="Frame76"/>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45110" cy="175260"/>
                      <wp:effectExtent l="0" t="0" r="0" b="0"/>
                      <wp:wrapNone/>
                      <wp:docPr id="77" name="Frame7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5255" cy="175260"/>
                      <wp:effectExtent l="0" t="0" r="0" b="0"/>
                      <wp:wrapNone/>
                      <wp:docPr id="78" name="Frame7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51180" cy="175260"/>
                      <wp:effectExtent l="0" t="0" r="0" b="0"/>
                      <wp:wrapNone/>
                      <wp:docPr id="79" name="Frame79"/>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1" w:type="dxa"/>
            <w:gridSpan w:val="2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2024</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1933"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 Preferred Stock</w:t>
            </w:r>
          </w:p>
        </w:tc>
        <w:tc>
          <w:tcPr>
            <w:tcW w:w="386" w:type="dxa"/>
            <w:tcBorders/>
            <w:vAlign w:val="center"/>
          </w:tcPr>
          <w:p>
            <w:pPr>
              <w:pStyle w:val="TableContents"/>
              <w:bidi w:val="0"/>
              <w:spacing w:before="0" w:after="1"/>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8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2023 (Predecessor)</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4,939,946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91,469</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779,908</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1,608</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(133,649)</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(132,023)</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Exchange preferred stock for pre-funded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(207,902)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(4,686)</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4,332</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option exercises</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righ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642</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642</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(21,278)</w:t>
            </w:r>
          </w:p>
        </w:tc>
        <w:tc>
          <w:tcPr>
            <w:tcW w:w="326" w:type="dxa"/>
            <w:tcBorders/>
            <w:vAlign w:val="center"/>
          </w:tcPr>
          <w:p>
            <w:pPr>
              <w:pStyle w:val="TableContents"/>
              <w:bidi w:val="0"/>
              <w:spacing w:before="0" w:after="1"/>
              <w:ind w:left="0" w:right="0" w:hanging="0"/>
              <w:jc w:val="left"/>
              <w:rPr/>
            </w:pPr>
            <w:r>
              <w:rPr/>
              <w:t>​</w:t>
            </w:r>
          </w:p>
        </w:tc>
        <w:tc>
          <w:tcPr>
            <w:tcW w:w="4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(21,278)</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July 30, 2024 (Predecessor)</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4,732,044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86,783</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780,213</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6,591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(154,927)</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(148,315)</w:t>
            </w:r>
          </w:p>
        </w:tc>
      </w:tr>
      <w:tr>
        <w:trPr/>
        <w:tc>
          <w:tcPr>
            <w:tcW w:w="108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19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8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91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49"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8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14"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17"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439"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386"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213"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c>
          <w:tcPr>
            <w:tcW w:w="868" w:type="dxa"/>
            <w:tcBorders>
              <w:bottom w:val="single" w:sz="12" w:space="0" w:color="000000"/>
            </w:tcBorders>
            <w:tcMar>
              <w:bottom w:w="28" w:type="dxa"/>
            </w:tcMar>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left"/>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July 31, 2024 (Successor)</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13,387,636</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89,786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(16,823)</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72,964</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Sponsor Earnout</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1,147,500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right"/>
              <w:rPr/>
            </w:pPr>
            <w:r>
              <w:rPr/>
              <w:t>​</w:t>
            </w:r>
          </w:p>
        </w:tc>
        <w:tc>
          <w:tcPr>
            <w:tcW w:w="65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pPr>
            <w:r>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3,606</w:t>
            </w:r>
          </w:p>
        </w:tc>
        <w:tc>
          <w:tcPr>
            <w:tcW w:w="326" w:type="dxa"/>
            <w:tcBorders/>
            <w:vAlign w:val="center"/>
          </w:tcPr>
          <w:p>
            <w:pPr>
              <w:pStyle w:val="TableContents"/>
              <w:bidi w:val="0"/>
              <w:spacing w:before="0" w:after="1"/>
              <w:ind w:left="0" w:right="0" w:hanging="0"/>
              <w:jc w:val="left"/>
              <w:rPr/>
            </w:pPr>
            <w:r>
              <w:rPr/>
              <w:t>​</w:t>
            </w:r>
          </w:p>
        </w:tc>
        <w:tc>
          <w:tcPr>
            <w:tcW w:w="4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3,606</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September 30, 2024 (Successor)</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14,535,136</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89,786</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(13,217)</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76,561</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11" w:type="dxa"/>
            <w:gridSpan w:val="2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2023</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1933" w:type="dxa"/>
            <w:gridSpan w:val="4"/>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 Preferred Stock</w:t>
            </w:r>
          </w:p>
        </w:tc>
        <w:tc>
          <w:tcPr>
            <w:tcW w:w="386" w:type="dxa"/>
            <w:tcBorders/>
            <w:vAlign w:val="center"/>
          </w:tcPr>
          <w:p>
            <w:pPr>
              <w:pStyle w:val="TableContents"/>
              <w:bidi w:val="0"/>
              <w:spacing w:before="0" w:after="1"/>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86"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8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86" w:type="dxa"/>
            <w:tcBorders/>
            <w:vAlign w:val="center"/>
          </w:tcPr>
          <w:p>
            <w:pPr>
              <w:pStyle w:val="TableContents"/>
              <w:bidi w:val="0"/>
              <w:spacing w:before="0" w:after="1"/>
              <w:ind w:left="0" w:right="0" w:hanging="0"/>
              <w:jc w:val="left"/>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8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2022 (Predecessor)</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4,939,946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91,469</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756,160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1,153</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(97,059)</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(95,877)</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 option exercises</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4,412</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righ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777"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39" w:type="dxa"/>
            <w:tcBorders/>
            <w:vAlign w:val="center"/>
          </w:tcPr>
          <w:p>
            <w:pPr>
              <w:pStyle w:val="TableContents"/>
              <w:bidi w:val="0"/>
              <w:spacing w:before="0" w:after="1"/>
              <w:ind w:left="0" w:right="0" w:hanging="0"/>
              <w:jc w:val="left"/>
              <w:rPr/>
            </w:pPr>
            <w:r>
              <w:rPr/>
              <w:t>​</w:t>
            </w:r>
          </w:p>
        </w:tc>
        <w:tc>
          <w:tcPr>
            <w:tcW w:w="777"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(27,969)</w:t>
            </w:r>
          </w:p>
        </w:tc>
        <w:tc>
          <w:tcPr>
            <w:tcW w:w="326" w:type="dxa"/>
            <w:tcBorders/>
            <w:shd w:fill="CCEEFF" w:val="clear"/>
            <w:vAlign w:val="center"/>
          </w:tcPr>
          <w:p>
            <w:pPr>
              <w:pStyle w:val="TableContents"/>
              <w:bidi w:val="0"/>
              <w:spacing w:before="0" w:after="1"/>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(27,969)</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September 30, 2023 (Predecessor)</w:t>
            </w:r>
          </w:p>
        </w:tc>
        <w:tc>
          <w:tcPr>
            <w:tcW w:w="326" w:type="dxa"/>
            <w:tcBorders/>
            <w:vAlign w:val="center"/>
          </w:tcPr>
          <w:p>
            <w:pPr>
              <w:pStyle w:val="TableContents"/>
              <w:bidi w:val="0"/>
              <w:spacing w:before="0" w:after="1"/>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4,939,946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91,469</w:t>
            </w:r>
          </w:p>
        </w:tc>
        <w:tc>
          <w:tcPr>
            <w:tcW w:w="386" w:type="dxa"/>
            <w:tcBorders/>
            <w:vAlign w:val="center"/>
          </w:tcPr>
          <w:p>
            <w:pPr>
              <w:pStyle w:val="TableContents"/>
              <w:bidi w:val="0"/>
              <w:spacing w:before="0" w:after="1"/>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760,572</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8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1,493</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(125,028)</w:t>
            </w:r>
          </w:p>
        </w:tc>
        <w:tc>
          <w:tcPr>
            <w:tcW w:w="326" w:type="dxa"/>
            <w:tcBorders/>
            <w:vAlign w:val="center"/>
          </w:tcPr>
          <w:p>
            <w:pPr>
              <w:pStyle w:val="TableContents"/>
              <w:bidi w:val="0"/>
              <w:spacing w:before="0" w:after="1"/>
              <w:ind w:left="0" w:right="0" w:hanging="0"/>
              <w:jc w:val="left"/>
              <w:rPr/>
            </w:pPr>
            <w:r>
              <w:rPr/>
              <w:t>​</w:t>
            </w:r>
          </w:p>
        </w:tc>
        <w:tc>
          <w:tcPr>
            <w:tcW w:w="4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w:t>
            </w:r>
          </w:p>
        </w:tc>
        <w:tc>
          <w:tcPr>
            <w:tcW w:w="386" w:type="dxa"/>
            <w:tcBorders/>
            <w:vAlign w:val="center"/>
          </w:tcPr>
          <w:p>
            <w:pPr>
              <w:pStyle w:val="TableContents"/>
              <w:bidi w:val="0"/>
              <w:spacing w:before="0" w:after="1"/>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(123,507)</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92" w:name="_54966fa9_1282_4868_bde0_fe4f3d33bc83"/>
      <w:bookmarkEnd w:id="992"/>
      <w:r>
        <w:rPr>
          <w:rFonts w:ascii="Times New Roman;Times;serif" w:hAnsi="Times New Roman;Times;serif"/>
          <w:b/>
          <w:sz w:val="20"/>
        </w:rPr>
        <w:t>Adagio Medical Holdings Inc.</w:t>
      </w:r>
    </w:p>
    <w:p>
      <w:pPr>
        <w:pStyle w:val="TextBody"/>
        <w:bidi w:val="0"/>
        <w:spacing w:before="0" w:after="0"/>
        <w:ind w:left="0" w:right="0" w:hanging="0"/>
        <w:jc w:val="center"/>
        <w:rPr>
          <w:rFonts w:ascii="Times New Roman;Times;serif" w:hAnsi="Times New Roman;Times;serif"/>
          <w:b/>
          <w:sz w:val="20"/>
        </w:rPr>
      </w:pPr>
      <w:bookmarkStart w:id="993" w:name="CFS"/>
      <w:bookmarkEnd w:id="993"/>
      <w:r>
        <w:rPr>
          <w:rFonts w:ascii="Times New Roman;Times;serif" w:hAnsi="Times New Roman;Times;serif"/>
          <w:b/>
          <w:sz w:val="20"/>
        </w:rPr>
        <w:t>Condensed Consolidated Statements of Cash Flows</w:t>
        <w:br/>
      </w:r>
      <w:r>
        <w:rPr>
          <w:rFonts w:ascii="Times New Roman;Times;serif" w:hAnsi="Times New Roman;Times;serif"/>
          <w:b w:val="false"/>
          <w:i/>
          <w:sz w:val="20"/>
        </w:rPr>
        <w:t xml:space="preserve">(in thousands) </w:t>
      </w:r>
    </w:p>
    <w:p>
      <w:pPr>
        <w:pStyle w:val="Normal"/>
        <w:bidi w:val="0"/>
        <w:spacing w:before="0" w:after="0"/>
        <w:jc w:val="left"/>
        <w:rPr>
          <w:sz w:val="4"/>
          <w:szCs w:val="4"/>
        </w:rPr>
      </w:pPr>
      <w:r>
        <w:rPr>
          <w:sz w:val="4"/>
          <w:szCs w:val="4"/>
        </w:rPr>
      </w:r>
      <w:bookmarkStart w:id="994" w:name="Tc_24cRdM5HzUiOSBu7pSXj2A_49_10"/>
      <w:bookmarkStart w:id="995" w:name="Tc_FKcfVT8Cg0KDJM0wEJmaFw_49_9"/>
      <w:bookmarkStart w:id="996" w:name="Tc_pCb-fhXXQ0qLvzZH6Yf0sw_49_6"/>
      <w:bookmarkStart w:id="997" w:name="Tc_vOfPXZrMXkm2ekEJW4cWnw_49_3"/>
      <w:bookmarkStart w:id="998" w:name="Tc_4aBywGzox0eN_443otuKKg_49_2"/>
      <w:bookmarkStart w:id="999" w:name="Tc_d-vsxiRp4UeAUH494fLAMw_49_0"/>
      <w:bookmarkStart w:id="1000" w:name="Tc_WZq3uJqC_0mEsBwygPLBLg_48_9"/>
      <w:bookmarkStart w:id="1001" w:name="Tc_IDSkSnylkkSGieI0wX1v7A_48_7"/>
      <w:bookmarkStart w:id="1002" w:name="Tc_a4vSjc9MekSSE_mcle5kUw_48_6"/>
      <w:bookmarkStart w:id="1003" w:name="Tc_Z2OSj4lfQ0CXqFIhdiWRuA_48_3"/>
      <w:bookmarkStart w:id="1004" w:name="Tc_k0N3986T3EG8cuI5GJ9IAw_48_2"/>
      <w:bookmarkStart w:id="1005" w:name="Tc_0imMZ5YoYE2XDQIVj3s41g_48_0"/>
      <w:bookmarkStart w:id="1006" w:name="Tc_9BeR1CXNVkWiMd5Hg2MupQ_47_10"/>
      <w:bookmarkStart w:id="1007" w:name="Tc_slrD5OfFq0CwxrG-qAXe_g_47_9"/>
      <w:bookmarkStart w:id="1008" w:name="Tc_qEXJc3-9rEWlAkp49FhNbg_47_6"/>
      <w:bookmarkStart w:id="1009" w:name="Tc_VsWFqJLQ00ejbV33MM6BiA_47_3"/>
      <w:bookmarkStart w:id="1010" w:name="Tc_xBrYtm0WR0WasEJPHSkrnA_47_2"/>
      <w:bookmarkStart w:id="1011" w:name="Tc_ej-YeqVQs0ep5mCdiKYyuw_47_0"/>
      <w:bookmarkStart w:id="1012" w:name="Tc_70UoTBT1C0KxfjSbXtpooQ_46_10"/>
      <w:bookmarkStart w:id="1013" w:name="Tc_jUrbQHhDNkWwuk3FhyMl3g_46_9"/>
      <w:bookmarkStart w:id="1014" w:name="Tc_8uLudlPZCk-WUDSMfVpH1A_46_6"/>
      <w:bookmarkStart w:id="1015" w:name="Tc_zCSrInnENEOCQl1olrzHjQ_46_3"/>
      <w:bookmarkStart w:id="1016" w:name="Tc_XJbO2N2haUyUN9KuqDpUhQ_46_2"/>
      <w:bookmarkStart w:id="1017" w:name="Tc_kaKbt8XMfEyvDZL8GFX65Q_46_0"/>
      <w:bookmarkStart w:id="1018" w:name="Tc_l4ZqDPLu40e7gBYytt5ElA_45_0"/>
      <w:bookmarkStart w:id="1019" w:name="Tc_ZsQUsvVmpUiLm525IY_GTA_44_9"/>
      <w:bookmarkStart w:id="1020" w:name="Tc_BJaSIeoQwES6nMF54Oq0QA_44_6"/>
      <w:bookmarkStart w:id="1021" w:name="Tc_rJQyO_CYCUWsvjgLjGa1Ug_44_3"/>
      <w:bookmarkStart w:id="1022" w:name="Tc_JdG2JhOeR0C7AXSt6t4TWw_44_2"/>
      <w:bookmarkStart w:id="1023" w:name="Tc_1IGX_BHfKEyIZubCmK7ucQ_44_0"/>
      <w:bookmarkStart w:id="1024" w:name="Tc_dF6ksrWCtEGosOU9pE5FMg_43_0"/>
      <w:bookmarkStart w:id="1025" w:name="Tc__3A8hC6sRk6yw3QG-I4HmA_41_9"/>
      <w:bookmarkStart w:id="1026" w:name="Tc_O5B59qM0BkqhC5nwhrB1ig_41_6"/>
      <w:bookmarkStart w:id="1027" w:name="Tc_jBr8V3-za0G2C1eDFbNT8Q_41_2"/>
      <w:bookmarkStart w:id="1028" w:name="Tc_TVq7W4h2lk6gWAeaO7XjuA_41_0"/>
      <w:bookmarkStart w:id="1029" w:name="Tc_SRpP8Di6Q0CD8GWGB3RqGA_40_0"/>
      <w:bookmarkStart w:id="1030" w:name="Tc_HhSTRG6wS0mIjZ3B1jB_RQ_39_0"/>
      <w:bookmarkStart w:id="1031" w:name="Tc_3_1nn9ukVEWvHFvwijZ1WQ_38_0"/>
      <w:bookmarkStart w:id="1032" w:name="Tc_kbxsUQidrk2mgr-fbROn8g_37_3"/>
      <w:bookmarkStart w:id="1033" w:name="Tc_vA7ufLNo8UKSIgv3LFXCEg_37_0"/>
      <w:bookmarkStart w:id="1034" w:name="Tc_AnFggtgRhUOfUpMSyxu1dA_36_3"/>
      <w:bookmarkStart w:id="1035" w:name="Tc_sJQ7E_VQsE6RenHNyn09MQ_36_0"/>
      <w:bookmarkStart w:id="1036" w:name="Tc_slwIWrfG2kCrgGluk9Bfuw_35_7"/>
      <w:bookmarkStart w:id="1037" w:name="Tc_QDUcUslw8kKHDUuE7yj5fw_35_3"/>
      <w:bookmarkStart w:id="1038" w:name="Tc_bEOSDwZjE0-u43IyvIu10A_35_0"/>
      <w:bookmarkStart w:id="1039" w:name="Tc_t6XXK5VIEEee_rfm8iN37g_34_3"/>
      <w:bookmarkStart w:id="1040" w:name="Tc_aBtlV-md4U6Ven9iVt1DhA_34_0"/>
      <w:bookmarkStart w:id="1041" w:name="Tc_MZrcaASFD0aw_T1aKmhi8Q_33_7"/>
      <w:bookmarkStart w:id="1042" w:name="Tc_N-uEpMRPmEWOFNWw3rG8DA_33_3"/>
      <w:bookmarkStart w:id="1043" w:name="Tc_PZLC0G3bW0ipfjnrXTjJEA_33_0"/>
      <w:bookmarkStart w:id="1044" w:name="Tc_T-eJ6D8vDE-TmYEA5qmFXw_32_0"/>
      <w:bookmarkStart w:id="1045" w:name="Tc_-ZAhfAt9rEG-Vj0zUM9Q6w_31_0"/>
      <w:bookmarkStart w:id="1046" w:name="Tc_hhFjD6qlv0CBJufZvIEDeA_30_7"/>
      <w:bookmarkStart w:id="1047" w:name="Tc_svVoiraTjE6NP6HIxrj-wg_30_3"/>
      <w:bookmarkStart w:id="1048" w:name="Tc_CzjsQd7jWkSZ_6-oWgbtyQ_30_0"/>
      <w:bookmarkStart w:id="1049" w:name="Tc_0lk1QGQxwE-ikTlHJkbYiQ_29_0"/>
      <w:bookmarkStart w:id="1050" w:name="Tc_acPFCjPyo0G3XAeBmgNt1Q_28_0"/>
      <w:bookmarkStart w:id="1051" w:name="Tc_1ExqZMHKqkmb-r8MbiOK7g_27_0"/>
      <w:bookmarkStart w:id="1052" w:name="Tc_CLbvZz3zLEi2LOL7JEgpug_26_7"/>
      <w:bookmarkStart w:id="1053" w:name="Tc_mG28DvbJSUSUhMhotDvbqA_26_3"/>
      <w:bookmarkStart w:id="1054" w:name="Tc_v5h1sM-kCEuCtNXvSV63uQ_26_0"/>
      <w:bookmarkStart w:id="1055" w:name="Tc_YS49qF_ln0S3Gu4OtkR7Dw_25_7"/>
      <w:bookmarkStart w:id="1056" w:name="Tc_XSW_NFqTIUmqwxBTiaY1Qg_25_3"/>
      <w:bookmarkStart w:id="1057" w:name="Tc_BBMhnLH_6EanL4uTHYWM5w_25_0"/>
      <w:bookmarkStart w:id="1058" w:name="Tc_PAGX-1AmPku06gzeVZqedg_24_0"/>
      <w:bookmarkStart w:id="1059" w:name="Tc_s3Snf3JRxUS5by5WadWTCA_23_0"/>
      <w:bookmarkStart w:id="1060" w:name="Tc_hbshbzo2JEOeicanfa-zMA_22_3"/>
      <w:bookmarkStart w:id="1061" w:name="Tc_KilNSWTXb0eht63YZn0hEQ_22_0"/>
      <w:bookmarkStart w:id="1062" w:name="Tc_O-S-IWZ6qk-MkAKjLQlkZQ_21_0"/>
      <w:bookmarkStart w:id="1063" w:name="Tc_VdwfZk4U0EGRtt4NXvP_yg_20_10"/>
      <w:bookmarkStart w:id="1064" w:name="Tc_-XSw-16avkCjbU2yRO_jSA_20_0"/>
      <w:bookmarkStart w:id="1065" w:name="Tc__dqwpgPeHUmsdjIXqCxWGQ_19_0"/>
      <w:bookmarkStart w:id="1066" w:name="Tc_xsGTvRaHgkWDxsnZaTKMhg_18_0"/>
      <w:bookmarkStart w:id="1067" w:name="Tc_k5aEbCkbA02_kW3HMiuyJw_17_0"/>
      <w:bookmarkStart w:id="1068" w:name="Tc_rDSbNH7ttk64QyvKplEOTQ_16_0"/>
      <w:bookmarkStart w:id="1069" w:name="Tc_955HCUJEbESPlLeK5uNrIg_15_0"/>
      <w:bookmarkStart w:id="1070" w:name="Tc_4yFT70m25UaXDGygOdnzPA_14_0"/>
      <w:bookmarkStart w:id="1071" w:name="Tc_38ZKPABI3ESmc3Jvx_mFYQ_13_3"/>
      <w:bookmarkStart w:id="1072" w:name="Tc_FW8tIYOSPUamBcA-w6J82Q_13_0"/>
      <w:bookmarkStart w:id="1073" w:name="Tc_L5p8RaixpEmcCSCZFZm7uQ_12_3"/>
      <w:bookmarkStart w:id="1074" w:name="Tc_dYW5e_Pt4Eyzky1HoemVnQ_12_0"/>
      <w:bookmarkStart w:id="1075" w:name="Tc_XbiriN3cZE-jQlKufPElPg_11_0"/>
      <w:bookmarkStart w:id="1076" w:name="Tc_loVqfiCdIE6eLEuLTqxbdg_10_3"/>
      <w:bookmarkStart w:id="1077" w:name="Tc_RSMu4j0LOk6XEwFHZoPEIg_10_0"/>
      <w:bookmarkStart w:id="1078" w:name="Tc_sqc13MhnWkmOrx8MHTJsAg_9_0"/>
      <w:bookmarkStart w:id="1079" w:name="Tc__UaXO0A4HEegXVhev45gZA_8_0"/>
      <w:bookmarkStart w:id="1080" w:name="Tc_1aH-kD-zmECtEtKA1vsPRQ_7_0"/>
      <w:bookmarkStart w:id="1081" w:name="Tc_OXUkrWUQnke8xOXVVwcYlA_6_9"/>
      <w:bookmarkStart w:id="1082" w:name="Tc_XBTsl8zlSU6tLhLXpBgasg_6_6"/>
      <w:bookmarkStart w:id="1083" w:name="Tc_uPSXM0aU2UuY3-4sOVr31g_6_2"/>
      <w:bookmarkStart w:id="1084" w:name="Tc_NFTXJqU43EqD6014cv-ujg_6_0"/>
      <w:bookmarkStart w:id="1085" w:name="Tc_U80A0eGCWkanQDYrXUzdZQ_5_0"/>
      <w:bookmarkStart w:id="1086" w:name="Tc_FxDF7JXn80SHQRANjpb3LA_4_9"/>
      <w:bookmarkStart w:id="1087" w:name="Tc_kA9JDaZTtEq7BHkuPlvNDg_4_6"/>
      <w:bookmarkStart w:id="1088" w:name="Tc_EUNtewMiDUuROUbhEV9HbQ_4_2"/>
      <w:bookmarkStart w:id="1089" w:name="Tc_9Fp665GIGkmaZZpTei1SVQ_2_9"/>
      <w:bookmarkStart w:id="1090" w:name="Tc_aWnjK1NuzUefy56wh4XAWw_2_2"/>
      <w:bookmarkStart w:id="1091" w:name="Tc_wg-WsS6P8E2ywYRjmSNZWQ_1_2"/>
      <w:bookmarkStart w:id="1092" w:name="_5e98d05c_3c54_494f_9c35_03fe724e4755"/>
      <w:bookmarkStart w:id="1093" w:name="Tc_24cRdM5HzUiOSBu7pSXj2A_49_10"/>
      <w:bookmarkStart w:id="1094" w:name="Tc_FKcfVT8Cg0KDJM0wEJmaFw_49_9"/>
      <w:bookmarkStart w:id="1095" w:name="Tc_pCb-fhXXQ0qLvzZH6Yf0sw_49_6"/>
      <w:bookmarkStart w:id="1096" w:name="Tc_vOfPXZrMXkm2ekEJW4cWnw_49_3"/>
      <w:bookmarkStart w:id="1097" w:name="Tc_4aBywGzox0eN_443otuKKg_49_2"/>
      <w:bookmarkStart w:id="1098" w:name="Tc_d-vsxiRp4UeAUH494fLAMw_49_0"/>
      <w:bookmarkStart w:id="1099" w:name="Tc_WZq3uJqC_0mEsBwygPLBLg_48_9"/>
      <w:bookmarkStart w:id="1100" w:name="Tc_IDSkSnylkkSGieI0wX1v7A_48_7"/>
      <w:bookmarkStart w:id="1101" w:name="Tc_a4vSjc9MekSSE_mcle5kUw_48_6"/>
      <w:bookmarkStart w:id="1102" w:name="Tc_Z2OSj4lfQ0CXqFIhdiWRuA_48_3"/>
      <w:bookmarkStart w:id="1103" w:name="Tc_k0N3986T3EG8cuI5GJ9IAw_48_2"/>
      <w:bookmarkStart w:id="1104" w:name="Tc_0imMZ5YoYE2XDQIVj3s41g_48_0"/>
      <w:bookmarkStart w:id="1105" w:name="Tc_9BeR1CXNVkWiMd5Hg2MupQ_47_10"/>
      <w:bookmarkStart w:id="1106" w:name="Tc_slrD5OfFq0CwxrG-qAXe_g_47_9"/>
      <w:bookmarkStart w:id="1107" w:name="Tc_qEXJc3-9rEWlAkp49FhNbg_47_6"/>
      <w:bookmarkStart w:id="1108" w:name="Tc_VsWFqJLQ00ejbV33MM6BiA_47_3"/>
      <w:bookmarkStart w:id="1109" w:name="Tc_xBrYtm0WR0WasEJPHSkrnA_47_2"/>
      <w:bookmarkStart w:id="1110" w:name="Tc_ej-YeqVQs0ep5mCdiKYyuw_47_0"/>
      <w:bookmarkStart w:id="1111" w:name="Tc_70UoTBT1C0KxfjSbXtpooQ_46_10"/>
      <w:bookmarkStart w:id="1112" w:name="Tc_jUrbQHhDNkWwuk3FhyMl3g_46_9"/>
      <w:bookmarkStart w:id="1113" w:name="Tc_8uLudlPZCk-WUDSMfVpH1A_46_6"/>
      <w:bookmarkStart w:id="1114" w:name="Tc_zCSrInnENEOCQl1olrzHjQ_46_3"/>
      <w:bookmarkStart w:id="1115" w:name="Tc_XJbO2N2haUyUN9KuqDpUhQ_46_2"/>
      <w:bookmarkStart w:id="1116" w:name="Tc_kaKbt8XMfEyvDZL8GFX65Q_46_0"/>
      <w:bookmarkStart w:id="1117" w:name="Tc_l4ZqDPLu40e7gBYytt5ElA_45_0"/>
      <w:bookmarkStart w:id="1118" w:name="Tc_ZsQUsvVmpUiLm525IY_GTA_44_9"/>
      <w:bookmarkStart w:id="1119" w:name="Tc_BJaSIeoQwES6nMF54Oq0QA_44_6"/>
      <w:bookmarkStart w:id="1120" w:name="Tc_rJQyO_CYCUWsvjgLjGa1Ug_44_3"/>
      <w:bookmarkStart w:id="1121" w:name="Tc_JdG2JhOeR0C7AXSt6t4TWw_44_2"/>
      <w:bookmarkStart w:id="1122" w:name="Tc_1IGX_BHfKEyIZubCmK7ucQ_44_0"/>
      <w:bookmarkStart w:id="1123" w:name="Tc_dF6ksrWCtEGosOU9pE5FMg_43_0"/>
      <w:bookmarkStart w:id="1124" w:name="Tc__3A8hC6sRk6yw3QG-I4HmA_41_9"/>
      <w:bookmarkStart w:id="1125" w:name="Tc_O5B59qM0BkqhC5nwhrB1ig_41_6"/>
      <w:bookmarkStart w:id="1126" w:name="Tc_jBr8V3-za0G2C1eDFbNT8Q_41_2"/>
      <w:bookmarkStart w:id="1127" w:name="Tc_TVq7W4h2lk6gWAeaO7XjuA_41_0"/>
      <w:bookmarkStart w:id="1128" w:name="Tc_SRpP8Di6Q0CD8GWGB3RqGA_40_0"/>
      <w:bookmarkStart w:id="1129" w:name="Tc_HhSTRG6wS0mIjZ3B1jB_RQ_39_0"/>
      <w:bookmarkStart w:id="1130" w:name="Tc_3_1nn9ukVEWvHFvwijZ1WQ_38_0"/>
      <w:bookmarkStart w:id="1131" w:name="Tc_kbxsUQidrk2mgr-fbROn8g_37_3"/>
      <w:bookmarkStart w:id="1132" w:name="Tc_vA7ufLNo8UKSIgv3LFXCEg_37_0"/>
      <w:bookmarkStart w:id="1133" w:name="Tc_AnFggtgRhUOfUpMSyxu1dA_36_3"/>
      <w:bookmarkStart w:id="1134" w:name="Tc_sJQ7E_VQsE6RenHNyn09MQ_36_0"/>
      <w:bookmarkStart w:id="1135" w:name="Tc_slwIWrfG2kCrgGluk9Bfuw_35_7"/>
      <w:bookmarkStart w:id="1136" w:name="Tc_QDUcUslw8kKHDUuE7yj5fw_35_3"/>
      <w:bookmarkStart w:id="1137" w:name="Tc_bEOSDwZjE0-u43IyvIu10A_35_0"/>
      <w:bookmarkStart w:id="1138" w:name="Tc_t6XXK5VIEEee_rfm8iN37g_34_3"/>
      <w:bookmarkStart w:id="1139" w:name="Tc_aBtlV-md4U6Ven9iVt1DhA_34_0"/>
      <w:bookmarkStart w:id="1140" w:name="Tc_MZrcaASFD0aw_T1aKmhi8Q_33_7"/>
      <w:bookmarkStart w:id="1141" w:name="Tc_N-uEpMRPmEWOFNWw3rG8DA_33_3"/>
      <w:bookmarkStart w:id="1142" w:name="Tc_PZLC0G3bW0ipfjnrXTjJEA_33_0"/>
      <w:bookmarkStart w:id="1143" w:name="Tc_T-eJ6D8vDE-TmYEA5qmFXw_32_0"/>
      <w:bookmarkStart w:id="1144" w:name="Tc_-ZAhfAt9rEG-Vj0zUM9Q6w_31_0"/>
      <w:bookmarkStart w:id="1145" w:name="Tc_hhFjD6qlv0CBJufZvIEDeA_30_7"/>
      <w:bookmarkStart w:id="1146" w:name="Tc_svVoiraTjE6NP6HIxrj-wg_30_3"/>
      <w:bookmarkStart w:id="1147" w:name="Tc_CzjsQd7jWkSZ_6-oWgbtyQ_30_0"/>
      <w:bookmarkStart w:id="1148" w:name="Tc_0lk1QGQxwE-ikTlHJkbYiQ_29_0"/>
      <w:bookmarkStart w:id="1149" w:name="Tc_acPFCjPyo0G3XAeBmgNt1Q_28_0"/>
      <w:bookmarkStart w:id="1150" w:name="Tc_1ExqZMHKqkmb-r8MbiOK7g_27_0"/>
      <w:bookmarkStart w:id="1151" w:name="Tc_CLbvZz3zLEi2LOL7JEgpug_26_7"/>
      <w:bookmarkStart w:id="1152" w:name="Tc_mG28DvbJSUSUhMhotDvbqA_26_3"/>
      <w:bookmarkStart w:id="1153" w:name="Tc_v5h1sM-kCEuCtNXvSV63uQ_26_0"/>
      <w:bookmarkStart w:id="1154" w:name="Tc_YS49qF_ln0S3Gu4OtkR7Dw_25_7"/>
      <w:bookmarkStart w:id="1155" w:name="Tc_XSW_NFqTIUmqwxBTiaY1Qg_25_3"/>
      <w:bookmarkStart w:id="1156" w:name="Tc_BBMhnLH_6EanL4uTHYWM5w_25_0"/>
      <w:bookmarkStart w:id="1157" w:name="Tc_PAGX-1AmPku06gzeVZqedg_24_0"/>
      <w:bookmarkStart w:id="1158" w:name="Tc_s3Snf3JRxUS5by5WadWTCA_23_0"/>
      <w:bookmarkStart w:id="1159" w:name="Tc_hbshbzo2JEOeicanfa-zMA_22_3"/>
      <w:bookmarkStart w:id="1160" w:name="Tc_KilNSWTXb0eht63YZn0hEQ_22_0"/>
      <w:bookmarkStart w:id="1161" w:name="Tc_O-S-IWZ6qk-MkAKjLQlkZQ_21_0"/>
      <w:bookmarkStart w:id="1162" w:name="Tc_VdwfZk4U0EGRtt4NXvP_yg_20_10"/>
      <w:bookmarkStart w:id="1163" w:name="Tc_-XSw-16avkCjbU2yRO_jSA_20_0"/>
      <w:bookmarkStart w:id="1164" w:name="Tc__dqwpgPeHUmsdjIXqCxWGQ_19_0"/>
      <w:bookmarkStart w:id="1165" w:name="Tc_xsGTvRaHgkWDxsnZaTKMhg_18_0"/>
      <w:bookmarkStart w:id="1166" w:name="Tc_k5aEbCkbA02_kW3HMiuyJw_17_0"/>
      <w:bookmarkStart w:id="1167" w:name="Tc_rDSbNH7ttk64QyvKplEOTQ_16_0"/>
      <w:bookmarkStart w:id="1168" w:name="Tc_955HCUJEbESPlLeK5uNrIg_15_0"/>
      <w:bookmarkStart w:id="1169" w:name="Tc_4yFT70m25UaXDGygOdnzPA_14_0"/>
      <w:bookmarkStart w:id="1170" w:name="Tc_38ZKPABI3ESmc3Jvx_mFYQ_13_3"/>
      <w:bookmarkStart w:id="1171" w:name="Tc_FW8tIYOSPUamBcA-w6J82Q_13_0"/>
      <w:bookmarkStart w:id="1172" w:name="Tc_L5p8RaixpEmcCSCZFZm7uQ_12_3"/>
      <w:bookmarkStart w:id="1173" w:name="Tc_dYW5e_Pt4Eyzky1HoemVnQ_12_0"/>
      <w:bookmarkStart w:id="1174" w:name="Tc_XbiriN3cZE-jQlKufPElPg_11_0"/>
      <w:bookmarkStart w:id="1175" w:name="Tc_loVqfiCdIE6eLEuLTqxbdg_10_3"/>
      <w:bookmarkStart w:id="1176" w:name="Tc_RSMu4j0LOk6XEwFHZoPEIg_10_0"/>
      <w:bookmarkStart w:id="1177" w:name="Tc_sqc13MhnWkmOrx8MHTJsAg_9_0"/>
      <w:bookmarkStart w:id="1178" w:name="Tc__UaXO0A4HEegXVhev45gZA_8_0"/>
      <w:bookmarkStart w:id="1179" w:name="Tc_1aH-kD-zmECtEtKA1vsPRQ_7_0"/>
      <w:bookmarkStart w:id="1180" w:name="Tc_OXUkrWUQnke8xOXVVwcYlA_6_9"/>
      <w:bookmarkStart w:id="1181" w:name="Tc_XBTsl8zlSU6tLhLXpBgasg_6_6"/>
      <w:bookmarkStart w:id="1182" w:name="Tc_uPSXM0aU2UuY3-4sOVr31g_6_2"/>
      <w:bookmarkStart w:id="1183" w:name="Tc_NFTXJqU43EqD6014cv-ujg_6_0"/>
      <w:bookmarkStart w:id="1184" w:name="Tc_U80A0eGCWkanQDYrXUzdZQ_5_0"/>
      <w:bookmarkStart w:id="1185" w:name="Tc_FxDF7JXn80SHQRANjpb3LA_4_9"/>
      <w:bookmarkStart w:id="1186" w:name="Tc_kA9JDaZTtEq7BHkuPlvNDg_4_6"/>
      <w:bookmarkStart w:id="1187" w:name="Tc_EUNtewMiDUuROUbhEV9HbQ_4_2"/>
      <w:bookmarkStart w:id="1188" w:name="Tc_9Fp665GIGkmaZZpTei1SVQ_2_9"/>
      <w:bookmarkStart w:id="1189" w:name="Tc_aWnjK1NuzUefy56wh4XAWw_2_2"/>
      <w:bookmarkStart w:id="1190" w:name="Tc_wg-WsS6P8E2ywYRjmSNZWQ_1_2"/>
      <w:bookmarkStart w:id="1191" w:name="_5e98d05c_3c54_494f_9c35_03fe724e4755"/>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p>
    <w:tbl>
      <w:tblPr>
        <w:tblW w:w="10205" w:type="dxa"/>
        <w:jc w:val="left"/>
        <w:tblInd w:w="0" w:type="dxa"/>
        <w:tblLayout w:type="fixed"/>
        <w:tblCellMar>
          <w:top w:w="0" w:type="dxa"/>
          <w:left w:w="0" w:type="dxa"/>
          <w:bottom w:w="0" w:type="dxa"/>
          <w:right w:w="0" w:type="dxa"/>
        </w:tblCellMar>
      </w:tblPr>
      <w:tblGrid>
        <w:gridCol w:w="4536"/>
        <w:gridCol w:w="109"/>
        <w:gridCol w:w="404"/>
        <w:gridCol w:w="1248"/>
        <w:gridCol w:w="326"/>
        <w:gridCol w:w="109"/>
        <w:gridCol w:w="339"/>
        <w:gridCol w:w="1144"/>
        <w:gridCol w:w="109"/>
        <w:gridCol w:w="407"/>
        <w:gridCol w:w="1474"/>
      </w:tblGrid>
      <w:tr>
        <w:trPr/>
        <w:tc>
          <w:tcPr>
            <w:tcW w:w="4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880360" cy="175260"/>
                      <wp:effectExtent l="0" t="0" r="0" b="0"/>
                      <wp:wrapNone/>
                      <wp:docPr id="80" name="Frame80"/>
                      <a:graphic xmlns:a="http://schemas.openxmlformats.org/drawingml/2006/main">
                        <a:graphicData uri="http://schemas.microsoft.com/office/word/2010/wordprocessingShape">
                          <wps:wsp>
                            <wps:cNvSpPr txBox="1"/>
                            <wps:spPr>
                              <a:xfrm>
                                <a:off x="0" y="0"/>
                                <a:ext cx="288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56540" cy="175260"/>
                      <wp:effectExtent l="0" t="0" r="0" b="0"/>
                      <wp:wrapNone/>
                      <wp:docPr id="82" name="Frame82"/>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92480" cy="175260"/>
                      <wp:effectExtent l="0" t="0" r="0" b="0"/>
                      <wp:wrapNone/>
                      <wp:docPr id="83" name="Frame83"/>
                      <a:graphic xmlns:a="http://schemas.openxmlformats.org/drawingml/2006/main">
                        <a:graphicData uri="http://schemas.microsoft.com/office/word/2010/wordprocessingShape">
                          <wps:wsp>
                            <wps:cNvSpPr txBox="1"/>
                            <wps:spPr>
                              <a:xfrm>
                                <a:off x="0" y="0"/>
                                <a:ext cx="792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5265" cy="175260"/>
                      <wp:effectExtent l="0" t="0" r="0" b="0"/>
                      <wp:wrapNone/>
                      <wp:docPr id="86" name="Frame86"/>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26440" cy="175260"/>
                      <wp:effectExtent l="0" t="0" r="0" b="0"/>
                      <wp:wrapNone/>
                      <wp:docPr id="87" name="Frame87"/>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58445" cy="175260"/>
                      <wp:effectExtent l="0" t="0" r="0" b="0"/>
                      <wp:wrapNone/>
                      <wp:docPr id="89" name="Frame89"/>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935990" cy="175260"/>
                      <wp:effectExtent l="0" t="0" r="0" b="0"/>
                      <wp:wrapNone/>
                      <wp:docPr id="90" name="Frame90"/>
                      <a:graphic xmlns:a="http://schemas.openxmlformats.org/drawingml/2006/main">
                        <a:graphicData uri="http://schemas.microsoft.com/office/word/2010/wordprocessingShape">
                          <wps:wsp>
                            <wps:cNvSpPr txBox="1"/>
                            <wps:spPr>
                              <a:xfrm>
                                <a:off x="0" y="0"/>
                                <a:ext cx="935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60"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r>
      <w:tr>
        <w:trPr/>
        <w:tc>
          <w:tcPr>
            <w:tcW w:w="4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0"/>
              <w:ind w:left="0" w:right="0" w:hanging="0"/>
              <w:jc w:val="left"/>
              <w:rPr/>
            </w:pPr>
            <w:r>
              <w:rPr/>
              <w:t>​</w:t>
            </w:r>
          </w:p>
        </w:tc>
        <w:tc>
          <w:tcPr>
            <w:tcW w:w="18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4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32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4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c>
          <w:tcPr>
            <w:tcW w:w="109" w:type="dxa"/>
            <w:tcBorders/>
            <w:vAlign w:val="center"/>
          </w:tcPr>
          <w:p>
            <w:pPr>
              <w:pStyle w:val="TableContents"/>
              <w:bidi w:val="0"/>
              <w:spacing w:before="0" w:after="0"/>
              <w:ind w:left="0" w:right="0" w:hanging="0"/>
              <w:jc w:val="left"/>
              <w:rPr/>
            </w:pPr>
            <w:r>
              <w:rPr/>
              <w:t>​</w:t>
            </w:r>
          </w:p>
        </w:tc>
        <w:tc>
          <w:tcPr>
            <w:tcW w:w="18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r>
      <w:tr>
        <w:trPr/>
        <w:tc>
          <w:tcPr>
            <w:tcW w:w="4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31 to September 30</w:t>
            </w:r>
          </w:p>
        </w:tc>
        <w:tc>
          <w:tcPr>
            <w:tcW w:w="326"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4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January 1 to July 30</w:t>
            </w:r>
          </w:p>
        </w:tc>
        <w:tc>
          <w:tcPr>
            <w:tcW w:w="109" w:type="dxa"/>
            <w:tcBorders/>
            <w:vAlign w:val="center"/>
          </w:tcPr>
          <w:p>
            <w:pPr>
              <w:pStyle w:val="TableContents"/>
              <w:bidi w:val="0"/>
              <w:spacing w:before="0" w:after="0"/>
              <w:ind w:left="0" w:right="0" w:hanging="0"/>
              <w:jc w:val="left"/>
              <w:rPr/>
            </w:pPr>
            <w:r>
              <w:rPr/>
              <w:t>​</w:t>
            </w:r>
          </w:p>
        </w:tc>
        <w:tc>
          <w:tcPr>
            <w:tcW w:w="18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January 1 to September 30</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1248"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    </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left"/>
              <w:rPr/>
            </w:pPr>
            <w:r>
              <w:rPr/>
              <w:t>​</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3,606</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(21,278)</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(27,969)</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(loss) to net cash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1248" w:type="dxa"/>
            <w:tcBorders/>
            <w:shd w:fill="CCEEFF" w:val="clear"/>
            <w:vAlign w:val="center"/>
          </w:tcPr>
          <w:p>
            <w:pPr>
              <w:pStyle w:val="TableContents"/>
              <w:bidi w:val="0"/>
              <w:spacing w:before="0" w:after="0"/>
              <w:ind w:left="0" w:right="0" w:hanging="0"/>
              <w:jc w:val="lef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left"/>
              <w:rPr/>
            </w:pPr>
            <w:r>
              <w:rPr/>
              <w:t>​</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646</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 </w:t>
            </w:r>
          </w:p>
        </w:tc>
        <w:tc>
          <w:tcPr>
            <w:tcW w:w="14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operating lease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642</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inventory impairment</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term loan discount</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disposal of property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1248"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convertible notes payable</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(3,255)</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(2,059)</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4,084</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warrant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(4,973)</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operating assets and liabilities:</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1248"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 </w:t>
            </w:r>
          </w:p>
        </w:tc>
        <w:tc>
          <w:tcPr>
            <w:tcW w:w="1474" w:type="dxa"/>
            <w:tcBorders/>
            <w:vAlign w:val="center"/>
          </w:tcPr>
          <w:p>
            <w:pPr>
              <w:pStyle w:val="TableContents"/>
              <w:bidi w:val="0"/>
              <w:spacing w:before="0" w:after="0"/>
              <w:ind w:left="0" w:right="0" w:hanging="0"/>
              <w:jc w:val="right"/>
              <w:rPr/>
            </w:pPr>
            <w:r>
              <w:rPr/>
              <w:t>​</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 </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Inventory, net</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(773)</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 </w:t>
            </w:r>
          </w:p>
        </w:tc>
        <w:tc>
          <w:tcPr>
            <w:tcW w:w="14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 </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(2,628)</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right"/>
              <w:rPr/>
            </w:pPr>
            <w:r>
              <w:rPr/>
              <w:t>—</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 </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1,102</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transaction costs</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 </w:t>
            </w:r>
          </w:p>
        </w:tc>
        <w:tc>
          <w:tcPr>
            <w:tcW w:w="1248"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7,446</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 </w:t>
            </w:r>
          </w:p>
        </w:tc>
        <w:tc>
          <w:tcPr>
            <w:tcW w:w="14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241</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1,734</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 </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1,848</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917</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1248"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taxes</w:t>
            </w:r>
          </w:p>
        </w:tc>
        <w:tc>
          <w:tcPr>
            <w:tcW w:w="109" w:type="dxa"/>
            <w:tcBorders/>
            <w:vAlign w:val="center"/>
          </w:tcPr>
          <w:p>
            <w:pPr>
              <w:pStyle w:val="TableContents"/>
              <w:bidi w:val="0"/>
              <w:spacing w:before="0" w:after="0"/>
              <w:ind w:left="0" w:right="0" w:hanging="0"/>
              <w:jc w:val="left"/>
              <w:rPr/>
            </w:pPr>
            <w:r>
              <w:rP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(6,358)</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(15,990)</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(18,561)</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left"/>
              <w:rPr/>
            </w:pPr>
            <w:r>
              <w:rPr/>
              <w:t>​</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software</w:t>
            </w:r>
          </w:p>
        </w:tc>
        <w:tc>
          <w:tcPr>
            <w:tcW w:w="109" w:type="dxa"/>
            <w:tcBorders/>
            <w:vAlign w:val="center"/>
          </w:tcPr>
          <w:p>
            <w:pPr>
              <w:pStyle w:val="TableContents"/>
              <w:bidi w:val="0"/>
              <w:spacing w:before="0" w:after="0"/>
              <w:ind w:left="0" w:right="0" w:hanging="0"/>
              <w:jc w:val="left"/>
              <w:rPr/>
            </w:pPr>
            <w:r>
              <w:rP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left"/>
              <w:rPr/>
            </w:pPr>
            <w:r>
              <w:rPr/>
              <w:t>​</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common stock options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1248"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convertible notes payable</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16,500</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13,000</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1248" w:type="dxa"/>
            <w:tcBorders/>
            <w:shd w:fill="CCEEFF" w:val="cle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3,000</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 of non-convertible term loan</w:t>
            </w:r>
          </w:p>
        </w:tc>
        <w:tc>
          <w:tcPr>
            <w:tcW w:w="109" w:type="dxa"/>
            <w:tcBorders/>
            <w:vAlign w:val="center"/>
          </w:tcPr>
          <w:p>
            <w:pPr>
              <w:pStyle w:val="TableContents"/>
              <w:bidi w:val="0"/>
              <w:spacing w:before="0" w:after="0"/>
              <w:ind w:left="0" w:right="0" w:hanging="0"/>
              <w:jc w:val="left"/>
              <w:rPr/>
            </w:pPr>
            <w:r>
              <w:rP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(867)</w:t>
            </w:r>
          </w:p>
        </w:tc>
        <w:tc>
          <w:tcPr>
            <w:tcW w:w="109" w:type="dxa"/>
            <w:tcBorders/>
            <w:vAlign w:val="center"/>
          </w:tcPr>
          <w:p>
            <w:pPr>
              <w:pStyle w:val="TableContents"/>
              <w:bidi w:val="0"/>
              <w:spacing w:before="0" w:after="0"/>
              <w:ind w:left="0" w:right="0" w:hanging="0"/>
              <w:jc w:val="left"/>
              <w:rPr/>
            </w:pPr>
            <w:r>
              <w:rPr/>
              <w:t>​</w:t>
            </w:r>
          </w:p>
        </w:tc>
        <w:tc>
          <w:tcPr>
            <w:tcW w:w="4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(714)</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15,633</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15,297</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Effect of foreign currency translation on cash and cash equivalents</w:t>
            </w:r>
          </w:p>
        </w:tc>
        <w:tc>
          <w:tcPr>
            <w:tcW w:w="109" w:type="dxa"/>
            <w:tcBorders/>
            <w:vAlign w:val="center"/>
          </w:tcPr>
          <w:p>
            <w:pPr>
              <w:pStyle w:val="TableContents"/>
              <w:bidi w:val="0"/>
              <w:spacing w:before="0" w:after="0"/>
              <w:ind w:left="0" w:right="0" w:hanging="0"/>
              <w:jc w:val="left"/>
              <w:rPr/>
            </w:pPr>
            <w:r>
              <w:rP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109" w:type="dxa"/>
            <w:tcBorders/>
            <w:vAlign w:val="center"/>
          </w:tcPr>
          <w:p>
            <w:pPr>
              <w:pStyle w:val="TableContents"/>
              <w:bidi w:val="0"/>
              <w:spacing w:before="0" w:after="0"/>
              <w:ind w:left="0" w:right="0" w:hanging="0"/>
              <w:jc w:val="left"/>
              <w:rPr/>
            </w:pPr>
            <w:r>
              <w:rPr/>
              <w:t>​</w:t>
            </w:r>
          </w:p>
        </w:tc>
        <w:tc>
          <w:tcPr>
            <w:tcW w:w="4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change in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 </w:t>
            </w:r>
          </w:p>
        </w:tc>
        <w:tc>
          <w:tcPr>
            <w:tcW w:w="124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(6,894)</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(701)</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shd w:fill="CCEEFF" w:val="clear"/>
            <w:vAlign w:val="center"/>
          </w:tcPr>
          <w:p>
            <w:pPr>
              <w:pStyle w:val="TableContents"/>
              <w:bidi w:val="0"/>
              <w:spacing w:before="0" w:after="0"/>
              <w:ind w:left="0" w:right="0" w:hanging="0"/>
              <w:jc w:val="left"/>
              <w:rPr/>
            </w:pPr>
            <w:r>
              <w:rPr/>
              <w:t> </w:t>
            </w:r>
          </w:p>
        </w:tc>
        <w:tc>
          <w:tcPr>
            <w:tcW w:w="14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(3,566)</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and cash equivalents, at beginning of period</w:t>
            </w:r>
          </w:p>
        </w:tc>
        <w:tc>
          <w:tcPr>
            <w:tcW w:w="109" w:type="dxa"/>
            <w:tcBorders/>
            <w:vAlign w:val="center"/>
          </w:tcPr>
          <w:p>
            <w:pPr>
              <w:pStyle w:val="TableContents"/>
              <w:bidi w:val="0"/>
              <w:spacing w:before="0" w:after="0"/>
              <w:ind w:left="0" w:right="0" w:hanging="0"/>
              <w:jc w:val="left"/>
              <w:rPr/>
            </w:pPr>
            <w:r>
              <w:rPr/>
              <w:t>​</w:t>
            </w:r>
          </w:p>
        </w:tc>
        <w:tc>
          <w:tcPr>
            <w:tcW w:w="40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35,154</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w:t>
            </w:r>
          </w:p>
        </w:tc>
        <w:tc>
          <w:tcPr>
            <w:tcW w:w="109" w:type="dxa"/>
            <w:tcBorders/>
            <w:vAlign w:val="center"/>
          </w:tcPr>
          <w:p>
            <w:pPr>
              <w:pStyle w:val="TableContents"/>
              <w:bidi w:val="0"/>
              <w:spacing w:before="0" w:after="0"/>
              <w:ind w:left="0" w:right="0" w:hanging="0"/>
              <w:jc w:val="left"/>
              <w:rPr/>
            </w:pPr>
            <w:r>
              <w:rPr/>
              <w:t>​</w:t>
            </w:r>
          </w:p>
        </w:tc>
        <w:tc>
          <w:tcPr>
            <w:tcW w:w="4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5,547</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and cash equivalents, at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28,260</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682</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1,981</w:t>
            </w:r>
          </w:p>
        </w:tc>
      </w:tr>
      <w:tr>
        <w:trPr/>
        <w:tc>
          <w:tcPr>
            <w:tcW w:w="4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1248" w:type="dxa"/>
            <w:tcBorders/>
            <w:vAlign w:val="center"/>
          </w:tcPr>
          <w:p>
            <w:pPr>
              <w:pStyle w:val="TableContents"/>
              <w:bidi w:val="0"/>
              <w:spacing w:before="0" w:after="0"/>
              <w:ind w:left="0" w:right="0" w:hanging="0"/>
              <w:jc w:val="lef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left"/>
              <w:rPr/>
            </w:pPr>
            <w:r>
              <w:rPr/>
              <w:t>​</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 of cash flow information:</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w:t>
            </w:r>
          </w:p>
        </w:tc>
        <w:tc>
          <w:tcPr>
            <w:tcW w:w="109"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109" w:type="dxa"/>
            <w:tcBorders/>
            <w:vAlign w:val="center"/>
          </w:tcPr>
          <w:p>
            <w:pPr>
              <w:pStyle w:val="TableContents"/>
              <w:bidi w:val="0"/>
              <w:spacing w:before="0" w:after="0"/>
              <w:ind w:left="0" w:right="0" w:hanging="0"/>
              <w:jc w:val="left"/>
              <w:rPr/>
            </w:pPr>
            <w:r>
              <w:rPr/>
              <w:t>​</w:t>
            </w:r>
          </w:p>
        </w:tc>
        <w:tc>
          <w:tcPr>
            <w:tcW w:w="4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154</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 of noncash investing and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obtained in exchange for lease liabilities</w:t>
            </w:r>
          </w:p>
        </w:tc>
        <w:tc>
          <w:tcPr>
            <w:tcW w:w="109"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w:t>
            </w:r>
          </w:p>
        </w:tc>
        <w:tc>
          <w:tcPr>
            <w:tcW w:w="109" w:type="dxa"/>
            <w:tcBorders/>
            <w:vAlign w:val="center"/>
          </w:tcPr>
          <w:p>
            <w:pPr>
              <w:pStyle w:val="TableContents"/>
              <w:bidi w:val="0"/>
              <w:spacing w:before="0" w:after="0"/>
              <w:ind w:left="0" w:right="0" w:hanging="0"/>
              <w:jc w:val="left"/>
              <w:rPr/>
            </w:pPr>
            <w:r>
              <w:rPr/>
              <w:t>​</w:t>
            </w:r>
          </w:p>
        </w:tc>
        <w:tc>
          <w:tcPr>
            <w:tcW w:w="4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7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liabilities recorded for operating lease right-of-use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 of term loan proceeds allocated to warrant liabilities</w:t>
            </w:r>
          </w:p>
        </w:tc>
        <w:tc>
          <w:tcPr>
            <w:tcW w:w="109"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3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Exchange preferred stock for pre-funded warrants</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2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4,332</w:t>
            </w:r>
          </w:p>
        </w:tc>
        <w:tc>
          <w:tcPr>
            <w:tcW w:w="109" w:type="dxa"/>
            <w:tcBorders/>
            <w:shd w:fill="CCEEFF" w:val="clear"/>
            <w:vAlign w:val="center"/>
          </w:tcPr>
          <w:p>
            <w:pPr>
              <w:pStyle w:val="TableContents"/>
              <w:bidi w:val="0"/>
              <w:spacing w:before="0" w:after="0"/>
              <w:ind w:left="0" w:right="0" w:hanging="0"/>
              <w:jc w:val="left"/>
              <w:rPr/>
            </w:pPr>
            <w:r>
              <w:rPr/>
              <w:t>​</w:t>
            </w:r>
          </w:p>
        </w:tc>
        <w:tc>
          <w:tcPr>
            <w:tcW w:w="4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47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92" w:name="_f7f816b9_ec1c_4bb8_bfcc_05b8f8306e95"/>
      <w:bookmarkEnd w:id="1192"/>
      <w:r>
        <w:rPr>
          <w:rFonts w:ascii="Times New Roman;Times;serif" w:hAnsi="Times New Roman;Times;serif"/>
          <w:b/>
          <w:sz w:val="20"/>
        </w:rPr>
        <w:t xml:space="preserve">Adagio Medical Holding, Inc. </w:t>
      </w:r>
    </w:p>
    <w:p>
      <w:pPr>
        <w:pStyle w:val="TextBody"/>
        <w:bidi w:val="0"/>
        <w:spacing w:before="0" w:after="0"/>
        <w:ind w:left="0" w:right="0" w:hanging="0"/>
        <w:jc w:val="center"/>
        <w:rPr>
          <w:rFonts w:ascii="Times New Roman;Times;serif" w:hAnsi="Times New Roman;Times;serif"/>
          <w:b/>
          <w:sz w:val="20"/>
        </w:rPr>
      </w:pPr>
      <w:bookmarkStart w:id="1193" w:name="NOTES"/>
      <w:bookmarkEnd w:id="1193"/>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1 - Description of Organization and Business Operations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Company</w:t>
      </w:r>
    </w:p>
    <w:p>
      <w:pPr>
        <w:pStyle w:val="TextBody"/>
        <w:bidi w:val="0"/>
        <w:spacing w:before="0" w:after="0"/>
        <w:ind w:left="0" w:right="0" w:firstLine="495"/>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Adagio Medical Holding, Inc. (formerly known as Aja Holdco, Inc.) and its wholly-owned subsidiaries (collectively, the “Company”, the “Successor”) is a medical technology company focused on the development and commercialization of ablation technologies for the treatment of cardiac arrhythmias, including atrial fibrillation, atrial flutter, and ventricular tachycardia. The Company’s technologies center on ultra-low temperature cryoablation (“ULTC”) and pulsed field cryoablation (“PFCA”), designed to produce durable, contiguous, transmural lesions anywhere in the heart using the Company’s proprietary consoles, catheters, and stylets. Legacy Adagio (as defined below) received CE Marking in Europe for its iCLAS™ Cryoablation System and VT Cryoablation System in June 2020 and March 2024, respectively, and has commercially launched in the EU. The Company has not launched commercially in the U.S. but is working towards obtaining the necessary regulatory approvals to do so. The Company is headquartered in Laguna Hills, California.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becomes effective being referred to as the “ARYA Merger Effective Time,” the time that the Adagio Merger becomes effective being referred to as the “Adagio Merger Effective Time,” the time after which both Mergers become effective being referred to as the “Closing,” and the date on which the Closing occurs being referred to as the “Closing Date”), (ii) ListCo filed with the Secretary of State of the State of Delaware an amended and restated certificate of incorporation of ListCo, and the board of directors of ListCo approved and adopt amended and restated bylaws of ListCo, and (iii) ListCo changed its name to Adagio Medical Holdings, Inc.</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3- Forward Merger</w:t>
      </w:r>
      <w:r>
        <w:rPr>
          <w:rFonts w:ascii="Times New Roman;Times;serif" w:hAnsi="Times New Roman;Times;serif"/>
          <w:sz w:val="20"/>
        </w:rPr>
        <w:t xml:space="preserve"> for details of the Business Combination.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Common Stock (as defined below) began trading on August 1, 2024, under the symbol ADGM on the Nasdaq Capital Market (NASDAQ: ADGM).</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Liquidity and Going Concern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accompanying condensed consolidated financial statements have been prepared on a basis that assumes the Company will continue as a going concern. The Company has limited revenue and has experienced recurring operating losses and negative cash flows from operations since its inception and anticipates that it will continue to do so for at least the next several years.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September 30, 2024, the Successor reported cash and cash equivalents of $28.3 million, and an accumulated deficit of $13.2 million. For the period from July 31, 2024 to September 30, 2024 (Successor), from January 1, 2024 to July 30, 2024 (Predecessor), and the nine months ended September 30, 2023 (Predecessor), net income (loss) was $3.6 million, </w:t>
      </w:r>
      <w:r>
        <w:rPr>
          <w:rFonts w:ascii="Times New Roman;Times;serif" w:hAnsi="Times New Roman;Times;serif"/>
          <w:b w:val="false"/>
          <w:i w:val="false"/>
          <w:caps w:val="false"/>
          <w:smallCaps w:val="false"/>
          <w:sz w:val="20"/>
        </w:rPr>
        <w:t>$(21.3)</w:t>
      </w:r>
      <w:r>
        <w:rPr>
          <w:rFonts w:ascii="Times New Roman;Times;serif" w:hAnsi="Times New Roman;Times;serif"/>
          <w:sz w:val="20"/>
        </w:rPr>
        <w:t xml:space="preserve"> million, and </w:t>
      </w:r>
      <w:r>
        <w:rPr>
          <w:rFonts w:ascii="Times New Roman;Times;serif" w:hAnsi="Times New Roman;Times;serif"/>
          <w:b w:val="false"/>
          <w:i w:val="false"/>
          <w:caps w:val="false"/>
          <w:smallCaps w:val="false"/>
          <w:sz w:val="20"/>
        </w:rPr>
        <w:t>$(28.0)</w:t>
      </w:r>
      <w:r>
        <w:rPr>
          <w:rFonts w:ascii="Times New Roman;Times;serif" w:hAnsi="Times New Roman;Times;serif"/>
          <w:sz w:val="20"/>
        </w:rPr>
        <w:t xml:space="preserve"> million, respectively. The net cash used in operating activities was $6.4 million, $16.0 million, and $18.6 million,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Management does not believe the Company's current cash and cash equivalents are sufficient to fund operations for at least the next 12 months from the issuance date of the condensed consolidated financial statements. Management believes that this raises substantial doubt about the Company’s ability to continue as a going concern.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Management intends to mitigate the conditions and events that raise substantial doubt about its ability to continue as a going concern entity by (i) negotiate other cash equity or debt financing in the short-term, (ii) continue to pursue the necessary regulatory approvals to launch commercially in the U.S. market, and (iii) execute cost-cutting measures to manage cash burn. However, there can be no assurances that the current plans will generate any liquidity to the Company or be available on terms acceptable to the Company.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the Company is unable to maintain sufficient financial resources, its business, financial condition, and results of operations will be materially and adversely affected. The Company may be required to delay, limit, reduce or terminate its product discovery and development activities or future commercialization efforts. The accompanying condensed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shd w:fill="FFFFFF" w:val="clear"/>
        </w:rPr>
        <w:t xml:space="preserve">Strategic Realignment of Resources </w:t>
      </w:r>
      <w:r>
        <w:rPr>
          <w:rFonts w:ascii="Times New Roman;Times;serif" w:hAnsi="Times New Roman;Times;serif"/>
          <w:b/>
          <w:i/>
          <w:sz w:val="20"/>
        </w:rPr>
        <w:t>and</w:t>
      </w:r>
      <w:r>
        <w:rPr>
          <w:rFonts w:ascii="Times New Roman;Times;serif" w:hAnsi="Times New Roman;Times;serif"/>
          <w:b/>
          <w:i/>
          <w:sz w:val="20"/>
          <w:shd w:fill="FFFFFF" w:val="clear"/>
        </w:rPr>
        <w:t xml:space="preserve"> Corporate Restructuring</w:t>
      </w:r>
    </w:p>
    <w:p>
      <w:pPr>
        <w:pStyle w:val="TextBody"/>
        <w:bidi w:val="0"/>
        <w:spacing w:before="0" w:after="24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December 1, 2023, Legacy Adagio approved a strategic realignment of resources and corporate restructuring (the “RIF”) designed to reallocate capital, conformant to its business focus for the next two 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part of the RIF, Legacy Adagio initiated a reduction in its workforce of 20 employees, representing approximately 19% of Legacy Adagio’s employees, which was completed on December 15, 2023. Legacy Adagio made no payment for severance or related benefit costs. Legacy Adagio made no payment of retention bonuses.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Note 2 - Summary of Significant Accounting Policies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Basis of </w:t>
      </w:r>
      <w:r>
        <w:rPr>
          <w:rFonts w:ascii="Times New Roman;Times;serif" w:hAnsi="Times New Roman;Times;serif"/>
          <w:b/>
          <w:i/>
          <w:sz w:val="20"/>
          <w:shd w:fill="FFFFFF" w:val="clear"/>
        </w:rPr>
        <w:t>Presentation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have been prepared in accordance with accounting principles generally accepted in the United States of America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 result of the Business Combination, for accounting purposes, ListCo is the acquirer and Legacy Adagio is the accounting acquiree and predecessor. The financial statement presentation includes the financial statements of Legacy Adagio as “Predecessor” for the periods prior to the Closing Date (the “Predecessor Period(s)”), and of the Company as “Successor” for the periods after the Closing Date (the “Successor Period(s)”), including the consolidation of Legacy Adagio and ARYA. The Successor Period includes the Company’s results of operations and cash flows for the period from July 31, 2024 through September 30, 2024.</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a result of the application of the acquisition method of accounting as of the Closing Date of the Business Combination, the accompanying consolidated financial statements include a black line division that indicates that the Predecessor and Successor reporting entities shown are presented on a different basis and are therefore, not comparable.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Unaudited </w:t>
      </w:r>
      <w:r>
        <w:rPr>
          <w:rFonts w:ascii="Times New Roman;Times;serif" w:hAnsi="Times New Roman;Times;serif"/>
          <w:b/>
          <w:i/>
          <w:sz w:val="20"/>
          <w:shd w:fill="FFFFFF" w:val="clear"/>
        </w:rPr>
        <w:t>Interim</w:t>
      </w:r>
      <w:r>
        <w:rPr>
          <w:rFonts w:ascii="Times New Roman;Times;serif" w:hAnsi="Times New Roman;Times;serif"/>
          <w:b/>
          <w:i/>
          <w:sz w:val="20"/>
        </w:rPr>
        <w:t xml:space="preserve"> Financial Information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accompanying interim condensed consolidated balance sheet as of September 30, 2024, the condensed consolidated statements of operations and comprehensive income (loss) and the condensed consolidated statements of convertible preferred stock and stockholders' equity (deficit), for the periods from July 1, 2024 to July 30, 2024 (Predecessor), July 31, 2024 to September 30, 2024 (Successor), January 1, 2024 to July 30, 2024 (Predecessor), July 31, 2024 to September 30, 2024 (Successor) and the three and nine months ended September 30, 2023 (Predecessor), and the condensed consolidated statements of cash flows for the periods from January 1, 2024 to July 30, 2024 (Predecessor), July 31, 2024 to September 30, 2024 (Successor), and nine months ended September 30, 2023 (Predecessor), and the related footnote disclosures are unaudited.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These unaudited interim financial statements have been prepared in accordance with U.S. GAAP and, in management’s opinion, reflect all adjustments which only include normal recurring adjustments necessary for the fair presentation of the Company’s financial position as of September 30, 2024 (Successor) and its results of operations and comprehensive income (loss) for the periods from July 1, 2024 to July 30, 2024 (Predecessor), July 31, 2024 to September 30, 2024 (Successor), January 1, 2024 to July 30, 2024 (Predecessor), July 31, 2024 to September 30, 2024 (Successor), and the three and nine months ended September 30, 2023 (Predecessor), and cash flows for the periods from January 1, 2024 to July 30, 2024 (Predecessor), July 31, 2024 to September 30, 2024 (Successor), and nine months ended September 30, 2023 (Predecessor).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results for the periods from July 1, 2024 to July 30, 2024 (Predecessor), July 31, 2024 to September 30, 2024 (Successor), January 1, 2024 to July 30, 2024 (Predecessor) and July 31, 2024 to September 30, 2024 (Successor) are not necessarily indicative of the results to be expected for the year ending December 31, 2024, or any other interim period.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Emerging </w:t>
      </w:r>
      <w:r>
        <w:rPr>
          <w:rFonts w:ascii="Times New Roman;Times;serif" w:hAnsi="Times New Roman;Times;serif"/>
          <w:b/>
          <w:i/>
          <w:sz w:val="20"/>
          <w:shd w:fill="FFFFFF" w:val="clear"/>
        </w:rPr>
        <w:t>Growth</w:t>
      </w:r>
      <w:r>
        <w:rPr>
          <w:rFonts w:ascii="Times New Roman;Times;serif" w:hAnsi="Times New Roman;Times;serif"/>
          <w:b/>
          <w:i/>
          <w:sz w:val="20"/>
        </w:rPr>
        <w:t xml:space="preserve"> Company Status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of 1933, as amended, (the “Securities Act”), as modified by the Jumpstart our Business Startups Act of 2012 (the “JOBS Act”).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standard at the time private companies adopt the new or revised standard.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Principles of </w:t>
      </w:r>
      <w:r>
        <w:rPr>
          <w:rFonts w:ascii="Times New Roman;Times;serif" w:hAnsi="Times New Roman;Times;serif"/>
          <w:b/>
          <w:i/>
          <w:sz w:val="20"/>
          <w:shd w:fill="FFFFFF" w:val="clear"/>
        </w:rPr>
        <w:t>Consolidation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include the accounts of Adagio Medical Holdings, Inc., and its wholly owned subsidiaries. All intercompany balances and transactions have been eliminated in consolidation.</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Use of Estimates and </w:t>
      </w:r>
      <w:r>
        <w:rPr>
          <w:rFonts w:ascii="Times New Roman;Times;serif" w:hAnsi="Times New Roman;Times;serif"/>
          <w:b/>
          <w:i/>
          <w:sz w:val="20"/>
          <w:shd w:fill="FFFFFF" w:val="clear"/>
        </w:rPr>
        <w:t>Assumptions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U.S. GAAP requires management to make estimates and assumptions that affect the reported amounts of assets, liabilities, revenue, expenses and disclosures of contingent assets and liabilities.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could differ from those estimates.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Segments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as one reportable segment, as the CODM reviews financial information presented on a consolidated basis for purposes of making operating decisions, allocating resources, and evaluating financial performance.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considers all highly liquid investments with maturities of three months or less from the date of purchase, including its money market account, to be cash equivalents. All of the Company’s cash equivalents have liquid markets. Cash deposits held in accounts at each United States financial institution are insured up to $0.25 million by the Federal Deposit Insurance Corporation (“FDIC”). Cash deposits held in accounts at each European Union financial institution are insured up to €0.1 million by the Deposit Guarantee Scheme. The Company maintains its cash in bank deposit accounts that, at times, may exceed the stated insured limits. Any loss incurred or lack of access to uninsured funds could have a significant adverse impact on the Company's financial condition, results of operations and cash flows. Management does not expect any losses on such accounts.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shd w:fill="FFFFFF" w:val="clear"/>
        </w:rPr>
        <w:t>Concentrations</w:t>
      </w:r>
      <w:r>
        <w:rPr>
          <w:rFonts w:ascii="Times New Roman;Times;serif" w:hAnsi="Times New Roman;Times;serif"/>
          <w:b/>
          <w:i/>
          <w:sz w:val="20"/>
        </w:rPr>
        <w:t xml:space="preserve"> of Credit Risk and Off-Balance Sheet Risk</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Financial instruments that potentially subject the Company to credit risk consist principally of cash and cash equivalents. The Company deposits its cash and cash equivalents with major financial institutions; however, at times, deposits may exceed the amount of insurance provided. The Company has not experienced any losses on its deposits since inception. </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The Company generates product revenue primarily from the sale of cryoablation catheters, stylets, esophageal warming balloons, and other accessories (collectively, the “Consumables”) used with the Company’s cryoablation consoles (“Consoles”). The Company sells its products directly to hospitals and medical centers. To a lesser extent, the Company also generates lease revenue from the implied rental of Consoles loaned to customers at no charge.</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The Company accounts for revenue earned from contracts with customers under ASC 606, Revenue from Contracts with Customers (“ASC 606”). The core principle of ASC 606 is that a company should recognize revenue to depict the transfer of promised goods or services to customers in an amount that reflects the consideration to which the company expects to be entitled in exchange for those goods or services. The Company recognizes revenue from sales to customers applying the following five steps:</w:t>
      </w:r>
    </w:p>
    <w:p>
      <w:pPr>
        <w:pStyle w:val="TextBody"/>
        <w:bidi w:val="0"/>
        <w:spacing w:before="120" w:after="0"/>
        <w:ind w:left="0" w:right="0" w:hanging="0"/>
        <w:jc w:val="left"/>
        <w:rPr/>
      </w:pPr>
      <w:r>
        <w:rPr>
          <w:caps w:val="false"/>
          <w:smallCaps w:val="false"/>
        </w:rPr>
        <w:t>•</w:t>
      </w:r>
      <w:r>
        <w:rPr>
          <w:rFonts w:ascii="Times New Roman;Times;serif" w:hAnsi="Times New Roman;Times;serif"/>
          <w:sz w:val="20"/>
        </w:rPr>
        <w:t>Step 1: Identify the contract with the customer.</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Step 2: Identify the performance obligations in the contract.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Step 3: Determine the transaction price.</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Step 4: Allocate the transaction price to the performance obligations in the contract.</w:t>
      </w:r>
    </w:p>
    <w:p>
      <w:pPr>
        <w:pStyle w:val="TextBody"/>
        <w:bidi w:val="0"/>
        <w:spacing w:before="0" w:after="120"/>
        <w:ind w:left="0" w:right="0" w:hanging="0"/>
        <w:jc w:val="left"/>
        <w:rPr/>
      </w:pPr>
      <w:r>
        <w:rPr>
          <w:caps w:val="false"/>
          <w:smallCaps w:val="false"/>
        </w:rPr>
        <w:t>•</w:t>
      </w:r>
      <w:r>
        <w:rPr>
          <w:rFonts w:ascii="Times New Roman;Times;serif" w:hAnsi="Times New Roman;Times;serif"/>
          <w:sz w:val="20"/>
        </w:rPr>
        <w:t>Step 5: Recognize revenue when, or as, the company satisfies a performance obligation.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Company’s customer contracts generally have performance obligations that contain deliverables consisting of the Consumables and may also include Consoles loaned to customers. The Company evaluates each promise within a multiple-performance obligation arrangement to determine whether it represents a distinct performance obligation. The primary performance obligations in the Company’s customer arrangements from which it derives revenue is the sale of the Consumables. </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When the Company loans the Console to the customer, it retains title to the Console at all times and does not require minimum purchase commitments from the customer related to any Consumables. In such cases, the Company invoices the customer for the Consumables based on customer orders received. Over time, the Company expects to recover the cost of the loaned Console through the customer’s continued purchasing and use of additional Consumables. For these reasons, the Company has determined that part of the arrangement consideration for the Consumables is an implied rental payment for use of the Console. Therefore, the Company allocates the arrangement consideration between the lease components (i.e., the Console) and non-lease components (i.e., the Consumables) based on the relative estimated standalone selling price of each distinct performance obligation consistent with ASC 842, Leases and ASC 606. Revenue allocated to the lease components was not material for the periods from January 1, 2024 to July 30, 2024 (Predecessor), from July 31, 2024 to September 30, 2024 (Successor) and the nine months ended September 30, 2023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Revenue from sales to customers of the Consumables is classified as revenue in the Company's condensed consolidated statements of operations and comprehensive income (loss). The delivery of the Consumables are performance obligations satisfied at a point in time, when the control of the goods is transferred to the customer (i.e., FOB Shipping Point). Revenue is recognized when control is transferred to the customer in an amount that reflects the consideration the Company expects to be entitled to in exchange for the product. </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val="false"/>
          <w:i/>
          <w:sz w:val="20"/>
        </w:rPr>
        <w:t xml:space="preserve">Other </w:t>
      </w:r>
      <w:r>
        <w:rPr>
          <w:rFonts w:ascii="Times New Roman;Times;serif" w:hAnsi="Times New Roman;Times;serif"/>
          <w:b w:val="false"/>
          <w:i/>
          <w:sz w:val="20"/>
          <w:shd w:fill="FFFFFF" w:val="clear"/>
        </w:rPr>
        <w:t>Revenue</w:t>
      </w:r>
      <w:r>
        <w:rPr>
          <w:rFonts w:ascii="Times New Roman;Times;serif" w:hAnsi="Times New Roman;Times;serif"/>
          <w:b/>
          <w:i/>
          <w:sz w:val="20"/>
        </w:rPr>
        <w:t xml:space="preserve"> </w:t>
      </w:r>
      <w:r>
        <w:rPr>
          <w:rFonts w:ascii="Times New Roman;Times;serif" w:hAnsi="Times New Roman;Times;serif"/>
          <w:b w:val="false"/>
          <w:i/>
          <w:sz w:val="20"/>
        </w:rPr>
        <w:t>Considerations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is reported net of sales tax. The Company has made the accounting policy election not to recognize a separate performance obligation for the shipment of products to the customer but to account for it as fulfillment cost.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contracts primarily include fixed consideration. The Company only includes estimated variable amounts in the transaction price to the extent it is probable that a significant reversal of cumulative revenue recognized will not occur when the uncertainty associated with the variable consideration is resolved. Customers are generally required to pay within 30 days.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Any incremental costs to obtain contracts are recorded as selling, general and administrative expense as incurred due to the short duration of the Company’s contracts.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does not assess whether promised goods or services are performance obligations if they are deemed immaterial in the context of the contract with the customer. Additionally, the Company does not assess whether a contract has a significant financing component if the expectation at contract inception is that the period between payment by the customer and the transfer of the promised goods or services to the customer will be one year or less.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January 1, 2024 to July 30, 2024 (Predecessor), from July 31, 2024 to September 30, 2024 (Successor), and nine months ended September 30, 2023 (Predecessor), revenue was generated only from European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Inventory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Inventory consists of raw materials, work-in-process, and finished products and is valued at the lower of cost or net realizable value. The method by which that amounts are removed from the inventory is first-in first-out (“FIFO”). Cost may include materials, labor, and manufacturing overhead. The carrying value of inventory is reviewed for potential impairment whenever indicators suggest that the cost of inventory exceeds the carrying value and management adjusts the inventory to its net realizable value. The Company also periodically evaluates inventory for estimated losses from excess quantities and obsolescence and writes down the cost of inventory to net realizable value at the time such determinations are made. Net realizable value is determined using the estimated selling price, in the ordinary course of business, less estimated costs to complete and dispose. Inventory used in research and development activities is expensed when incurred.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Property and equipment are recorded at cost, less accumulated depreciation. Depreciation and amortization are provided using the straight-line method over the estimated useful lives of the related assets, generally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five years, or, in the case of leasehold improvements, over the remaining life of the lease term. Specifically, Consoles had a five-year useful life as of December 31, 2023, and effective on January 1, 2024, the useful life of Consoles was changed to three years to better reflect the estimated periods during which these Consoles will remain in service. The impact of the change in the estimated useful life of Consoles is not material to the Predecessor Periods or Successor Periods, nor to the future remaining life of the Consoles.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and equipment include equipment that is loaned to customers and located at customer premises. The Company retains ownership of the equipment held for evaluation by customers and has the right to remove the equipment if it is not being utilized according to expectations.</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shd w:fill="FFFFFF" w:val="clear"/>
        </w:rPr>
        <w:t>Intangible</w:t>
      </w:r>
      <w:r>
        <w:rPr>
          <w:rFonts w:ascii="Times New Roman;Times;serif" w:hAnsi="Times New Roman;Times;serif"/>
          <w:b/>
          <w:i/>
          <w:sz w:val="20"/>
        </w:rPr>
        <w:t xml:space="preserve"> Assets</w:t>
      </w:r>
    </w:p>
    <w:p>
      <w:pPr>
        <w:pStyle w:val="TextBody"/>
        <w:bidi w:val="0"/>
        <w:spacing w:before="120" w:after="0"/>
        <w:ind w:left="0" w:right="0" w:hanging="0"/>
        <w:jc w:val="both"/>
        <w:rPr>
          <w:rFonts w:ascii="Times New Roman;Times;serif" w:hAnsi="Times New Roman;Times;serif"/>
          <w:sz w:val="20"/>
        </w:rPr>
      </w:pPr>
      <w:r>
        <w:rPr>
          <w:rFonts w:ascii="Times New Roman;Times;serif" w:hAnsi="Times New Roman;Times;serif"/>
          <w:sz w:val="20"/>
        </w:rPr>
        <w:t>Intangible assets with finite useful lives are amortized on a straight-line basis over their estimated useful lives. In determining the estimated useful lives of definite-lived intangibles, the Company considers the nature, competitive position, life cycle position and expected future operating cash flows of the acquired asset, as well as its commitment to support these assets through continued investment and legal infringement protection.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Indefinite-lived intangible assets consist of In-Process Research and Development (“IPR&amp;D”). Intangible assets with indefinite lives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No impairment charges were recorded in the period from July 31, 2024 to September 30, 2024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Legacy Adagio does not have material intangible assets.</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Goodwill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accordance with ASC 350, Intangibles – Goodwill and Other, the Company tests goodwill for impairment at the reporting unit level. The Company has one reporting unit for the goodwill impairment testing purposes. Goodwill is tested for impairment on an annual basis in the fourth quarter, or more frequently if events or changes in circumstances indicate the carrying value of goodwill may not be recoverable (a “triggering event”). On the occurrence of a triggering event, an entity has the option to first assess qualitative factors to determine whether a quantitative impairment test is necessary. If it is more likely than not that goodwill is impaired, the fair value of the reporting unit (the Company) is compared with its carrying value. An impairment charge is recognized for the amount by which the carrying amount exceeds the fair value, provided, the loss recognized cannot exceed the total amount of goodwill. No goodwill impairment charges were recorded in the period from July 31, 2024 to September 30, 2024 (Successor). </w:t>
      </w:r>
    </w:p>
    <w:p>
      <w:pPr>
        <w:pStyle w:val="TextBody"/>
        <w:bidi w:val="0"/>
        <w:spacing w:before="120" w:after="0"/>
        <w:ind w:left="0" w:right="0" w:firstLine="360"/>
        <w:jc w:val="both"/>
        <w:rPr>
          <w:rFonts w:ascii="Times New Roman;Times;serif" w:hAnsi="Times New Roman;Times;serif"/>
          <w:sz w:val="20"/>
        </w:rPr>
      </w:pPr>
      <w:r>
        <w:rPr>
          <w:rFonts w:ascii="Times New Roman;Times;serif" w:hAnsi="Times New Roman;Times;serif"/>
          <w:sz w:val="20"/>
        </w:rPr>
        <w:t>Legacy Adagio does not have goodwill.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Concentrations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had three suppliers each exceed 10.0% of total accounts payable as of September 30, 2024 (Successor), representing 74.5% of accounts payable. As of December 31, 2023 (Predecessor), Legacy Adagio has three suppliers each exceed 10.0% of total accounts payable, representing 71.6% of accounts payable.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five and ten largest suppliers accounted for approximately 59.8% and 80.8%, respectively, of the Company’s expenditures for the periods from January 1, 2024 to July 30, 2024 (Predecessor) and July 31, 2024 to September 30, 2024 (Successor). Legacy Adagio’s five and ten largest suppliers accounted for approximately 39.4% and 50.5%, respectively, of Legacy Adagio’s expenditures for the nine months ended September 30, 2023 (Predecessor).</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shd w:fill="FFFFFF" w:val="clear"/>
        </w:rPr>
        <w:t>Impairment</w:t>
      </w:r>
      <w:r>
        <w:rPr>
          <w:rFonts w:ascii="Times New Roman;Times;serif" w:hAnsi="Times New Roman;Times;serif"/>
          <w:b/>
          <w:i/>
          <w:sz w:val="20"/>
        </w:rPr>
        <w:t xml:space="preserve"> of Long-Lived Assets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reviews long-lived assets, including property and equipment and finite-lived intangible assets, for impairment annually or whenever events or changes in business circumstances indicate that the carrying amount of the assets may not be fully recoverable. An impairment loss is recognized when the asset’s carrying value exceeds the total undiscounted cash flows expected from its use and eventual disposition. The amount of the impairment loss is determined as the excess of the carrying value of the asset over its fair value. For the periods from January 1, 2024 to July 30, 2024 (Predecessor), from July 31, 2024 to September 30, 2024 (Successor), and the nine months ended September 2023 (Predecessor), the Company determined that there was no impairment of long-lived assets.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Foreign Currency </w:t>
      </w:r>
      <w:r>
        <w:rPr>
          <w:rFonts w:ascii="Times New Roman;Times;serif" w:hAnsi="Times New Roman;Times;serif"/>
          <w:b/>
          <w:i/>
          <w:sz w:val="20"/>
          <w:shd w:fill="FFFFFF" w:val="clear"/>
        </w:rPr>
        <w:t>Translation</w:t>
      </w:r>
      <w:r>
        <w:rPr>
          <w:rFonts w:ascii="Times New Roman;Times;serif" w:hAnsi="Times New Roman;Times;serif"/>
          <w:b/>
          <w:i/>
          <w:sz w:val="20"/>
        </w:rPr>
        <w:t xml:space="preserve"> and Transactions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assets, liabilities, and results of operations of Adagio Medical GmbH are recorded using the Euro as the designated functional currency, which is the currency of the primary economic environment in which Adagio Medical GmbH operates. Consequently, transactions in currencies other than Euro are measured and recorded in Euro. Upon consolidation with the Company, its assets and liabilities are translated to U.S. Dollars at currency exchange rates as of the condensed consolidated balance sheet date and its revenues and expenses are translated at the weighted-average currency exchange rates during the applicable reporting periods. Translation adjustments resulting from the process of translating this entity’s financial statements are reported in accumulated other comprehensive income (loss) in the condensed consolidated balance sheets and foreign currency translation adjustment in the condensed consolidated statements of operations and comprehensive income (loss).</w:t>
      </w:r>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Leases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accounts for its lease property under ASC 842. Under this guidance, arrangements meeting the definition of a lease are classified as operating or financing leases, and are recorded on the condensed consolidated balance sheets as both a right-of-use asset and a lease liability, calculated by discounting fixed lease payments over the lease term at the rate implicit in the lease or the Company’s incremental borrowing rate, which is the rate for collateralized borrowings based on the current economic environment, current borrowings, value of leases, currency in which the lease obligation is satisfied, rate sensitivity, lease term and materiality. Lease liabilities are increased by interest and reduced by payments each period, and the right-of-use asset is amortized over the lease term. For operating leases, interest on the lease liability and the amortization of the right-of-use asset results in straight-line rent expense over the lease term. Variable lease expenses are recorded when incurred.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determines whether a contract is or contains a lease at the inception of the contract. A contract will be deemed to be or contain a lease if the contract conveys the right to control and direct the use of identified property, plant, or equipment for a period of time in exchange for consideration. The Company generally must also have the right to obtain substantially all of the economic benefits from the use of the property, plant, and equipment.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uses the implicit rate in the lease agreement, when readily available, or its incremental borrowing rate as the basis to calculate the present value of future lease payments at lease commencement. The incremental borrowing rate represents the rate the Company would have to pay to borrow funds on a collateralize basis over a similar term and in a similar economic environment.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calculating the right-of-use asset and lease liability, the Company elected to combine lease and non-lease components for its real estate leases. The Company adopted the policy election to exclude short-term leases having initial terms of twelve months from the initial recognition provisions of ASC 842. Refer to </w:t>
      </w:r>
      <w:r>
        <w:rPr>
          <w:rFonts w:ascii="Times New Roman;Times;serif" w:hAnsi="Times New Roman;Times;serif"/>
          <w:i/>
          <w:sz w:val="20"/>
        </w:rPr>
        <w:t>Note 11- Operating Leases</w:t>
      </w:r>
      <w:r>
        <w:rPr>
          <w:rFonts w:ascii="Times New Roman;Times;serif" w:hAnsi="Times New Roman;Times;serif"/>
          <w:sz w:val="20"/>
        </w:rPr>
        <w:t xml:space="preserve"> for additional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implied rental agreements for its consoles qualify as operating leases and as such, revenue is recognized in accordance with ASC 842, Leases and ASC 606, Revenue from Contracts with Customers. Revenue allocated to the lease components were not significant for the periods from January 1, 2024 to July 30, 2024 (Predecessor), from July 31, 2024 to September 30, 2024 (Successor), and nine months ended September 30, 2023 (Predecessor).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includes raw materials, direct labor, manufacturing overhead, shipping and receiving costs and other less significant indirect costs related to the production of the Company’s products.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revenue also includes the depreciation expense of Consoles loaned to the customers.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consist primarily of salaries, consulting fees, and employee-related costs (including stock-based compensation) for personnel directly engaged in research and development activities, clinical trial expenses, equipment costs, material costs, allocated rent and facilities costs, and depreciation. Research and development expenses relating to possible future products are expensed as incurred. The Company also accrues and expenses costs for activities associated with clinical trials performed by third parties as incurred.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Selling, General and Administrative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Selling, general and administrative expenses consist primarily of salaries, and employee-related costs (including stock-based compensation) for personnel in executive, finance and other administrative functions, allocated rent and facilities costs, legal fees relating to intellectual property and corporate matters, professional fees for accounting and consulting services, marketing costs and insurance costs. The Company expenses all selling, general, and administrative costs as incurred. The incurred transaction costs are recorded in selling, general, and administrative costs.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Accrued Transaction Costs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Business Combination, Legacy Adagio accrued transaction costs, consisting primarily of legal, accounting and other professional fees, which were incurred and expensed, but not yet paid. The accrued expenses as of December 31, 2023 (Predecessor) are recorded in accrued transaction costs on the condensed consolidated balance sheets.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Fair </w:t>
      </w:r>
      <w:r>
        <w:rPr>
          <w:rFonts w:ascii="Times New Roman;Times;serif" w:hAnsi="Times New Roman;Times;serif"/>
          <w:b/>
          <w:i/>
          <w:sz w:val="20"/>
          <w:shd w:fill="FFFFFF" w:val="clear"/>
        </w:rPr>
        <w:t>Value</w:t>
      </w:r>
      <w:r>
        <w:rPr>
          <w:rFonts w:ascii="Times New Roman;Times;serif" w:hAnsi="Times New Roman;Times;serif"/>
          <w:b/>
          <w:i/>
          <w:sz w:val="20"/>
        </w:rPr>
        <w:t xml:space="preserve"> Measurements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Fair value measurements are based on the premise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following three-tier fair value hierarchy is used in determining the inputs for measuring fair value:</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Level 1-Quoted prices in active markets for identical assets or liabilities.</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Level 2-Observable inputs other than Level 1 prices for similar assets or liabilities that are directly or indirectly observable in the marketplace.</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Level 3-Unobservable inputs which are supported by little or no market activity and consist of financial instruments valued using pricing models, discounted cash flow methodologies or similar techniques, as well as instruments for which the determination of fair value requires significant judgment or estimation.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Financial instruments measured at fair value are classified in their entirety based on the lowest level of input that is significant to the fair value measurement. Management’s assessment of the significance of a particular input to the fair value measurement in its entirety requires judgment and considers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 The fair value of the convertible notes payable and warrant liabilities may be impacted by certain unobservable inputs, most significantly with regard to discount rates, expected volatility and historical and projected performance. Significant changes to these inputs in isolation could result in a significantly different fair value measurement.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Fair Value </w:t>
      </w:r>
      <w:r>
        <w:rPr>
          <w:rFonts w:ascii="Times New Roman;Times;serif" w:hAnsi="Times New Roman;Times;serif"/>
          <w:b/>
          <w:i/>
          <w:sz w:val="20"/>
          <w:shd w:fill="FFFFFF" w:val="clear"/>
        </w:rPr>
        <w:t>Option</w:t>
      </w:r>
      <w:r>
        <w:rPr>
          <w:rFonts w:ascii="Times New Roman;Times;serif" w:hAnsi="Times New Roman;Times;serif"/>
          <w:b/>
          <w:i/>
          <w:sz w:val="20"/>
        </w:rPr>
        <w:t xml:space="preserve"> for Convertible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permitted under ASC 825, Financial Instruments (“ASC 825”), Legacy Adagio elected the fair value option to account for the convertible promissory notes issued in October 2022 (the “October 2022 Convertible Notes”), April 2023 (the “April 2023 Convertible Notes”), November 2023 (the “November 2023 Convertible Notes”), February 2024 (the “February 2024 Convertible Notes”, “2024 Bridge Financing Notes”), May 2024 (the “May 2024 Convertible Notes”), June 2024 (the “June 2024 Convertible Notes”), and July 2024 (the “July 2024 Convertible Notes”) (collectively, “Legacy Adagio Convertible Notes”), and the Company elected the fair value option to account for the Convertible Securities Notes (as defined below), in order to measure those liabilities at amounts that more accurately reflect the current economic environment in which the Legacy Adagio and the Company operated.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convertible promissory notes mentioned above were recorded at fair value at issuance and subsequently were remeasured to fair value at the end of each reporting period. The change in fair value of the convertible promissory notes, excluding amounts related to interest, is recorded in “Convertible notes fair value adjustment”, while amounts related to interest are recorded as interest expense in the consolidated statements of operations and comprehensive income (loss).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a result of applying the fair value option, direct costs and fees related to the issuance of the convertible promissory notes were expensed as incurred (i.e., not recognized as deferred costs). Refer to </w:t>
      </w:r>
      <w:r>
        <w:rPr>
          <w:rFonts w:ascii="Times New Roman;Times;serif" w:hAnsi="Times New Roman;Times;serif"/>
          <w:i/>
          <w:sz w:val="20"/>
        </w:rPr>
        <w:t>Note 4- Fair Value Measurements</w:t>
      </w:r>
      <w:r>
        <w:rPr>
          <w:rFonts w:ascii="Times New Roman;Times;serif" w:hAnsi="Times New Roman;Times;serif"/>
          <w:sz w:val="20"/>
        </w:rPr>
        <w:t xml:space="preserve"> for further detail.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Convert Warrants (as defined below) issued along with the Convertible Securities Notes, and PIPE Pre-funded Warrants (as defined below) issued in PIPE Financing (as defined below), which are classified as liabilities. The Company also has PIPE Base Warrants (as defined below) issued in PIPE Financing, which is classified as equity. Legacy Adagio has certain common stock warrants (“SVB Warrants”) issued along with the SVB Term Loan (as defined below) and pre-funded warrants to purchase Series E preferred stock (“Series E Pre-funded Warrants”), which were both classified as liabilities.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and Legacy Adagio determine the classification of warrants based on an assessment of the warrant’s specific terms and applicable authoritative guidance in ASC 480 and ASC 815. The assessment considers whether the warrants are freestanding financial instruments and meet all of the requirements for equity classification, including whether the warrants are indexed to the Company’s own shares of common stock,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until settlement. Changes in the estimated fair value of the liability-classified warrants are recognized in warrant liabilities fair value adjustment in the condensed consolidated statements of operations and comprehensive income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a liability at the fair value of the instrument on the reclassification date. Derivative instrument liabilities are classified in the condensed consolidated balance sheets as current or non-current based on whether or not net-cash settlement of the derivative instrument could be required within twelve months of the condensed consolidated balance sheet date.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See </w:t>
      </w:r>
      <w:r>
        <w:rPr>
          <w:rFonts w:ascii="Times New Roman;Times;serif" w:hAnsi="Times New Roman;Times;serif"/>
          <w:i/>
          <w:sz w:val="20"/>
        </w:rPr>
        <w:t>Note 10- Warrants</w:t>
      </w:r>
      <w:r>
        <w:rPr>
          <w:rFonts w:ascii="Times New Roman;Times;serif" w:hAnsi="Times New Roman;Times;serif"/>
          <w:sz w:val="20"/>
        </w:rPr>
        <w:t xml:space="preserve"> for additional information related to the warrants.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Term Loan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accounts for the Predecessor term loan at residual value on the date of issuance. The expected life of the term loan is the contractual term ending on the maturity date. The Company classifies the term loan as current liabilities within twelve months of the maturity date or when otherwise due. Interest expense is recognized in the condensed consolidated statements of operations and comprehensive income (loss) over the contractual term of the loan. See </w:t>
      </w:r>
      <w:r>
        <w:rPr>
          <w:rFonts w:ascii="Times New Roman;Times;serif" w:hAnsi="Times New Roman;Times;serif"/>
          <w:i/>
          <w:sz w:val="20"/>
        </w:rPr>
        <w:t>Note 9- Debt</w:t>
      </w:r>
      <w:r>
        <w:rPr>
          <w:rFonts w:ascii="Times New Roman;Times;serif" w:hAnsi="Times New Roman;Times;serif"/>
          <w:sz w:val="20"/>
        </w:rPr>
        <w:t xml:space="preserve"> for additional information related to the term loan.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Preferred Stock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records the Legacy Adagio convertible preferred stock at fair value on the dates of issuance, net of issuance costs. Upon the occurrence of certain events that are outside the Legacy Adagio’s control, including a deemed liquidation event, holders of the convertible preferred stock can cause redemption for cash. Each share of preferred stock would automatically be converted into shares of Legacy Adagio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Adagio’s common stock in a firm commitment, underwritten public offering registered under the Securities Act of 1933, as amended, with aggregate offering proceeds to Legacy Adagio (before deduction for underwriters’ discounts and expenses relating to the issuance) of at least $75.0 million and a public offering price per share equal to at least $67.83 (subject to adjustments for stock dividends, splits, combinations and similar events).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the Legacy Adagio preferred stock is considered to be contingently redeemable, the Legacy Adagio preferred stock has been classified outside of permanent equity.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recognizes compensation expense for all stock-based awards issued to employees and non-employees based on the estimated grant-date fair value, which is recognized as expense on a straight-line basis over the requisite service period. The Company has elected to recognize forfeitures as they occur. The fair value of stock options is determined using the Black-Scholes option-pricing model. The determination of fair value for stock-based awards on the date of grant using an option-pricing model requires management to make certain assumptions including expected volatility, expected term, risk-free interest rate and expected dividends in addition to the Company’s common stock valuation. Refer to </w:t>
      </w:r>
      <w:r>
        <w:rPr>
          <w:rFonts w:ascii="Times New Roman;Times;serif" w:hAnsi="Times New Roman;Times;serif"/>
          <w:i/>
          <w:sz w:val="20"/>
        </w:rPr>
        <w:t>Note 14- Stock-Based Compensation</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Due to the absence of an active market for Legacy Adagio common stock, the Company utilized methodologies, approaches, and assumptions consistent with the American Institute of Certified Public Accountants Audit and Accounting Practice Aid Series: Valuation of Privately Held Company Equity Securities Issued as Compensation to estimate the fair value of Legacy Adagio common stock. In determining the exercise prices for options granted, the Company considered the fair value of the common stock as of the grant date. The fair value of the common stock is determined based upon a variety of factors, including the Company’s financial position, historical performance and operating results, the Company’s stage of development, the progress of the Company’s research and development programs, the prices at which the Company sold its convertible preferred stock, the superior rights, preferences and privileges of the Company’s convertible preferred stock relative to its common stock, external market conditions affecting the medical technologies industry, the lack of marketability of the Legacy Adagio common stock, prospects of a transaction and market performance of peer companies. Significant changes to the key assumptions underlying the factors used could result in different fair values of Legacy Adagio at each valuation date.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taxes are recorded in accordance with ASC 740, Income Taxes (“ASC 740”), which provides for deferred taxes using an asset and liability approach. The Company recognizes deferred tax assets and liabilities for the expected future tax consequences of events that have been included in the condensed consolidated financial statements. Deferred tax assets and liabilities are determined based on the difference between the condensed consolidated financial statement and tax bases of assets and liabilities using enacted tax rates in effect for the year in which the differences are expected to reverse and include Net Operating Loss (“NOL”) carryforwards and Research and Development (“R&amp;D”) tax credit carryforwards. Valuation allowances are provided if, based upon the weight of available evidence, it is more likely than not that some or all of the deferred tax assets will not be realized.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ASU 2019-12, Simplifying the Accounting for Income Taxes was adopted in the first quarter of 2021 and the Company has recorded franchise taxes not based on income outside of income tax expense. The Company’s practice is to recognize interest and/or penalties related to income tax matters in income tax expense. The Company had no accrual for interest and penalties on its condensed consolidated balance sheets and has not recognized interest and/or penalties in the condensed consolidated statements of operations and comprehensive income (loss) for the periods from January 1, 2024 to July 30, 2024 (Predecessor), July 31, 2024 to September 30, 2024 (Successor), and the nine months ended September 30, 2023 (Predecessor),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To date, there have been no interest or penalties charged in relation to the unrecognized tax benefits. Refer to </w:t>
      </w:r>
      <w:r>
        <w:rPr>
          <w:rFonts w:ascii="Times New Roman;Times;serif" w:hAnsi="Times New Roman;Times;serif"/>
          <w:i/>
          <w:sz w:val="20"/>
        </w:rPr>
        <w:t>Note 16- Income Taxes</w:t>
      </w:r>
      <w:r>
        <w:rPr>
          <w:rFonts w:ascii="Times New Roman;Times;serif" w:hAnsi="Times New Roman;Times;serif"/>
          <w:sz w:val="20"/>
        </w:rPr>
        <w:t xml:space="preserve"> for additional details.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3 – Forward Merger</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13, 2024, ARYA, ListCo, ARYA Merger Sub, and Company Merger Sub, entered into a Business Combination Agreement, which was amended by the Consent and Amendment No. 1 to the Business Combination Agreement, dated as of June 25, 2024.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Prior to the annual general meeting, holders of 2,707,555 shares of ARYA’s redeemable Class A ordinary shares exercised their right to redeem such shares for cash at a redemption price of approximately $11.56 per share, for an aggregate redemption amount of approximately $31.3 million.</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Description of the Transaction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Business Combination,</w:t>
      </w:r>
    </w:p>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1"/>
        <w:gridCol w:w="9860"/>
      </w:tblGrid>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Each issued and outstanding Class A ordinary share of ARYA, par value $0.0001</w:t>
            </w:r>
            <w:r>
              <w:rPr>
                <w:caps w:val="false"/>
                <w:smallCaps w:val="false"/>
              </w:rPr>
              <w:t xml:space="preserve"> </w:t>
            </w:r>
            <w:r>
              <w:rPr>
                <w:rFonts w:ascii="Times New Roman;Times;serif" w:hAnsi="Times New Roman;Times;serif"/>
                <w:b w:val="false"/>
                <w:i w:val="false"/>
                <w:caps w:val="false"/>
                <w:smallCaps w:val="false"/>
                <w:sz w:val="20"/>
              </w:rPr>
              <w:t>per share, were automatically cancelled, extinguished and converted into one</w:t>
            </w:r>
            <w:r>
              <w:rPr>
                <w:caps w:val="false"/>
                <w:smallCaps w:val="false"/>
              </w:rPr>
              <w:t xml:space="preserve"> </w:t>
            </w:r>
            <w:r>
              <w:rPr>
                <w:rFonts w:ascii="Times New Roman;Times;serif" w:hAnsi="Times New Roman;Times;serif"/>
                <w:b w:val="false"/>
                <w:i w:val="false"/>
                <w:caps w:val="false"/>
                <w:smallCaps w:val="false"/>
                <w:sz w:val="20"/>
              </w:rPr>
              <w:t>share of common stock, par value $0.0001</w:t>
            </w:r>
            <w:r>
              <w:rPr>
                <w:caps w:val="false"/>
                <w:smallCaps w:val="false"/>
              </w:rPr>
              <w:t xml:space="preserve"> </w:t>
            </w:r>
            <w:r>
              <w:rPr>
                <w:rFonts w:ascii="Times New Roman;Times;serif" w:hAnsi="Times New Roman;Times;serif"/>
                <w:b w:val="false"/>
                <w:i w:val="false"/>
                <w:caps w:val="false"/>
                <w:smallCaps w:val="false"/>
                <w:sz w:val="20"/>
              </w:rPr>
              <w:t xml:space="preserve">per share, of the Company (“Company’s Common Stock”). </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19"/>
        <w:gridCol w:w="9862"/>
      </w:tblGrid>
      <w:tr>
        <w:trPr/>
        <w:tc>
          <w:tcPr>
            <w:tcW w:w="124" w:type="dxa"/>
            <w:tcBorders/>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6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Each issued and outstanding Class B ordinary share of ARYA, par value $0.0001</w:t>
            </w:r>
            <w:r>
              <w:rPr>
                <w:caps w:val="false"/>
                <w:smallCaps w:val="false"/>
              </w:rPr>
              <w:t xml:space="preserve"> </w:t>
            </w:r>
            <w:r>
              <w:rPr>
                <w:rFonts w:ascii="Times New Roman;Times;serif" w:hAnsi="Times New Roman;Times;serif"/>
                <w:b w:val="false"/>
                <w:i w:val="false"/>
                <w:caps w:val="false"/>
                <w:smallCaps w:val="false"/>
                <w:sz w:val="20"/>
              </w:rPr>
              <w:t>per share, are automatically cancelled, extinguished and converted into the right to receive one</w:t>
            </w:r>
            <w:r>
              <w:rPr>
                <w:caps w:val="false"/>
                <w:smallCaps w:val="false"/>
              </w:rPr>
              <w:t xml:space="preserve"> </w:t>
            </w:r>
            <w:r>
              <w:rPr>
                <w:rFonts w:ascii="Times New Roman;Times;serif" w:hAnsi="Times New Roman;Times;serif"/>
                <w:b w:val="false"/>
                <w:i w:val="false"/>
                <w:caps w:val="false"/>
                <w:smallCaps w:val="false"/>
                <w:sz w:val="20"/>
              </w:rPr>
              <w:t>share of the Company’s Common Stock, other than (i) 1,000,000</w:t>
            </w:r>
            <w:r>
              <w:rPr>
                <w:caps w:val="false"/>
                <w:smallCaps w:val="false"/>
              </w:rPr>
              <w:t xml:space="preserve"> </w:t>
            </w:r>
            <w:r>
              <w:rPr>
                <w:rFonts w:ascii="Times New Roman;Times;serif" w:hAnsi="Times New Roman;Times;serif"/>
                <w:b w:val="false"/>
                <w:i w:val="false"/>
                <w:caps w:val="false"/>
                <w:smallCaps w:val="false"/>
                <w:sz w:val="20"/>
              </w:rPr>
              <w:t>Class B ordinary shares that are forfeited by the Sponsor, and issued to the PIPE Investors (as defined below), including the Perceptive PIPE Investor (as defined below); (ii) 1,147,500</w:t>
            </w:r>
            <w:r>
              <w:rPr>
                <w:caps w:val="false"/>
                <w:smallCaps w:val="false"/>
              </w:rPr>
              <w:t xml:space="preserve"> </w:t>
            </w:r>
            <w:r>
              <w:rPr>
                <w:rFonts w:ascii="Times New Roman;Times;serif" w:hAnsi="Times New Roman;Times;serif"/>
                <w:b w:val="false"/>
                <w:i w:val="false"/>
                <w:caps w:val="false"/>
                <w:smallCaps w:val="false"/>
                <w:sz w:val="20"/>
              </w:rPr>
              <w:t>shares of the Company’s Common Stock issuable to the Sponsor are subject to share trigger price vesting and will vest if, prior to the tenth anniversary of the Closing, the post-closing share price of the Company equals or exceeds $24.00</w:t>
            </w:r>
            <w:r>
              <w:rPr>
                <w:caps w:val="false"/>
                <w:smallCaps w:val="false"/>
              </w:rPr>
              <w:t xml:space="preserve"> </w:t>
            </w:r>
            <w:r>
              <w:rPr>
                <w:rFonts w:ascii="Times New Roman;Times;serif" w:hAnsi="Times New Roman;Times;serif"/>
                <w:b w:val="false"/>
                <w:i w:val="false"/>
                <w:caps w:val="false"/>
                <w:smallCaps w:val="false"/>
                <w:sz w:val="20"/>
              </w:rPr>
              <w:t>per share for any 20</w:t>
            </w:r>
            <w:r>
              <w:rPr>
                <w:caps w:val="false"/>
                <w:smallCaps w:val="false"/>
              </w:rPr>
              <w:t xml:space="preserve"> </w:t>
            </w:r>
            <w:r>
              <w:rPr>
                <w:rFonts w:ascii="Times New Roman;Times;serif" w:hAnsi="Times New Roman;Times;serif"/>
                <w:b w:val="false"/>
                <w:i w:val="false"/>
                <w:caps w:val="false"/>
                <w:smallCaps w:val="false"/>
                <w:sz w:val="20"/>
              </w:rPr>
              <w:t>trading days within any 30</w:t>
            </w:r>
            <w:r>
              <w:rPr>
                <w:caps w:val="false"/>
                <w:smallCaps w:val="false"/>
              </w:rPr>
              <w:t xml:space="preserve"> </w:t>
            </w:r>
            <w:r>
              <w:rPr>
                <w:rFonts w:ascii="Times New Roman;Times;serif" w:hAnsi="Times New Roman;Times;serif"/>
                <w:b w:val="false"/>
                <w:i w:val="false"/>
                <w:caps w:val="false"/>
                <w:smallCaps w:val="false"/>
                <w:sz w:val="20"/>
              </w:rPr>
              <w:t>trading day period (the “Share Trigger Price Vesting”).</w:t>
            </w:r>
          </w:p>
        </w:tc>
      </w:tr>
    </w:tbl>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of Legacy Adagio (other than the Series E Pre-funded Warrants) was terminated in accordance with the terms of the applicable warrant agreement.</w:t>
            </w:r>
          </w:p>
        </w:tc>
      </w:tr>
    </w:tbl>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3"/>
        <w:gridCol w:w="9858"/>
      </w:tblGrid>
      <w:tr>
        <w:trPr/>
        <w:tc>
          <w:tcPr>
            <w:tcW w:w="124" w:type="dxa"/>
            <w:tcBorders/>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5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issued and outstanding convertible promissory notes of Legacy Adagio (excluding the Bridge Financing Notes and the 2024 Bridge Financing Notes, as defined below), including any accrued and unpaid interest thereon, are automatically and fully converted into shares of Legacy Adagio common stock in accordance with the terms of such convertible promissory notes, and such convertible promissory notes are cancelled, satisfied, extinguished, discharged and retired in connection with such conversion.</w:t>
            </w:r>
          </w:p>
        </w:tc>
      </w:tr>
    </w:tbl>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30"/>
        <w:gridCol w:w="9851"/>
      </w:tblGrid>
      <w:tr>
        <w:trPr/>
        <w:tc>
          <w:tcPr>
            <w:tcW w:w="124" w:type="dxa"/>
            <w:tcBorders/>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Each share of Legacy Adagio preferred stock, par value $0.001</w:t>
            </w:r>
            <w:r>
              <w:rPr>
                <w:caps w:val="false"/>
                <w:smallCaps w:val="false"/>
              </w:rPr>
              <w:t xml:space="preserve"> </w:t>
            </w:r>
            <w:r>
              <w:rPr>
                <w:rFonts w:ascii="Times New Roman;Times;serif" w:hAnsi="Times New Roman;Times;serif"/>
                <w:b w:val="false"/>
                <w:i w:val="false"/>
                <w:caps w:val="false"/>
                <w:smallCaps w:val="false"/>
                <w:sz w:val="20"/>
              </w:rPr>
              <w:t>per share, that is issued and outstanding are automatically converted into shares of Legacy Adagio common stock on a one-to-one basis.</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186"/>
        <w:gridCol w:w="9895"/>
      </w:tblGrid>
      <w:tr>
        <w:trPr/>
        <w:tc>
          <w:tcPr>
            <w:tcW w:w="124" w:type="dxa"/>
            <w:tcBorders/>
            <w:vAlign w:val="center"/>
          </w:tcPr>
          <w:p>
            <w:pPr>
              <w:pStyle w:val="TableContents"/>
              <w:bidi w:val="0"/>
              <w:spacing w:before="0" w:after="283"/>
              <w:jc w:val="left"/>
              <w:rPr>
                <w:sz w:val="4"/>
                <w:szCs w:val="4"/>
              </w:rPr>
            </w:pPr>
            <w:r>
              <w:rPr>
                <w:sz w:val="4"/>
                <w:szCs w:val="4"/>
              </w:rPr>
            </w:r>
          </w:p>
        </w:tc>
        <w:tc>
          <w:tcPr>
            <w:tcW w:w="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89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issued and outstanding shares of Legacy Adagio common stock including Series E Pre-funded Warrants that had been issued and outstanding are automatically cancelled and extinguished and converted into shares of the Company’s Common Stock based on the exchange ratio set forth in the Business Combination Agreement.</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issued, outstanding and unexercised option to purchase Legacy Adagio common stock (“Legacy Adagio Option”) had been vested prior to the Closing with an aggregate value that exceeds the aggregate exercise price of such Legacy Adagio Option (each an “In-the-Money Adagio Options”) are cancelled and extinguished in exchange for options to purchase shares of the Company’s Common Stock, and each issued and outstanding Legacy Adagio equity award (other than an In-the-Money Adagio Options) are automatically cancelled and extinguished for no consideration, and each holder thereof will cease to have any rights with respect thereto.</w:t>
            </w:r>
          </w:p>
        </w:tc>
      </w:tr>
    </w:tbl>
    <w:p>
      <w:pPr>
        <w:pStyle w:val="TextBody"/>
        <w:bidi w:val="0"/>
        <w:spacing w:before="0" w:after="0"/>
        <w:ind w:left="0" w:right="0" w:firstLine="36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63"/>
        <w:gridCol w:w="9818"/>
      </w:tblGrid>
      <w:tr>
        <w:trPr/>
        <w:tc>
          <w:tcPr>
            <w:tcW w:w="124" w:type="dxa"/>
            <w:tcBorders/>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818"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$7.0</w:t>
            </w:r>
            <w:r>
              <w:rPr>
                <w:caps w:val="false"/>
                <w:smallCaps w:val="false"/>
              </w:rPr>
              <w:t xml:space="preserve"> </w:t>
            </w:r>
            <w:r>
              <w:rPr>
                <w:rFonts w:ascii="Times New Roman;Times;serif" w:hAnsi="Times New Roman;Times;serif"/>
                <w:b w:val="false"/>
                <w:i w:val="false"/>
                <w:caps w:val="false"/>
                <w:smallCaps w:val="false"/>
                <w:sz w:val="20"/>
              </w:rPr>
              <w:t>million of 2024 Bridge Financing Notes is converted into Convertible Securities Notes and Convert Warrants (as defined below).</w:t>
            </w:r>
          </w:p>
        </w:tc>
      </w:tr>
    </w:tbl>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subscription agreements, the PIPE Investors have committed financing valued at $64.5 million (the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PIPE Financing included:</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the Company’s Common Stock (the “Base Warrants”).</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Commitments by certain Other PIPE Investors that were shareholders of ARYA to not to redeem 247,700 Class A shares of ARYA, resulting in the issuance of 405,772 shares of Company’s Common Stock and 343,756 Base Warrants.</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Agreements to purchase 1,036,666 shares of Company’s Common Stock, 1,440,000 Base Warrants, and 670,000 PIPE Pre-funded Warrants for a cash investment of $12 million in the Company.</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Contribution of total $29.5 million in April 2023 Convertible Notes, November 2023 Convertible Notes, May 2024 Convertible Notes, June 2024 Convertible Notes, and July 2024 convertible Notes (collectively, “Bridge Financing Notes”), and accrued interest of $1.7 million by the Perceptive PIPE Investor.</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An additional cash investment of $15.9 million by the Perceptive PIPE Investor.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return for the investment specified in (iv) and (v) above, the Perceptive PIPE Investor received 6,622,959 shares of Company’s Common Stock and 5,445,069 Base Warrants.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Further, 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will be convertible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2024 Bridge Financing Notes into Convertible Securities Notes and Convert Warrants at Closing, as further described in </w:t>
      </w:r>
      <w:r>
        <w:rPr>
          <w:rFonts w:ascii="Times New Roman;Times;serif" w:hAnsi="Times New Roman;Times;serif"/>
          <w:i/>
          <w:sz w:val="20"/>
        </w:rPr>
        <w:t>Note 9- Debt</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Acquisition Method of Accounting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Business Combination has been accounted for as a forward-merger in accordance with U.S. GAAP. Under this method of accounting, ListCo has been treated as the “accounting acquirer” and Legacy Adagio as the “accounting acquiree” for financial reporting purposes. Accordingly, for accounting purposes, the Business Combination has been accounted for using the acquisition method of accounting. The acquisition method of accounting is based on ASC 805 and uses the fair value concepts defined in ASC 820. ASC 805 requires, among other things, that assets acquired and liabilities assumed be recognized at their fair values as of the acquisition date, with limited exceptions per ASC 805-20-30-12 through 30-23. As such, under the acquisition method of accounting, ListCo’s assets and liabilities retain their carrying amounts, and the assets and liabilities of Legacy Adagio, including any intangible assets recognized in connection with the Business Combination, are recorded at their fair values as of the acquisition date, except as otherwise required. The excess of the purchase price over the estimated fair values of net assets acquired is recorded as goodwill.</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194" w:name="Tc_ERIUp9ftuEKsh4g4XJkU4g_24_2"/>
      <w:bookmarkStart w:id="1195" w:name="Tc_kbZsNMn-ekWFrpSWzlP_dA_24_0"/>
      <w:bookmarkStart w:id="1196" w:name="Tc_27yI0diMoUeMRHpAI9OuhQ_22_2"/>
      <w:bookmarkStart w:id="1197" w:name="Tc_9W87pr0_Ck2sSKCFq0HGeA_22_0"/>
      <w:bookmarkStart w:id="1198" w:name="Tc_Z6iiY_VSvESV0hgQsJ2HCQ_21_0"/>
      <w:bookmarkStart w:id="1199" w:name="Tc_28FlVe1NXUOp3VqCYATj5A_20_0"/>
      <w:bookmarkStart w:id="1200" w:name="Tc_kzTA_HRDtUSKgHowTGgx2Q_19_0"/>
      <w:bookmarkStart w:id="1201" w:name="Tc_vl8myorxJka9H-U281IrUA_18_0"/>
      <w:bookmarkStart w:id="1202" w:name="Tc_O57fPOS9q02ecgwS-MEFAQ_17_0"/>
      <w:bookmarkStart w:id="1203" w:name="Tc_nIZhLKrl2Eij_ga3pT_ohw_16_0"/>
      <w:bookmarkStart w:id="1204" w:name="Tc_lM6RlCVdOk-mhOh9EfRcFw_15_2"/>
      <w:bookmarkStart w:id="1205" w:name="Tc_T-5fT3M4O0OEnwPPTFHMIg_15_0"/>
      <w:bookmarkStart w:id="1206" w:name="Tc_kfqBDyHKEk-Nd_QsvpAMkA_14_0"/>
      <w:bookmarkStart w:id="1207" w:name="Tc_rIoUVI4MXEaKxdXLbJ1NEQ_12_2"/>
      <w:bookmarkStart w:id="1208" w:name="Tc_11Fk7CxFtEe6oiqGrBDOwQ_12_0"/>
      <w:bookmarkStart w:id="1209" w:name="Tc_SQ3k5VSP2ESltCkxZMAVUw_11_0"/>
      <w:bookmarkStart w:id="1210" w:name="Tc_QZp1OeCuXEO37QM6NiSWDQ_10_0"/>
      <w:bookmarkStart w:id="1211" w:name="Tc_lT5ayY5lTkifcxCrVR6OLg_9_0"/>
      <w:bookmarkStart w:id="1212" w:name="Tc_bgl3k3f47UK0jxmZCnUrzw_8_0"/>
      <w:bookmarkStart w:id="1213" w:name="Tc_vGODILoUo0iOP4l35VjfXA_7_0"/>
      <w:bookmarkStart w:id="1214" w:name="Tc_dgWvOZlQNE6UgFS1bFCbxg_6_0"/>
      <w:bookmarkStart w:id="1215" w:name="Tc_FZOK9b68H0iuE2Her7Rzdw_5_0"/>
      <w:bookmarkStart w:id="1216" w:name="Tc_9xntt9sobkmmFOY_8EEpQA_4_0"/>
      <w:bookmarkStart w:id="1217" w:name="Tc_vKYqYw6BikCkUIcM4h9DdQ_3_0"/>
      <w:bookmarkStart w:id="1218" w:name="Tc_0miYEtNw5kyfkxMHEu-NzQ_2_2"/>
      <w:bookmarkStart w:id="1219" w:name="Tc_4cQv6aWNbEeB7q5Qfkdk8g_2_0"/>
      <w:bookmarkStart w:id="1220" w:name="Tc_az0J0q7mfkqGr9CI53Oqvw_1_0"/>
      <w:bookmarkStart w:id="1221" w:name="_6c48935b_ef46_42a9_9b34_a1b991f1e1b8"/>
      <w:bookmarkStart w:id="1222" w:name="OLE_LINK2"/>
      <w:bookmarkStart w:id="1223" w:name="Tc_WycIr4oUkEeWrQjV7d96_Q_10_1"/>
      <w:bookmarkStart w:id="1224" w:name="Tc_A1gitQ2a0kaYvx-PHIDqIg_10_0"/>
      <w:bookmarkStart w:id="1225" w:name="Tc_Qfbw0oDO2Uqymgn-VsT-eg_9_1"/>
      <w:bookmarkStart w:id="1226" w:name="Tc_2rA080x7p0mFpORX8haSbA_9_0"/>
      <w:bookmarkStart w:id="1227" w:name="Tc_-h5Tc_BvFkGJf1JkaUaqyg_8_1"/>
      <w:bookmarkStart w:id="1228" w:name="Tc_HsEAJbY8UE6q4Fl72pt8ow_8_0"/>
      <w:bookmarkStart w:id="1229" w:name="Tc_VXCqtccKFEi9rrBnqz4dxQ_7_0"/>
      <w:bookmarkStart w:id="1230" w:name="Tc_g9AXdlcr-UOWWO7azuCCqQ_5_1"/>
      <w:bookmarkStart w:id="1231" w:name="Tc_mxhMbCuDVEOJalQA9fZedw_5_0"/>
      <w:bookmarkStart w:id="1232" w:name="Tc_PJEeSX4da0qES71OZkZxEw_4_1"/>
      <w:bookmarkStart w:id="1233" w:name="Tc_Me8mawLp0E6zTtcjVsgQ-A_4_0"/>
      <w:bookmarkStart w:id="1234" w:name="Tc_dWBVlHAVuEaRgqSGZwKZFA_3_0"/>
      <w:bookmarkStart w:id="1235" w:name="Tc_gk9jZKXClEGhuPv_CH0qMQ_2_0"/>
      <w:bookmarkStart w:id="1236" w:name="Tc_2q5RfGKiykqqN6KOqfQMCg_1_0"/>
      <w:bookmarkStart w:id="1237" w:name="_2f449bbd_a8ad_41bc_b739_ec9868a42fa6"/>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r>
        <w:rPr>
          <w:rFonts w:ascii="Times New Roman;Times;serif" w:hAnsi="Times New Roman;Times;serif"/>
          <w:sz w:val="20"/>
        </w:rPr>
        <w:t xml:space="preserve">Under the acquisition method of accounting, ListCo was considered to be the accounting acquirer based on the terms of the Business Combination. Upon consummation of the Business Combination, the cash on hand resulted in the equity at risk being considered insufficient for Legacy Adagio to finance its activities without additional subordinated financial support. Therefore, Legacy Adagio was considered a Variable Interest Entity (“VIE”) and the primary beneficiary of Legacy Adagio was treated as the accounting acquirer.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ListCo is the primary beneficiary of Legacy Adagio. ListCo will hold 100% of the voting rights of Legacy Adagio and will control the Board of Directors of Legacy Adagio. Therefore, ListCo will have the sole power to control the significant activities that will impact Legacy Adagio’s economic performance. ListCo’s equity interest in Legacy Adagio will result in the right to receive benefits and the obligation to absorb the losses of Legacy Adagio that could be significant to ListCo.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is a summary of the purchase price calculation (unaudited, in thousands except share and per share data):</w:t>
      </w:r>
    </w:p>
    <w:p>
      <w:pPr>
        <w:pStyle w:val="TextBody"/>
        <w:bidi w:val="0"/>
        <w:spacing w:before="0" w:after="0"/>
        <w:ind w:left="0" w:right="0" w:firstLine="360"/>
        <w:jc w:val="both"/>
        <w:rPr/>
      </w:pPr>
      <w:r>
        <w:rPr/>
        <w:t>​</w:t>
      </w:r>
    </w:p>
    <w:tbl>
      <w:tblPr>
        <w:tblW w:w="9258" w:type="dxa"/>
        <w:jc w:val="left"/>
        <w:tblInd w:w="0" w:type="dxa"/>
        <w:tblLayout w:type="fixed"/>
        <w:tblCellMar>
          <w:top w:w="0" w:type="dxa"/>
          <w:left w:w="0" w:type="dxa"/>
          <w:bottom w:w="0" w:type="dxa"/>
          <w:right w:w="0" w:type="dxa"/>
        </w:tblCellMar>
      </w:tblPr>
      <w:tblGrid>
        <w:gridCol w:w="8071"/>
        <w:gridCol w:w="211"/>
        <w:gridCol w:w="976"/>
      </w:tblGrid>
      <w:tr>
        <w:trPr/>
        <w:tc>
          <w:tcPr>
            <w:tcW w:w="80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19760" cy="175260"/>
                      <wp:effectExtent l="0" t="0" r="0" b="0"/>
                      <wp:wrapNone/>
                      <wp:docPr id="92" name="Frame92"/>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the Company’s Common Stock issued</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6,771,769</w:t>
            </w:r>
          </w:p>
        </w:tc>
      </w:tr>
      <w:tr>
        <w:trPr/>
        <w:tc>
          <w:tcPr>
            <w:tcW w:w="8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replacement stock options granted to Legacy Adagio’s option holders by the Company</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shares and stock options</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6,779,356</w:t>
            </w:r>
          </w:p>
        </w:tc>
      </w:tr>
      <w:tr>
        <w:trPr/>
        <w:tc>
          <w:tcPr>
            <w:tcW w:w="8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Multiplied by the Company’s Common Stock price at the Closing</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45,015</w:t>
            </w:r>
          </w:p>
        </w:tc>
      </w:tr>
      <w:tr>
        <w:trPr/>
        <w:tc>
          <w:tcPr>
            <w:tcW w:w="807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PIPE Base Warrants issued in lieu of settling Bridge Financing Notes</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3,540,000</w:t>
            </w:r>
          </w:p>
        </w:tc>
      </w:tr>
      <w:tr>
        <w:trPr/>
        <w:tc>
          <w:tcPr>
            <w:tcW w:w="8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Multiplied by estimated value of PIPE Base Warrants at the Closing</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80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fair value of PIPE Base Warrants issued in lieu of settling Bridge Financing Notes</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8,531</w:t>
            </w:r>
          </w:p>
        </w:tc>
      </w:tr>
      <w:tr>
        <w:trPr/>
        <w:tc>
          <w:tcPr>
            <w:tcW w:w="80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purchase price</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53,546</w:t>
            </w:r>
          </w:p>
        </w:tc>
      </w:tr>
    </w:tbl>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allocation of the purchase price was as follows (unaudited, in thousands):</w:t>
      </w:r>
    </w:p>
    <w:p>
      <w:pPr>
        <w:pStyle w:val="TextBody"/>
        <w:bidi w:val="0"/>
        <w:spacing w:before="0" w:after="0"/>
        <w:ind w:left="0" w:right="0" w:firstLine="360"/>
        <w:jc w:val="both"/>
        <w:rPr/>
      </w:pPr>
      <w:r>
        <w:rPr/>
        <w:t>​</w:t>
      </w:r>
    </w:p>
    <w:tbl>
      <w:tblPr>
        <w:tblW w:w="4262" w:type="dxa"/>
        <w:jc w:val="left"/>
        <w:tblInd w:w="0" w:type="dxa"/>
        <w:tblLayout w:type="fixed"/>
        <w:tblCellMar>
          <w:top w:w="0" w:type="dxa"/>
          <w:left w:w="0" w:type="dxa"/>
          <w:bottom w:w="0" w:type="dxa"/>
          <w:right w:w="0" w:type="dxa"/>
        </w:tblCellMar>
      </w:tblPr>
      <w:tblGrid>
        <w:gridCol w:w="3151"/>
        <w:gridCol w:w="109"/>
        <w:gridCol w:w="211"/>
        <w:gridCol w:w="791"/>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00885" cy="175260"/>
                      <wp:effectExtent l="0" t="0" r="0" b="0"/>
                      <wp:wrapNone/>
                      <wp:docPr id="93" name="Frame93"/>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02285" cy="175260"/>
                      <wp:effectExtent l="0" t="0" r="0" b="0"/>
                      <wp:wrapNone/>
                      <wp:docPr id="96" name="Frame9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 Acquired: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4,077</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26,200</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44,291</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 assets acquired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77,252</w:t>
            </w:r>
          </w:p>
        </w:tc>
      </w:tr>
      <w:tr>
        <w:trPr/>
        <w:tc>
          <w:tcPr>
            <w:tcW w:w="31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Assumed: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10,103</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3,556</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current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payable, long-term</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5,951</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long-term</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23,706</w:t>
            </w:r>
          </w:p>
        </w:tc>
      </w:tr>
      <w:tr>
        <w:trPr/>
        <w:tc>
          <w:tcPr>
            <w:tcW w:w="31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total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53,546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238" w:name="Tc_WghM7pM330OQc1SvSHabbQ_4_0"/>
      <w:bookmarkStart w:id="1239" w:name="Tc_F4nyYzJpPkin2HgWX4aYBA_3_10"/>
      <w:bookmarkStart w:id="1240" w:name="Tc_vLcAQkk1NUGVhncVen7tvg_3_7"/>
      <w:bookmarkStart w:id="1241" w:name="Tc_K6ZN3qR3gkuOX9TfCgtqaA_3_4"/>
      <w:bookmarkStart w:id="1242" w:name="Tc_tSlpYcKP902u8uRlFXnbSg_3_1"/>
      <w:bookmarkStart w:id="1243" w:name="Tc_ZZoTev4JbEuTZIbzP4EwhQ_3_0"/>
      <w:bookmarkStart w:id="1244" w:name="Tc_GXkMHjPa7UiBwkcg67ZlsQ_2_10"/>
      <w:bookmarkStart w:id="1245" w:name="Tc_72jdxaffbEmUiQLEZCFi4g_2_7"/>
      <w:bookmarkStart w:id="1246" w:name="Tc_ca43o0AbWkOb-1ZRSn3HBg_2_4"/>
      <w:bookmarkStart w:id="1247" w:name="Tc_f_sB1zqvDkWB-VGs79J1gQ_2_1"/>
      <w:bookmarkStart w:id="1248" w:name="Tc_HiL5oWMVEUmFE-6YQtnNCg_1_7"/>
      <w:bookmarkStart w:id="1249" w:name="Tc_ChXVqtuqFUiopb3TlxNoxA_1_1"/>
      <w:bookmarkStart w:id="1250" w:name="Tc_kzA9_au-AE-TJcfRQ6RDXw_11_5"/>
      <w:bookmarkStart w:id="1251" w:name="Tc_ntr0D8uy30i7lVDmWMzwdg_11_3"/>
      <w:bookmarkStart w:id="1252" w:name="Tc_Nu8j0PJ1ukG_c2JycylkMA_11_0"/>
      <w:bookmarkStart w:id="1253" w:name="Tc_iWLldJiv2U-X2VtswQEySQ_10_6"/>
      <w:bookmarkStart w:id="1254" w:name="Tc_nHeNhMzXOEmBFaNhWrtOCg_10_2"/>
      <w:bookmarkStart w:id="1255" w:name="Tc_tiq4NThJ7kmx1rqQGFH8dA_10_0"/>
      <w:bookmarkStart w:id="1256" w:name="Tc_cb6WOZPsF0yaZ_zdLcGcuw_9_6"/>
      <w:bookmarkStart w:id="1257" w:name="Tc_NDlzqk6b0EiUy6eD0wJ9Dw_9_0"/>
      <w:bookmarkStart w:id="1258" w:name="Tc_JLHIDtmYVkKIFjfdcudByw_8_6"/>
      <w:bookmarkStart w:id="1259" w:name="Tc_Zped6aNuZEawy37ESdY5PQ_8_2"/>
      <w:bookmarkStart w:id="1260" w:name="Tc_xRVSl1tVU0iJZ447kDUUnQ_8_0"/>
      <w:bookmarkStart w:id="1261" w:name="Tc_08sdyxAH9ku7CDRYSOYJ0A_7_6"/>
      <w:bookmarkStart w:id="1262" w:name="Tc_eH21LJDjRkSyrwtU-Gkehg_7_4"/>
      <w:bookmarkStart w:id="1263" w:name="Tc_JmvGI90Gek2BJx2AZ2dKBg_7_2"/>
      <w:bookmarkStart w:id="1264" w:name="Tc_V9HeMZsHOkaT9XZMNbtOwQ_7_0"/>
      <w:bookmarkStart w:id="1265" w:name="Tc_1QLDbZfl8E-PcOajvOBKrQ_6_6"/>
      <w:bookmarkStart w:id="1266" w:name="Tc_L1EAOtEpu0OUqeTEDdyO2A_6_2"/>
      <w:bookmarkStart w:id="1267" w:name="Tc_g8Z-iawr_ECpslCoVQ7wsg_6_0"/>
      <w:bookmarkStart w:id="1268" w:name="Tc_3uwYTSG0vkiVdx9yaoEChw_5_6"/>
      <w:bookmarkStart w:id="1269" w:name="Tc_NzX4BereY06S4FjFEakEjw_5_2"/>
      <w:bookmarkStart w:id="1270" w:name="Tc_MdIe4plWC0Go5N_hkDnWmQ_5_0"/>
      <w:bookmarkStart w:id="1271" w:name="Tc_alAft3HPoE6GSHfVxRarfw_4_4"/>
      <w:bookmarkStart w:id="1272" w:name="Tc_WNoDfhhFnEmwjVr_5Lbp5w_4_2"/>
      <w:bookmarkStart w:id="1273" w:name="Tc_VNG55dAy3kydfK_Hgl3Z8Q_4_1"/>
      <w:bookmarkStart w:id="1274" w:name="Tc_jruiGR3Fyk-Ggex1yii0TQ_4_0"/>
      <w:bookmarkStart w:id="1275" w:name="Tc_UxUPHS0q7Ee14pFYH1iE5g_3_5"/>
      <w:bookmarkStart w:id="1276" w:name="Tc_yfw6JtS61E67OjDeHfpA5A_3_3"/>
      <w:bookmarkStart w:id="1277" w:name="Tc_mkXVr0nasUq9ATR4uXrmHg_3_2"/>
      <w:bookmarkStart w:id="1278" w:name="Tc_YAkdOfub-UqdTS8CkvfuGw_3_1"/>
      <w:bookmarkStart w:id="1279" w:name="Tc_cdBnJgYdtkG6Z2HF1Bmt5A_3_0"/>
      <w:bookmarkStart w:id="1280" w:name="Tc_9JFLtPgoNU2ggXKR4uA44Q_2_6"/>
      <w:bookmarkStart w:id="1281" w:name="Tc_OyERC2nFMUCrjpC4vFXRLw_2_4"/>
      <w:bookmarkStart w:id="1282" w:name="Tc_0nOYuu5RNUSpIhZkKjPG3A_2_2"/>
      <w:bookmarkStart w:id="1283" w:name="Tc_O-y8WRU7ZEC0f5lz7v3YDA_2_1"/>
      <w:bookmarkStart w:id="1284" w:name="Tc_MrOqVRvhhkWzqEP_-coeXw_1_6"/>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r>
        <w:rPr>
          <w:rFonts w:ascii="Times New Roman;Times;serif" w:hAnsi="Times New Roman;Times;serif"/>
          <w:sz w:val="20"/>
        </w:rPr>
        <w:t>Goodwill represents the excess of the total purchase consideration over the fair value of the underlying net assets and captures the value attributable to future economic benefits arising from future technology development beyond the existing pipeline of identified IPR&amp;D projects.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acquired intangible assets consist of developed technology and IPR&amp;D, which were valued at $26.2 million at the Closing using the cost approach. This approach considers an asset’s replacement cost (direct and indirect) adjusted, where applicable, for obsolescence to estimate the replacement cost of the asset’s current service potential (i.e., remaining useful life and cash-flow generating capacity). Obsolescence for an acquired intangible asset may include functional (technological) obsolescence and economic (external) obsolescence. The Company has determined the estimated useful life of 5 years for developed technology based on consideration of the economic benefit of the asset. Refer to </w:t>
      </w:r>
      <w:r>
        <w:rPr>
          <w:rFonts w:ascii="Times New Roman;Times;serif" w:hAnsi="Times New Roman;Times;serif"/>
          <w:i/>
          <w:sz w:val="20"/>
        </w:rPr>
        <w:t>Note 7- Goodwill and Intangible Assets</w:t>
      </w:r>
      <w:r>
        <w:rPr>
          <w:rFonts w:ascii="Times New Roman;Times;serif" w:hAnsi="Times New Roman;Times;serif"/>
          <w:sz w:val="20"/>
        </w:rPr>
        <w:t xml:space="preserve"> for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Business Combination, the transactions that occurred concurrently with the Closing Date of the Business Combination were reflected “on the line”. “On the line” describes those transactions triggered by the consummation of the Business Combination that are not recognized in the consolidated financial statements of the Predecessor nor the Successor as they are not directly attributable to either period but instead were contingent on the Business Combination.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number of shares of common stock issued and amounts recorded on the line within stockholders’ equity (deficit) are reflected below to arrive at the opening consolidated balance sheet of the Successor.</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5501"/>
        <w:gridCol w:w="1252"/>
        <w:gridCol w:w="1091"/>
        <w:gridCol w:w="211"/>
        <w:gridCol w:w="676"/>
        <w:gridCol w:w="211"/>
        <w:gridCol w:w="1263"/>
      </w:tblGrid>
      <w:tr>
        <w:trPr/>
        <w:tc>
          <w:tcPr>
            <w:tcW w:w="5501" w:type="dxa"/>
            <w:tcBorders/>
            <w:vAlign w:val="center"/>
          </w:tcPr>
          <w:p>
            <w:pPr>
              <w:pStyle w:val="TableContents"/>
              <w:bidi w:val="0"/>
              <w:spacing w:before="0" w:after="0"/>
              <w:ind w:left="0" w:right="0" w:hanging="0"/>
              <w:jc w:val="left"/>
              <w:rPr/>
            </w:pPr>
            <w:r>
              <w:rPr/>
              <w:t>​</w:t>
            </w:r>
          </w:p>
        </w:tc>
        <w:tc>
          <w:tcPr>
            <w:tcW w:w="1252" w:type="dxa"/>
            <w:tcBorders/>
            <w:vAlign w:val="center"/>
          </w:tcPr>
          <w:p>
            <w:pPr>
              <w:pStyle w:val="TableContents"/>
              <w:bidi w:val="0"/>
              <w:spacing w:before="0" w:after="0"/>
              <w:ind w:left="0" w:right="0" w:hanging="0"/>
              <w:jc w:val="left"/>
              <w:rPr/>
            </w:pPr>
            <w:r>
              <w:rPr/>
              <w:t>​</w:t>
            </w:r>
          </w:p>
        </w:tc>
        <w:tc>
          <w:tcPr>
            <w:tcW w:w="10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63" w:type="dxa"/>
            <w:tcBorders/>
            <w:vAlign w:val="center"/>
          </w:tcPr>
          <w:p>
            <w:pPr>
              <w:pStyle w:val="TableContents"/>
              <w:bidi w:val="0"/>
              <w:spacing w:before="0" w:after="0"/>
              <w:ind w:left="0" w:right="0" w:hanging="0"/>
              <w:jc w:val="left"/>
              <w:rPr/>
            </w:pPr>
            <w:r>
              <w:rPr/>
              <w:t>​</w:t>
            </w:r>
          </w:p>
        </w:tc>
      </w:tr>
      <w:tr>
        <w:trPr/>
        <w:tc>
          <w:tcPr>
            <w:tcW w:w="5501" w:type="dxa"/>
            <w:tcBorders/>
            <w:vAlign w:val="center"/>
          </w:tcPr>
          <w:p>
            <w:pPr>
              <w:pStyle w:val="TableContents"/>
              <w:bidi w:val="0"/>
              <w:spacing w:before="0" w:after="0"/>
              <w:ind w:left="0" w:right="0" w:hanging="0"/>
              <w:jc w:val="left"/>
              <w:rPr/>
            </w:pPr>
            <w:r>
              <w:rPr/>
              <w:t>​</w:t>
            </w:r>
          </w:p>
        </w:tc>
        <w:tc>
          <w:tcPr>
            <w:tcW w:w="1252" w:type="dxa"/>
            <w:tcBorders/>
            <w:vAlign w:val="center"/>
          </w:tcPr>
          <w:p>
            <w:pPr>
              <w:pStyle w:val="TableContents"/>
              <w:bidi w:val="0"/>
              <w:spacing w:before="0" w:after="0"/>
              <w:ind w:left="0" w:right="0" w:hanging="0"/>
              <w:jc w:val="center"/>
              <w:rPr/>
            </w:pPr>
            <w:r>
              <w:rPr/>
              <w:t>​</w:t>
            </w:r>
          </w:p>
        </w:tc>
        <w:tc>
          <w:tcPr>
            <w:tcW w:w="109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263"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r>
      <w:tr>
        <w:trPr/>
        <w:tc>
          <w:tcPr>
            <w:tcW w:w="5501" w:type="dxa"/>
            <w:tcBorders/>
            <w:vAlign w:val="center"/>
          </w:tcPr>
          <w:p>
            <w:pPr>
              <w:pStyle w:val="TableContents"/>
              <w:bidi w:val="0"/>
              <w:spacing w:before="0" w:after="0"/>
              <w:ind w:left="0" w:right="0" w:hanging="0"/>
              <w:jc w:val="left"/>
              <w:rPr/>
            </w:pPr>
            <w:r>
              <w:rPr/>
              <w:t>​</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 Shares</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Common Stock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APIC</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Deficit</w:t>
            </w:r>
          </w:p>
        </w:tc>
      </w:tr>
      <w:tr>
        <w:trPr/>
        <w:tc>
          <w:tcPr>
            <w:tcW w:w="55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ListCo closing equity as of July 30, 2024 </w:t>
            </w:r>
          </w:p>
        </w:tc>
        <w:tc>
          <w:tcPr>
            <w:tcW w:w="1252" w:type="dxa"/>
            <w:tcBorders/>
            <w:shd w:fill="CCEEFF" w:val="clear"/>
            <w:vAlign w:val="center"/>
          </w:tcPr>
          <w:p>
            <w:pPr>
              <w:pStyle w:val="TableContents"/>
              <w:bidi w:val="0"/>
              <w:spacing w:before="0" w:after="0"/>
              <w:ind w:left="0" w:right="0" w:hanging="0"/>
              <w:jc w:val="right"/>
              <w:rPr/>
            </w:pPr>
            <w:r>
              <w:rPr/>
              <w:t>—</w:t>
            </w:r>
          </w:p>
        </w:tc>
        <w:tc>
          <w:tcPr>
            <w:tcW w:w="109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w:t>
            </w:r>
          </w:p>
        </w:tc>
      </w:tr>
      <w:tr>
        <w:trPr/>
        <w:tc>
          <w:tcPr>
            <w:tcW w:w="5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 carried over from ARYA</w:t>
            </w:r>
          </w:p>
        </w:tc>
        <w:tc>
          <w:tcPr>
            <w:tcW w:w="1252" w:type="dxa"/>
            <w:tcBorders/>
            <w:vAlign w:val="center"/>
          </w:tcPr>
          <w:p>
            <w:pPr>
              <w:pStyle w:val="TableContents"/>
              <w:bidi w:val="0"/>
              <w:spacing w:before="0" w:after="0"/>
              <w:ind w:left="0" w:right="0" w:hanging="0"/>
              <w:jc w:val="right"/>
              <w:rPr/>
            </w:pPr>
            <w:r>
              <w:rPr/>
              <w:t>—</w:t>
            </w:r>
          </w:p>
        </w:tc>
        <w:tc>
          <w:tcPr>
            <w:tcW w:w="10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12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(14,089)</w:t>
            </w:r>
          </w:p>
        </w:tc>
      </w:tr>
      <w:tr>
        <w:trPr/>
        <w:tc>
          <w:tcPr>
            <w:tcW w:w="5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 of cash proceeds in PIPE Financing</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3,287,018</w:t>
            </w:r>
          </w:p>
        </w:tc>
        <w:tc>
          <w:tcPr>
            <w:tcW w:w="109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23,433</w:t>
            </w:r>
          </w:p>
        </w:tc>
        <w:tc>
          <w:tcPr>
            <w:tcW w:w="211" w:type="dxa"/>
            <w:tcBorders/>
            <w:shd w:fill="CCEEFF" w:val="clear"/>
            <w:vAlign w:val="center"/>
          </w:tcPr>
          <w:p>
            <w:pPr>
              <w:pStyle w:val="TableContents"/>
              <w:bidi w:val="0"/>
              <w:spacing w:before="0" w:after="0"/>
              <w:ind w:left="0" w:right="0" w:hanging="0"/>
              <w:jc w:val="center"/>
              <w:rPr/>
            </w:pPr>
            <w:r>
              <w:rPr/>
              <w:t>​</w:t>
            </w:r>
          </w:p>
        </w:tc>
        <w:tc>
          <w:tcPr>
            <w:tcW w:w="1263" w:type="dxa"/>
            <w:tcBorders/>
            <w:shd w:fill="CCEEFF" w:val="clear"/>
            <w:vAlign w:val="center"/>
          </w:tcPr>
          <w:p>
            <w:pPr>
              <w:pStyle w:val="TableContents"/>
              <w:bidi w:val="0"/>
              <w:spacing w:before="0" w:after="0"/>
              <w:ind w:left="0" w:right="0" w:hanging="0"/>
              <w:jc w:val="right"/>
              <w:rPr/>
            </w:pPr>
            <w:r>
              <w:rPr/>
              <w:t>—</w:t>
            </w:r>
          </w:p>
        </w:tc>
      </w:tr>
      <w:tr>
        <w:trPr/>
        <w:tc>
          <w:tcPr>
            <w:tcW w:w="5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ARYA convertible promissory Notes</w:t>
            </w:r>
          </w:p>
        </w:tc>
        <w:tc>
          <w:tcPr>
            <w:tcW w:w="12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355,100</w:t>
            </w:r>
          </w:p>
        </w:tc>
        <w:tc>
          <w:tcPr>
            <w:tcW w:w="10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w:t>
            </w:r>
          </w:p>
        </w:tc>
        <w:tc>
          <w:tcPr>
            <w:tcW w:w="211" w:type="dxa"/>
            <w:tcBorders/>
            <w:vAlign w:val="center"/>
          </w:tcPr>
          <w:p>
            <w:pPr>
              <w:pStyle w:val="TableContents"/>
              <w:bidi w:val="0"/>
              <w:spacing w:before="0" w:after="0"/>
              <w:ind w:left="0" w:right="0" w:hanging="0"/>
              <w:jc w:val="center"/>
              <w:rPr/>
            </w:pPr>
            <w:r>
              <w:rPr/>
              <w:t>​</w:t>
            </w:r>
          </w:p>
        </w:tc>
        <w:tc>
          <w:tcPr>
            <w:tcW w:w="1263" w:type="dxa"/>
            <w:tcBorders/>
            <w:vAlign w:val="center"/>
          </w:tcPr>
          <w:p>
            <w:pPr>
              <w:pStyle w:val="TableContents"/>
              <w:bidi w:val="0"/>
              <w:spacing w:before="0" w:after="0"/>
              <w:ind w:left="0" w:right="0" w:hanging="0"/>
              <w:jc w:val="right"/>
              <w:rPr/>
            </w:pPr>
            <w:r>
              <w:rPr/>
              <w:t>—</w:t>
            </w:r>
          </w:p>
        </w:tc>
      </w:tr>
      <w:tr>
        <w:trPr/>
        <w:tc>
          <w:tcPr>
            <w:tcW w:w="5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ARYA Class A ordinary shares and Class B ordinary shares</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2,089,000</w:t>
            </w:r>
          </w:p>
        </w:tc>
        <w:tc>
          <w:tcPr>
            <w:tcW w:w="109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263" w:type="dxa"/>
            <w:tcBorders/>
            <w:shd w:fill="CCEEFF" w:val="clear"/>
            <w:vAlign w:val="center"/>
          </w:tcPr>
          <w:p>
            <w:pPr>
              <w:pStyle w:val="TableContents"/>
              <w:bidi w:val="0"/>
              <w:spacing w:before="0" w:after="0"/>
              <w:ind w:left="0" w:right="0" w:hanging="0"/>
              <w:jc w:val="right"/>
              <w:rPr/>
            </w:pPr>
            <w:r>
              <w:rPr/>
              <w:t>—</w:t>
            </w:r>
          </w:p>
        </w:tc>
      </w:tr>
      <w:tr>
        <w:trPr/>
        <w:tc>
          <w:tcPr>
            <w:tcW w:w="5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Class A ordinary shares subject to redemption</w:t>
            </w:r>
          </w:p>
        </w:tc>
        <w:tc>
          <w:tcPr>
            <w:tcW w:w="12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123,520</w:t>
            </w:r>
          </w:p>
        </w:tc>
        <w:tc>
          <w:tcPr>
            <w:tcW w:w="10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w:t>
            </w:r>
          </w:p>
        </w:tc>
        <w:tc>
          <w:tcPr>
            <w:tcW w:w="211" w:type="dxa"/>
            <w:tcBorders/>
            <w:vAlign w:val="center"/>
          </w:tcPr>
          <w:p>
            <w:pPr>
              <w:pStyle w:val="TableContents"/>
              <w:bidi w:val="0"/>
              <w:spacing w:before="0" w:after="0"/>
              <w:ind w:left="0" w:right="0" w:hanging="0"/>
              <w:jc w:val="center"/>
              <w:rPr/>
            </w:pPr>
            <w:r>
              <w:rPr/>
              <w:t>​</w:t>
            </w:r>
          </w:p>
        </w:tc>
        <w:tc>
          <w:tcPr>
            <w:tcW w:w="1263" w:type="dxa"/>
            <w:tcBorders/>
            <w:vAlign w:val="center"/>
          </w:tcPr>
          <w:p>
            <w:pPr>
              <w:pStyle w:val="TableContents"/>
              <w:bidi w:val="0"/>
              <w:spacing w:before="0" w:after="0"/>
              <w:ind w:left="0" w:right="0" w:hanging="0"/>
              <w:jc w:val="right"/>
              <w:rPr/>
            </w:pPr>
            <w:r>
              <w:rPr/>
              <w:t>—</w:t>
            </w:r>
          </w:p>
        </w:tc>
      </w:tr>
      <w:tr>
        <w:trPr/>
        <w:tc>
          <w:tcPr>
            <w:tcW w:w="5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for acquisition of Legacy Adagio</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6,771,769</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53,546</w:t>
            </w:r>
          </w:p>
        </w:tc>
        <w:tc>
          <w:tcPr>
            <w:tcW w:w="211" w:type="dxa"/>
            <w:tcBorders/>
            <w:shd w:fill="CCEEFF" w:val="clear"/>
            <w:vAlign w:val="center"/>
          </w:tcPr>
          <w:p>
            <w:pPr>
              <w:pStyle w:val="TableContents"/>
              <w:bidi w:val="0"/>
              <w:spacing w:before="0" w:after="0"/>
              <w:ind w:left="0" w:right="0" w:hanging="0"/>
              <w:jc w:val="center"/>
              <w:rPr/>
            </w:pPr>
            <w:r>
              <w:rPr/>
              <w:t>​</w:t>
            </w:r>
          </w:p>
        </w:tc>
        <w:tc>
          <w:tcPr>
            <w:tcW w:w="1263" w:type="dxa"/>
            <w:tcBorders/>
            <w:shd w:fill="CCEEFF" w:val="clear"/>
            <w:vAlign w:val="center"/>
          </w:tcPr>
          <w:p>
            <w:pPr>
              <w:pStyle w:val="TableContents"/>
              <w:bidi w:val="0"/>
              <w:spacing w:before="0" w:after="0"/>
              <w:ind w:left="0" w:right="0" w:hanging="0"/>
              <w:jc w:val="right"/>
              <w:rPr/>
            </w:pPr>
            <w:r>
              <w:rPr/>
              <w:t>—</w:t>
            </w:r>
          </w:p>
        </w:tc>
      </w:tr>
      <w:tr>
        <w:trPr/>
        <w:tc>
          <w:tcPr>
            <w:tcW w:w="55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shares issued and reclassification of Class A ordinary shares subject to non-redemption agreements and open market subscription agreements</w:t>
            </w:r>
          </w:p>
        </w:tc>
        <w:tc>
          <w:tcPr>
            <w:tcW w:w="12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761,229</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5,166</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5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Successor’s opening equity as of July 31, 2024 (Successor)</w:t>
            </w:r>
          </w:p>
        </w:tc>
        <w:tc>
          <w:tcPr>
            <w:tcW w:w="12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13,387,636</w:t>
            </w:r>
          </w:p>
        </w:tc>
        <w:tc>
          <w:tcPr>
            <w:tcW w:w="10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89,786</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(16,823)</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conversion of the ARYA’s equity outstanding prior to the Closing Date, for each issued and outstanding Class B ordinary share of ARYA at par value $0.0001 per share, a total of 1,147,500 shares (“Earn-out Shares”) of the Company’s Common Stock are issuable to the Sponsor, which are subject to vesting based on a share price trigger. These shares will vest if, within ten years of the Closing, the share price of the Company’s Common Stock reaches or exceeds $24.00 per share for at least 20 trading days within a 30-day period. As of the reporting date, the vesting of these shares was not considered probable.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Pro Forma Financial Information (Unaudited)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unaudited pro forma financial information summarizes the results of operations for the Company as though the Business Combination had occurred on January 1, 2023 and has been derived from the historical consolidated financial statements of the Company’s Predecessor Periods and the Successor Period. The Successor and Predecessor Periods for the periods three months ended September 30, 2024; three months ended September 30, 2023; nine months ended September 30, 2024 and nine months ended September 30, 2023 have been combined. The unaudited pro forma financial information has been presented for illustrative purposes only and is not necessarily indicative of results of operations that would have been achieved had the acquisition taken place on the date indicated, or the future consolidated results of operations of the Company.</w:t>
      </w:r>
    </w:p>
    <w:p>
      <w:pPr>
        <w:pStyle w:val="TextBody"/>
        <w:bidi w:val="0"/>
        <w:spacing w:before="0" w:after="0"/>
        <w:ind w:left="0" w:right="0" w:firstLine="360"/>
        <w:jc w:val="both"/>
        <w:rPr/>
      </w:pPr>
      <w:r>
        <w:rPr/>
        <w:t>​</w:t>
      </w:r>
    </w:p>
    <w:tbl>
      <w:tblPr>
        <w:tblW w:w="6581" w:type="dxa"/>
        <w:jc w:val="left"/>
        <w:tblInd w:w="0" w:type="dxa"/>
        <w:tblLayout w:type="fixed"/>
        <w:tblCellMar>
          <w:top w:w="0" w:type="dxa"/>
          <w:left w:w="0" w:type="dxa"/>
          <w:bottom w:w="0" w:type="dxa"/>
          <w:right w:w="0" w:type="dxa"/>
        </w:tblCellMar>
      </w:tblPr>
      <w:tblGrid>
        <w:gridCol w:w="841"/>
        <w:gridCol w:w="246"/>
        <w:gridCol w:w="929"/>
        <w:gridCol w:w="380"/>
        <w:gridCol w:w="246"/>
        <w:gridCol w:w="929"/>
        <w:gridCol w:w="326"/>
        <w:gridCol w:w="237"/>
        <w:gridCol w:w="896"/>
        <w:gridCol w:w="367"/>
        <w:gridCol w:w="237"/>
        <w:gridCol w:w="947"/>
      </w:tblGrid>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34035" cy="175260"/>
                      <wp:effectExtent l="0" t="0" r="0" b="0"/>
                      <wp:wrapNone/>
                      <wp:docPr id="97" name="Frame9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56210" cy="175260"/>
                      <wp:effectExtent l="0" t="0" r="0" b="0"/>
                      <wp:wrapNone/>
                      <wp:docPr id="98" name="Frame98"/>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89915" cy="175260"/>
                      <wp:effectExtent l="0" t="0" r="0" b="0"/>
                      <wp:wrapNone/>
                      <wp:docPr id="99" name="Frame99"/>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41300" cy="175260"/>
                      <wp:effectExtent l="0" t="0" r="0" b="0"/>
                      <wp:wrapNone/>
                      <wp:docPr id="100" name="Frame100"/>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6210" cy="175260"/>
                      <wp:effectExtent l="0" t="0" r="0" b="0"/>
                      <wp:wrapNone/>
                      <wp:docPr id="101" name="Frame101"/>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89915" cy="175260"/>
                      <wp:effectExtent l="0" t="0" r="0" b="0"/>
                      <wp:wrapNone/>
                      <wp:docPr id="102" name="Frame102"/>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50495" cy="175260"/>
                      <wp:effectExtent l="0" t="0" r="0" b="0"/>
                      <wp:wrapNone/>
                      <wp:docPr id="104" name="Frame104"/>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68960" cy="175260"/>
                      <wp:effectExtent l="0" t="0" r="0" b="0"/>
                      <wp:wrapNone/>
                      <wp:docPr id="105" name="Frame10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33045" cy="175260"/>
                      <wp:effectExtent l="0" t="0" r="0" b="0"/>
                      <wp:wrapNone/>
                      <wp:docPr id="106" name="Frame106"/>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50495" cy="175260"/>
                      <wp:effectExtent l="0" t="0" r="0" b="0"/>
                      <wp:wrapNone/>
                      <wp:docPr id="107" name="Frame10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01345" cy="175260"/>
                      <wp:effectExtent l="0" t="0" r="0" b="0"/>
                      <wp:wrapNone/>
                      <wp:docPr id="108" name="Frame108"/>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1" w:type="dxa"/>
            <w:tcBorders/>
            <w:vAlign w:val="center"/>
          </w:tcPr>
          <w:p>
            <w:pPr>
              <w:pStyle w:val="TableContents"/>
              <w:bidi w:val="0"/>
              <w:spacing w:before="0" w:after="0"/>
              <w:ind w:left="0" w:right="0" w:hanging="0"/>
              <w:jc w:val="left"/>
              <w:rPr/>
            </w:pPr>
            <w:r>
              <w:rPr/>
              <w:t>​</w:t>
            </w:r>
          </w:p>
        </w:tc>
        <w:tc>
          <w:tcPr>
            <w:tcW w:w="27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September 30, </w:t>
            </w:r>
          </w:p>
        </w:tc>
        <w:tc>
          <w:tcPr>
            <w:tcW w:w="326" w:type="dxa"/>
            <w:tcBorders/>
            <w:vAlign w:val="center"/>
          </w:tcPr>
          <w:p>
            <w:pPr>
              <w:pStyle w:val="TableContents"/>
              <w:bidi w:val="0"/>
              <w:spacing w:before="0" w:after="0"/>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September 30, </w:t>
            </w:r>
          </w:p>
        </w:tc>
      </w:tr>
      <w:tr>
        <w:trPr/>
        <w:tc>
          <w:tcPr>
            <w:tcW w:w="841" w:type="dxa"/>
            <w:tcBorders/>
            <w:vAlign w:val="center"/>
          </w:tcPr>
          <w:p>
            <w:pPr>
              <w:pStyle w:val="TableContents"/>
              <w:bidi w:val="0"/>
              <w:spacing w:before="0" w:after="0"/>
              <w:ind w:left="0" w:right="0" w:hanging="0"/>
              <w:jc w:val="left"/>
              <w:rPr/>
            </w:pPr>
            <w:r>
              <w:rPr/>
              <w:t>​</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0" w:type="dxa"/>
            <w:tcBorders/>
            <w:vAlign w:val="center"/>
          </w:tcPr>
          <w:p>
            <w:pPr>
              <w:pStyle w:val="TableContents"/>
              <w:bidi w:val="0"/>
              <w:spacing w:before="0" w:after="0"/>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7" w:type="dxa"/>
            <w:tcBorders/>
            <w:vAlign w:val="center"/>
          </w:tcPr>
          <w:p>
            <w:pPr>
              <w:pStyle w:val="TableContents"/>
              <w:bidi w:val="0"/>
              <w:spacing w:before="0" w:after="0"/>
              <w:ind w:left="0" w:right="0" w:hanging="0"/>
              <w:jc w:val="left"/>
              <w:rPr/>
            </w:pPr>
            <w:r>
              <w:rPr/>
              <w:t>    </w:t>
            </w:r>
          </w:p>
        </w:tc>
        <w:tc>
          <w:tcPr>
            <w:tcW w:w="11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185 </w:t>
            </w:r>
          </w:p>
        </w:tc>
        <w:tc>
          <w:tcPr>
            <w:tcW w:w="380" w:type="dxa"/>
            <w:tcBorders/>
            <w:shd w:fill="CCEEFF" w:val="clear"/>
            <w:vAlign w:val="center"/>
          </w:tcPr>
          <w:p>
            <w:pPr>
              <w:pStyle w:val="TableContents"/>
              <w:bidi w:val="0"/>
              <w:spacing w:before="0" w:after="0"/>
              <w:ind w:left="0" w:right="0" w:hanging="0"/>
              <w:jc w:val="left"/>
              <w:rPr/>
            </w:pPr>
            <w:r>
              <w:rPr/>
              <w:t>​</w:t>
            </w:r>
          </w:p>
        </w:tc>
        <w:tc>
          <w:tcPr>
            <w:tcW w:w="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 </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367"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222 </w:t>
            </w:r>
          </w:p>
        </w:tc>
      </w:tr>
      <w:tr>
        <w:trPr/>
        <w:tc>
          <w:tcPr>
            <w:tcW w:w="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24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(12,971)</w:t>
            </w:r>
          </w:p>
        </w:tc>
        <w:tc>
          <w:tcPr>
            <w:tcW w:w="380" w:type="dxa"/>
            <w:tcBorders/>
            <w:vAlign w:val="center"/>
          </w:tcPr>
          <w:p>
            <w:pPr>
              <w:pStyle w:val="TableContents"/>
              <w:bidi w:val="0"/>
              <w:spacing w:before="0" w:after="0"/>
              <w:ind w:left="0" w:right="0" w:hanging="0"/>
              <w:jc w:val="left"/>
              <w:rPr/>
            </w:pPr>
            <w:r>
              <w:rPr/>
              <w:t>​</w:t>
            </w:r>
          </w:p>
        </w:tc>
        <w:tc>
          <w:tcPr>
            <w:tcW w:w="246" w:type="dxa"/>
            <w:tcBorders/>
            <w:vAlign w:val="center"/>
          </w:tcPr>
          <w:p>
            <w:pPr>
              <w:pStyle w:val="TableContents"/>
              <w:bidi w:val="0"/>
              <w:spacing w:before="0" w:after="0"/>
              <w:ind w:left="0" w:right="0" w:hanging="0"/>
              <w:jc w:val="left"/>
              <w:rPr/>
            </w:pPr>
            <w:r>
              <w:rPr/>
              <w:t>​</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(10,655)</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(28,987)</w:t>
            </w:r>
          </w:p>
        </w:tc>
        <w:tc>
          <w:tcPr>
            <w:tcW w:w="367"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(26,113)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unaudited pro forma financial information for the three and nine months ended September 30, 2024 and 2023 combines the historical results of Adagio Medical, Inc., ARYA, and ListCo for the three and nine months ended September 30, 2024 and 2023, assuming that the companies were combined as of January 1, 2023.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unaudited pro forma results reflect the adjustments for recording the step-up amortization adjustments for the fair value of intangible assets acquired, reversal of change in fair value of Legacy Adagio Convertible Notes and warrants, reversal of interest on Legacy Adagio Convertible Notes, reversal of interest on Legacy Adagio’s SVB Term Loan, and recording interest on Convertible Securities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bookmarkStart w:id="1285" w:name="Tc_J21GQLERo02WltfXSE53qQ_15_5"/>
      <w:bookmarkStart w:id="1286" w:name="Tc_2hkpPMyO2EiBS-2pb5gXTQ_15_4"/>
      <w:bookmarkStart w:id="1287" w:name="Tc_0_X-4fmTK0ahzJDPIPtfEQ_15_3"/>
      <w:bookmarkStart w:id="1288" w:name="Tc_GHboL79BY0Ci-6f1pYSifA_15_2"/>
      <w:bookmarkStart w:id="1289" w:name="Tc_hoUiCQ_-sEW7i-BLqyQ7Yw_15_1"/>
      <w:bookmarkStart w:id="1290" w:name="Tc_C9ICuL0IZ0-XtPl3moS1CQ_15_0"/>
      <w:bookmarkStart w:id="1291" w:name="Tc_rhbAjRPJNEiMa_4_hjGJSA_14_5"/>
      <w:bookmarkStart w:id="1292" w:name="Tc_TTjplLPEfE6lnJ2C8Azy7A_14_4"/>
      <w:bookmarkStart w:id="1293" w:name="Tc_9XgKOFSytUaWWcA-q-QEXA_14_3"/>
      <w:bookmarkStart w:id="1294" w:name="Tc_m7oaKX6cEU6xfg87cEDvxQ_14_2"/>
      <w:bookmarkStart w:id="1295" w:name="Tc_C8y6uxqGEEyzerOcoaxuOA_14_1"/>
      <w:bookmarkStart w:id="1296" w:name="Tc_OQfpScI7MEaTccjvOdIhdg_14_0"/>
      <w:bookmarkStart w:id="1297" w:name="Tc_yF0SThifS0qCIVFwuBnCtQ_13_0"/>
      <w:bookmarkStart w:id="1298" w:name="Tc_H_APx73qf0OEH9E8qAnCtA_12_6"/>
      <w:bookmarkStart w:id="1299" w:name="Tc_4bvArHpl1EGUVrU0gTpeVw_12_5"/>
      <w:bookmarkStart w:id="1300" w:name="Tc_2fsLtaBUE0e_mZrqVy4XbA_12_4"/>
      <w:bookmarkStart w:id="1301" w:name="Tc_1EWGELTjpE-Hs0cVXb3Q_Q_12_3"/>
      <w:bookmarkStart w:id="1302" w:name="Tc_kcV_CjSeekWa6XL73gXG_A_12_1"/>
      <w:bookmarkStart w:id="1303" w:name="Tc_xeMMgZhDTE6cl4QHeC938Q_12_0"/>
      <w:bookmarkStart w:id="1304" w:name="Tc_rPW1djVVD0-9qFSpSOX3ig_11_0"/>
      <w:bookmarkStart w:id="1305" w:name="Tc_VsVgA0mrqUi_DbkZi76zSg_10_6"/>
      <w:bookmarkStart w:id="1306" w:name="Tc_iNAw559B2UepRX0ygIgrkw_10_4"/>
      <w:bookmarkStart w:id="1307" w:name="Tc_NLvApOFJ60eRBcdhQNNnOQ_10_2"/>
      <w:bookmarkStart w:id="1308" w:name="Tc_isy7FTteWUmyjJ37NNESiQ_10_0"/>
      <w:bookmarkStart w:id="1309" w:name="Tc_fKHe77A9LUK8rjAwWfY88w_7_5"/>
      <w:bookmarkStart w:id="1310" w:name="Tc_bKES5lRroUGr_UuJC51D4g_7_4"/>
      <w:bookmarkStart w:id="1311" w:name="Tc_hih6rVrPfkS1Crt5BpUOQg_7_3"/>
      <w:bookmarkStart w:id="1312" w:name="Tc_ZX2DWpGYmkmPXG61O5A6RA_7_2"/>
      <w:bookmarkStart w:id="1313" w:name="Tc_Pafnm0_JmUa7m7E034BSQQ_7_1"/>
      <w:bookmarkStart w:id="1314" w:name="Tc_FzDyIz2F506wXzBZnor06Q_7_0"/>
      <w:bookmarkStart w:id="1315" w:name="Tc_rfj94qoInkqzTGJEopEalQ_6_5"/>
      <w:bookmarkStart w:id="1316" w:name="Tc_wSVP9D5WJEWkUlXhAa0UHQ_6_4"/>
      <w:bookmarkStart w:id="1317" w:name="Tc_isX99BxEQEW6Id4J0YKWSQ_6_3"/>
      <w:bookmarkStart w:id="1318" w:name="Tc__SjElH0E-kyXnI4lQagNHA_6_2"/>
      <w:bookmarkStart w:id="1319" w:name="Tc_YJJ1BB2EK0ScLKNRZd7erg_6_1"/>
      <w:bookmarkStart w:id="1320" w:name="Tc_nTzmZqs5ckCG2yiLgvbFLQ_6_0"/>
      <w:bookmarkStart w:id="1321" w:name="Tc_2XBoB9I4Gkeo71aOAfczJQ_5_5"/>
      <w:bookmarkStart w:id="1322" w:name="Tc_yeBVU8nqu0SGzrN2gbUxRA_5_4"/>
      <w:bookmarkStart w:id="1323" w:name="Tc_mYoWe5Lx7U2pbu1ZHDj6ow_5_3"/>
      <w:bookmarkStart w:id="1324" w:name="Tc_VhrZBEzqNE-bsdBaHQjwmQ_5_2"/>
      <w:bookmarkStart w:id="1325" w:name="Tc_3CwvIcCXZkW71_JVOXxh0g_5_1"/>
      <w:bookmarkStart w:id="1326" w:name="Tc_wyGIPBM_iU6X-2FX1Sk-vg_5_0"/>
      <w:bookmarkStart w:id="1327" w:name="Tc_VvKwW-K81EazSS55aaTjdA_4_0"/>
      <w:bookmarkStart w:id="1328" w:name="Tc_HswQ4KkXpEetijzQSwVJiA_3_6"/>
      <w:bookmarkStart w:id="1329" w:name="Tc_-yQOtBQZIUOaMHGr428isw_3_5"/>
      <w:bookmarkStart w:id="1330" w:name="Tc_N8ZJyQBaSEGWUtk3cZDspg_3_4"/>
      <w:bookmarkStart w:id="1331" w:name="Tc_nua44fCKc0a8X6AWaJWqNQ_3_3"/>
      <w:bookmarkStart w:id="1332" w:name="Tc_2EmbtKFVoUeBhgeKfBYItQ_3_1"/>
      <w:bookmarkStart w:id="1333" w:name="Tc_TzHJky8HbU23TAlbdtfa_w_3_0"/>
      <w:bookmarkStart w:id="1334" w:name="Tc_8LbfA4GcMECVgHuWKwUeAA_2_0"/>
      <w:bookmarkStart w:id="1335" w:name="Tc_Uh2rvb3tWkGb_zMACj0hTg_1_6"/>
      <w:bookmarkStart w:id="1336" w:name="Tc_Z_E-YC7oJkuJSxK00cSueA_1_4"/>
      <w:bookmarkStart w:id="1337" w:name="Tc_xuD8lJzP1EySe3OeV-bIsA_1_2"/>
      <w:bookmarkStart w:id="1338" w:name="Tc_dPy7vFZ-NECXuT2HJ14rOg_1_0"/>
      <w:bookmarkStart w:id="1339" w:name="_e62e2488_cd5a_4d85_9fdc_358eeb85b595"/>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4 – Fair Value Measurements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financial instruments include its money market accounts (included as part of cash and cash equivalents), accounts receivable, accounts payable, common stock warrant liabilities (i.e. Convert Warrants and SVB Warrants), pre-funded warrant liabilities (i.e. PIPE Pre-funded Warrants), and convertible notes payables (i.e. Convertible Securities Notes and Legacy Adagio Convertible Notes). The recorded carrying amounts of cash and equivalents, accounts receivable and accounts payable approximates fair value due to their short-term nature. The convertible notes, common stock warrant liabilities, and pre-funded warrant liabilities are carried at fair value.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Assets and liabilities recognized at fair value on a recurring basis in the condensed consolidated balance sheets consists of cash equivalents, common stock warrant liabilities, pre-funded warrant liabilities, and convertible notes payables. These items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summarize the Company’s financial instruments at fair value based on the fair value hierarchy for each class of instrument (in thousands):</w:t>
      </w:r>
    </w:p>
    <w:p>
      <w:pPr>
        <w:pStyle w:val="TextBody"/>
        <w:bidi w:val="0"/>
        <w:spacing w:before="0" w:after="0"/>
        <w:ind w:left="0" w:right="0" w:firstLine="360"/>
        <w:jc w:val="both"/>
        <w:rPr/>
      </w:pPr>
      <w:r>
        <w:rPr/>
        <w:t>​</w:t>
      </w:r>
    </w:p>
    <w:tbl>
      <w:tblPr>
        <w:tblW w:w="5812" w:type="dxa"/>
        <w:jc w:val="left"/>
        <w:tblInd w:w="0" w:type="dxa"/>
        <w:tblLayout w:type="fixed"/>
        <w:tblCellMar>
          <w:top w:w="0" w:type="dxa"/>
          <w:left w:w="0" w:type="dxa"/>
          <w:bottom w:w="0" w:type="dxa"/>
          <w:right w:w="0" w:type="dxa"/>
        </w:tblCellMar>
      </w:tblPr>
      <w:tblGrid>
        <w:gridCol w:w="2926"/>
        <w:gridCol w:w="211"/>
        <w:gridCol w:w="736"/>
        <w:gridCol w:w="211"/>
        <w:gridCol w:w="736"/>
        <w:gridCol w:w="211"/>
        <w:gridCol w:w="781"/>
      </w:tblGrid>
      <w:tr>
        <w:trPr/>
        <w:tc>
          <w:tcPr>
            <w:tcW w:w="29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67360" cy="175260"/>
                      <wp:effectExtent l="0" t="0" r="0" b="0"/>
                      <wp:wrapNone/>
                      <wp:docPr id="109" name="Frame10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67360" cy="175260"/>
                      <wp:effectExtent l="0" t="0" r="0" b="0"/>
                      <wp:wrapNone/>
                      <wp:docPr id="111" name="Frame11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95935" cy="175260"/>
                      <wp:effectExtent l="0" t="0" r="0" b="0"/>
                      <wp:wrapNone/>
                      <wp:docPr id="113" name="Frame1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September 30, 2024 (Successor)</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r>
      <w:tr>
        <w:trPr/>
        <w:tc>
          <w:tcPr>
            <w:tcW w:w="292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21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9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Money market account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27,298</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Liabilities:</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9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Convertible Securities Notes</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13,750</w:t>
            </w:r>
          </w:p>
        </w:tc>
      </w:tr>
      <w:tr>
        <w:trPr/>
        <w:tc>
          <w:tcPr>
            <w:tcW w:w="29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 Warrants</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743</w:t>
            </w:r>
          </w:p>
        </w:tc>
      </w:tr>
      <w:tr>
        <w:trPr/>
        <w:tc>
          <w:tcPr>
            <w:tcW w:w="29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PIPE Pre-funded Warrants</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1,722</w:t>
            </w:r>
          </w:p>
        </w:tc>
      </w:tr>
      <w:tr>
        <w:trPr/>
        <w:tc>
          <w:tcPr>
            <w:tcW w:w="29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left"/>
              <w:rPr/>
            </w:pPr>
            <w:r>
              <w:rPr/>
              <w:t>​</w:t>
            </w:r>
          </w:p>
        </w:tc>
      </w:tr>
      <w:tr>
        <w:trPr/>
        <w:tc>
          <w:tcPr>
            <w:tcW w:w="292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December 31, 2023 (Predecessor)</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1</w:t>
            </w:r>
          </w:p>
        </w:tc>
        <w:tc>
          <w:tcPr>
            <w:tcW w:w="211" w:type="dxa"/>
            <w:tcBorders/>
            <w:shd w:fill="CCEEFF" w:val="clear"/>
            <w:vAlign w:val="center"/>
          </w:tcPr>
          <w:p>
            <w:pPr>
              <w:pStyle w:val="TableContents"/>
              <w:bidi w:val="0"/>
              <w:spacing w:before="0" w:after="0"/>
              <w:ind w:left="0" w:right="0" w:hanging="0"/>
              <w:jc w:val="center"/>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2</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Level 3</w:t>
            </w:r>
          </w:p>
        </w:tc>
      </w:tr>
      <w:tr>
        <w:trPr/>
        <w:tc>
          <w:tcPr>
            <w:tcW w:w="292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Assets:</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9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Money market account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Liabilities:</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9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Legacy Adagio Convertible Notes</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36,430</w:t>
            </w:r>
          </w:p>
        </w:tc>
      </w:tr>
      <w:tr>
        <w:trPr/>
        <w:tc>
          <w:tcPr>
            <w:tcW w:w="29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SVB Warrants</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78</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transfers made among the three levels in the fair value hierarchy for the periods from January 1, 2024 to July 30, 2024 (Predecessor), from July 31, 2024 to September 30, 2024 (Successor) and for the year ended December 31, 2023 (Predecessor).</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Legacy Adagio Convertible Notes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October 27, 2022, Legacy Adagio entered into a note purchase agreement with investors for the issuance and sale of convertible promissory notes with an aggregate principal amount of $9.5 million at an interest rate of eight percent (8.0%) per annum. On April 4, 2023, November 28, 2023 and February 13, 2024, the October 2022 Convertible Notes were amended. Upon the consummation of the Business Combination, the principal and the accrued interest of the October 2022 Convertible Notes were converted into shares of Legacy Adagio common stock. Further, on the Closing Date, Legacy Adagio common stock was converted to the Company’s Common Stock based on the exchange ratio set forth in the Business Combination Agreement. Refer to </w:t>
      </w:r>
      <w:r>
        <w:rPr>
          <w:rFonts w:ascii="Times New Roman;Times;serif" w:hAnsi="Times New Roman;Times;serif"/>
          <w:i/>
          <w:sz w:val="20"/>
        </w:rPr>
        <w:t>Note 9- Debt</w:t>
      </w:r>
      <w:r>
        <w:rPr>
          <w:rFonts w:ascii="Times New Roman;Times;serif" w:hAnsi="Times New Roman;Times;serif"/>
          <w:sz w:val="20"/>
        </w:rPr>
        <w:t xml:space="preserve"> for details.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4, 2023, Legacy Adagio issued a $5.0 million convertible promissory note to Perceptive PIPE Investor that matures upon the termination of the Business Combination Agreement in accordance with its terms. The April 2023 Convertible Notes accrues simple interest at eight percent (8.0%) per annum. Additionally, Legacy Adagio obtained the right to issue up to $10.0 million in additional convertible promissory notes. On February 13, 2023, November 28, 2023 and February 13, 2024, the April 2023 Convertible Notes were amended. Prior to the Closing Date, the total of $15.0 million convertible promissory note has been drawn by Legacy Adagio.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bookmarkStart w:id="1340" w:name="Tc_PPtlr8EhBE-AqVg-GxVZlg_4_0"/>
      <w:bookmarkStart w:id="1341" w:name="Tc_roBjcbDYmk-zEobFa2rRkg_3_0"/>
      <w:bookmarkStart w:id="1342" w:name="Tc_3dYrtwKbcUSrA9xX33jXJA_2_0"/>
      <w:bookmarkStart w:id="1343" w:name="Tc_NCrx6A-4ME6YibDT4vOMrg_1_4"/>
      <w:bookmarkStart w:id="1344" w:name="Tc_ANgbWPT2AUmhgn7_FjEvQg_1_3"/>
      <w:bookmarkStart w:id="1345" w:name="Tc_Exjc7BiS_kC2WNh8hhupQQ_1_2"/>
      <w:bookmarkStart w:id="1346" w:name="Tc_JJqcxXa-o02sOkvmWW1hJQ_1_1"/>
      <w:bookmarkStart w:id="1347" w:name="Tc_fEArDy2x9EGqai384SIl3w_1_0"/>
      <w:bookmarkEnd w:id="1340"/>
      <w:bookmarkEnd w:id="1341"/>
      <w:bookmarkEnd w:id="1342"/>
      <w:bookmarkEnd w:id="1343"/>
      <w:bookmarkEnd w:id="1344"/>
      <w:bookmarkEnd w:id="1345"/>
      <w:bookmarkEnd w:id="1346"/>
      <w:bookmarkEnd w:id="1347"/>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28, 2023, Legacy Adagio issued a $2.0 million convertible promissory note to Perceptive PIPE Investor that matures upon the termination of the Business Combination Agreement in accordance with its terms. The November 2023 Convertible Notes accrues simple interest at eight percent (8.0%) per annum. Additionally, Legacy Adagio obtained the right to issue up to $6.0 million in additional convertible promissory notes (“Delayed Draw Commitment”). On December 13, 2023, December 28, 2023, and February 13, 2024, the November 2023 Convertible Notes were amended. Prior to the Closing Date, the total of $8.0 million convertible promissory note has been drawn by Legacy Adagio.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13, 2024, Legacy Adagio issued a $7.0 million convertible promissory note to Perceptive PIPE Investor that matures upon the termination of the Business Combination Agreement in accordance with its terms. The 2024 Bridge Financing Note accrues simple interest at eight percent (8.0%) per annum. Prior to the Closing Date, the total of $7.0 million convertible promissory note has been drawn by Legacy Adagio. Upon the consummation of the Business Combination, the 2024 Bridge Financing Note of $7.0 million converted into $7.0 million of the Company’s Convertible Securities Notes and 525,000 Convert Warrants. Refer to </w:t>
      </w:r>
      <w:r>
        <w:rPr>
          <w:rFonts w:ascii="Times New Roman;Times;serif" w:hAnsi="Times New Roman;Times;serif"/>
          <w:i/>
          <w:sz w:val="20"/>
        </w:rPr>
        <w:t>Note 9- Debt</w:t>
      </w:r>
      <w:r>
        <w:rPr>
          <w:rFonts w:ascii="Times New Roman;Times;serif" w:hAnsi="Times New Roman;Times;serif"/>
          <w:sz w:val="20"/>
        </w:rPr>
        <w:t xml:space="preserve"> for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May 21, 2024, Legacy Adagio issued a $3.0 million convertible promissory note to Perceptive PIPE Investor that matures upon the termination of the Business Combination Agreement in accordance with its terms. The May 2024 Convertible Notes accrues simple interest at eight percent (8.0%) per annum. Prior to the Closing Date, the total of $3.0 million convertible promissory note has been drawn by Legacy Adagio.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June 25, 2024, Legacy Adagio issued a $2.5 million convertible promissory note to Perceptive PIPE Investor that matures upon the termination of the Business Combination Agreement in accordance with its terms. The June 2024 Convertible Notes accrues simple interest at eight percent (8.0%) per annum. Prior to the Closing Date, the total of $2.5 million convertible promissory note has been drawn by Legacy Adagio.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23, 2024, Legacy Adagio issued a $1.0 million convertible promissory note to Perceptive PIPE Investor that matures upon the termination of the Business Combination Agreement in accordance with its terms. It accrues simple interest at eight percent (8.0%) per annum. Prior to the Closing Date, the total of $1.0 million convertible promissory note has been drawn by Legacy Adagio.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Upon the consummation of the Business Combination, the principal of Bridge Financing Notes along with its accrued but unpaid interest, was converted into the shares of the Company’s Common Stock and Base Warrants as part of the PIPE Financing. Refer to </w:t>
      </w:r>
      <w:r>
        <w:rPr>
          <w:rFonts w:ascii="Times New Roman;Times;serif" w:hAnsi="Times New Roman;Times;serif"/>
          <w:i/>
          <w:sz w:val="20"/>
        </w:rPr>
        <w:t>Note 9- Debt</w:t>
      </w:r>
      <w:r>
        <w:rPr>
          <w:rFonts w:ascii="Times New Roman;Times;serif" w:hAnsi="Times New Roman;Times;serif"/>
          <w:sz w:val="20"/>
        </w:rPr>
        <w:t xml:space="preserve"> for details.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measures Legacy Adagio Convertible Notes at fair value based on significant inputs not observable in the market, which caused them to be classified as Level 3 measurements within the fair value hierarchy.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determining the fair value of the Legacy Adagio Convertible Notes as of December 31, 2023, the Company applied the probability-weighted expected return method (“PWERM”). The PWERM determines the value of an instrument based upon an analysis of future values for the potential instrument payouts under different future outcomes. The instrument value is based upon the present value of the probability of each future outcome becoming available to the instrument holders, and the rights of each security.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calculated the estimated fair value of convertible promissory notes as of December 31, 2023 using the following assumptions:</w:t>
      </w:r>
    </w:p>
    <w:p>
      <w:pPr>
        <w:pStyle w:val="TextBody"/>
        <w:bidi w:val="0"/>
        <w:spacing w:before="0" w:after="0"/>
        <w:ind w:left="0" w:right="0" w:firstLine="360"/>
        <w:jc w:val="both"/>
        <w:rPr/>
      </w:pPr>
      <w:r>
        <w:rPr/>
        <w:t>​</w:t>
      </w:r>
    </w:p>
    <w:tbl>
      <w:tblPr>
        <w:tblW w:w="9185" w:type="dxa"/>
        <w:jc w:val="left"/>
        <w:tblInd w:w="0" w:type="dxa"/>
        <w:tblLayout w:type="fixed"/>
        <w:tblCellMar>
          <w:top w:w="0" w:type="dxa"/>
          <w:left w:w="0" w:type="dxa"/>
          <w:bottom w:w="0" w:type="dxa"/>
          <w:right w:w="0" w:type="dxa"/>
        </w:tblCellMar>
      </w:tblPr>
      <w:tblGrid>
        <w:gridCol w:w="2956"/>
        <w:gridCol w:w="1231"/>
        <w:gridCol w:w="2041"/>
        <w:gridCol w:w="1996"/>
        <w:gridCol w:w="96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877060" cy="175260"/>
                      <wp:effectExtent l="0" t="0" r="0" b="0"/>
                      <wp:wrapNone/>
                      <wp:docPr id="114" name="Frame114"/>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pPr>
            <w:r>
              <w:rPr/>
              <w:t>​</w:t>
            </w:r>
          </w:p>
        </w:tc>
        <w:tc>
          <w:tcPr>
            <w:tcW w:w="199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r>
      <w:tr>
        <w:trPr/>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 of December 31, 2023</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Discount rate</w:t>
            </w:r>
          </w:p>
        </w:tc>
        <w:tc>
          <w:tcPr>
            <w:tcW w:w="2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Expected Term (years)</w:t>
            </w:r>
          </w:p>
        </w:tc>
        <w:tc>
          <w:tcPr>
            <w:tcW w:w="19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Risk-Free interest rate</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Volatility</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2022 Convertible Notes</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2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1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2023 Convertible Notes</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2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19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2023 Convertible Notes</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20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0.33</w:t>
            </w:r>
          </w:p>
        </w:tc>
        <w:tc>
          <w:tcPr>
            <w:tcW w:w="19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96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110%</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determining the fair value of the Legacy Adagio Convertible Notes as of July 31, 2024 prior to the Closing, the Company used the observed closing stock price of ARYA as of July 31, 2024 multiplied by the actual number of shares that the Legacy Adagio Convertible Notes converted into.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348" w:name="Tc_izQiip27mESuv9Kzy18B9A_5_2"/>
      <w:bookmarkStart w:id="1349" w:name="Tc_Ierke_7MTUKqZbpetBu2QA_5_0"/>
      <w:bookmarkStart w:id="1350" w:name="Tc_gf3rOQWxWUWHyhHCyKXiDA_4_0"/>
      <w:bookmarkStart w:id="1351" w:name="Tc_DCYOK5si0EqQ6XR6LdBfTA_3_3"/>
      <w:bookmarkStart w:id="1352" w:name="Tc_RfYOkNKNmU6FlOFFQvXvaA_3_0"/>
      <w:bookmarkStart w:id="1353" w:name="Tc_q3Fq1TOw1EiLwRN-Q6UK3w_2_2"/>
      <w:bookmarkStart w:id="1354" w:name="Tc_9QngmpAPHUiafO0Ajfi_Lg_2_0"/>
      <w:bookmarkStart w:id="1355" w:name="Tc_nqEW0Ubbh0O9ie_AlGUQQQ_1_0"/>
      <w:bookmarkStart w:id="1356" w:name="_08c905fd_1c93_42c0_a29d_c2e1480f95ed"/>
      <w:bookmarkStart w:id="1357" w:name="Tc_JC4cJvG5bkSjIMbE4qUUzQ_7_0"/>
      <w:bookmarkStart w:id="1358" w:name="Tc__02r8ogV-UCEKZQXcf3GjA_6_0"/>
      <w:bookmarkStart w:id="1359" w:name="Tc_5dhxlM8n70Knzrt5a8e9VQ_5_0"/>
      <w:bookmarkStart w:id="1360" w:name="Tc_OKaR5jBxUkeveL7VUmz-ag_4_0"/>
      <w:bookmarkStart w:id="1361" w:name="Tc_U1xORohUs0uSvM5BizuxGw_3_3"/>
      <w:bookmarkStart w:id="1362" w:name="Tc_hD5SL1Q61kKOV9XuENqvjg_3_1"/>
      <w:bookmarkStart w:id="1363" w:name="Tc_9rNgJv2TVUydbXhnqDoTjw_3_0"/>
      <w:bookmarkStart w:id="1364" w:name="Tc_PsEZZz1Is0qINHPn7uDQjA_2_4"/>
      <w:bookmarkStart w:id="1365" w:name="Tc_j3YxkCnY_E65EuNTMB9nvQ_2_2"/>
      <w:bookmarkStart w:id="1366" w:name="Tc_A0QfKxHv80-rDPlvHY4Sng_1_0"/>
      <w:bookmarkStart w:id="1367" w:name="Tc_3rCUhpWR2kadl4jiIhZodg_8_2"/>
      <w:bookmarkStart w:id="1368" w:name="Tc_1nc3zyOwNkOY_uhxCkmFPA_8_0"/>
      <w:bookmarkStart w:id="1369" w:name="Tc_f41cUhz8Xk2eD5kM3tf3ew_7_2"/>
      <w:bookmarkStart w:id="1370" w:name="Tc_TW1DwkCH9E6gV4s38heT6g_7_0"/>
      <w:bookmarkStart w:id="1371" w:name="Tc__wxW_KvCQEOmH8dBrkH1wg_6_2"/>
      <w:bookmarkStart w:id="1372" w:name="Tc_MKbwM5c430OiCM_NdWMpzw_6_0"/>
      <w:bookmarkStart w:id="1373" w:name="Tc_iXg_4tsxTEiBFjMXDh2j4w_5_2"/>
      <w:bookmarkStart w:id="1374" w:name="Tc_yntXMwPhXkyZY197JUspnw_5_0"/>
      <w:bookmarkStart w:id="1375" w:name="Tc_JxJQ7Uf1zUibY3PC-oAXgw_4_0"/>
      <w:bookmarkStart w:id="1376" w:name="Tc_-qsFKlb4oESAhae62_bc-w_3_4"/>
      <w:bookmarkStart w:id="1377" w:name="Tc_Ftb4ADWzEUqi0ygD0akN8Q_3_0"/>
      <w:bookmarkStart w:id="1378" w:name="Tc_aaoKObtgJEOWinOh71JAFg_2_7"/>
      <w:bookmarkStart w:id="1379" w:name="Tc_6Qxr1aJ4nUu6ZNvSuhXuFQ_2_5"/>
      <w:bookmarkStart w:id="1380" w:name="Tc_xVLgQBghvkuxWYrRFw-5JA_2_4"/>
      <w:bookmarkStart w:id="1381" w:name="Tc_PDA9os8QEkyqWi-fDEvGuw_2_3"/>
      <w:bookmarkStart w:id="1382" w:name="Tc_JwHWW6Y3gkafIFO3oD_FkQ_2_1"/>
      <w:bookmarkStart w:id="1383" w:name="Tc_R6rI_ZE_sU-dWls4VWzOnA_2_0"/>
      <w:bookmarkStart w:id="1384" w:name="Tc_5lK6t4ShYE2qvFgNJObDjQ_1_8"/>
      <w:bookmarkStart w:id="1385" w:name="Tc_Id7kYDH5NUCg0AQg5AHzEQ_1_6"/>
      <w:bookmarkStart w:id="1386" w:name="Tc_fMTpGaBlX0KjlLD0v67lzQ_1_4"/>
      <w:bookmarkStart w:id="1387" w:name="Tc_La8bJsI9z0GB0wxMTYKigA_1_2"/>
      <w:bookmarkStart w:id="1388" w:name="Tc_ZeAOFCT_T0OJh6rAB23_cw_1_0"/>
      <w:bookmarkStart w:id="1389" w:name="_5b34f39c_a8df_4420_891c_f96e34cf8117"/>
      <w:bookmarkStart w:id="1390" w:name="Tc_JjWFxpkBs0uSp2sSRCq_Zw_4_2"/>
      <w:bookmarkStart w:id="1391" w:name="Tc_jqbZt3W7JkawxJac1OaMSQ_4_0"/>
      <w:bookmarkStart w:id="1392" w:name="Tc_1cYFT38MhEO5XFs0m7UMew_3_2"/>
      <w:bookmarkStart w:id="1393" w:name="Tc_MU-k5tRNh0S7OwRXgMN02A_3_0"/>
      <w:bookmarkStart w:id="1394" w:name="Tc_dUfQcckBE0-kqlPITY_1uw_2_7"/>
      <w:bookmarkStart w:id="1395" w:name="Tc_2z_r8dFfZkehV1QlqXzmcg_2_5"/>
      <w:bookmarkStart w:id="1396" w:name="Tc_qKBmMdG_JEWGVUYiUsiHrw_2_4"/>
      <w:bookmarkStart w:id="1397" w:name="Tc_ezE0z-lvxkSdjKYRu54s6w_2_3"/>
      <w:bookmarkStart w:id="1398" w:name="Tc_tSa1hO6ZBEqcIkpFOd9faw_2_1"/>
      <w:bookmarkStart w:id="1399" w:name="Tc_q_hnS23JMUu2aW4iTk5rEQ_2_0"/>
      <w:bookmarkStart w:id="1400" w:name="Tc_SwSqgN8THkGhjSHgy-cevQ_1_8"/>
      <w:bookmarkStart w:id="1401" w:name="Tc_KmhhEkTuu0KsYkFIL3VlaQ_1_6"/>
      <w:bookmarkStart w:id="1402" w:name="Tc_l17yJRW2h0al74fuTWGQFw_1_4"/>
      <w:bookmarkStart w:id="1403" w:name="Tc_VGlS4NzOjU6UXH8UP--YGA_1_2"/>
      <w:bookmarkStart w:id="1404" w:name="Tc_o7gYlHOYS02Lha5Mhc6xew_1_0"/>
      <w:bookmarkStart w:id="1405" w:name="_17c7623b_1c00_4b0a_b977_b32f19f7f5c2"/>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r>
        <w:rPr>
          <w:rFonts w:ascii="Times New Roman;Times;serif" w:hAnsi="Times New Roman;Times;serif"/>
          <w:sz w:val="20"/>
        </w:rPr>
        <w:t>The following table presents changes in the Level 3 convertible promissory notes measured at fair value for the year ended December 31, 2023 (Predecessor)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508"/>
        <w:gridCol w:w="211"/>
        <w:gridCol w:w="2084"/>
        <w:gridCol w:w="211"/>
        <w:gridCol w:w="916"/>
        <w:gridCol w:w="211"/>
        <w:gridCol w:w="2729"/>
        <w:gridCol w:w="211"/>
        <w:gridCol w:w="1124"/>
      </w:tblGrid>
      <w:tr>
        <w:trPr/>
        <w:tc>
          <w:tcPr>
            <w:tcW w:w="2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592580" cy="175260"/>
                      <wp:effectExtent l="0" t="0" r="0" b="0"/>
                      <wp:wrapNone/>
                      <wp:docPr id="115" name="Frame115"/>
                      <a:graphic xmlns:a="http://schemas.openxmlformats.org/drawingml/2006/main">
                        <a:graphicData uri="http://schemas.microsoft.com/office/word/2010/wordprocessingShape">
                          <wps:wsp>
                            <wps:cNvSpPr txBox="1"/>
                            <wps:spPr>
                              <a:xfrm>
                                <a:off x="0" y="0"/>
                                <a:ext cx="1592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2084"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81660" cy="175260"/>
                      <wp:effectExtent l="0" t="0" r="0" b="0"/>
                      <wp:wrapNone/>
                      <wp:docPr id="116" name="Frame11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2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732915" cy="175260"/>
                      <wp:effectExtent l="0" t="0" r="0" b="0"/>
                      <wp:wrapNone/>
                      <wp:docPr id="117" name="Frame117"/>
                      <a:graphic xmlns:a="http://schemas.openxmlformats.org/drawingml/2006/main">
                        <a:graphicData uri="http://schemas.microsoft.com/office/word/2010/wordprocessingShape">
                          <wps:wsp>
                            <wps:cNvSpPr txBox="1"/>
                            <wps:spPr>
                              <a:xfrm>
                                <a:off x="0" y="0"/>
                                <a:ext cx="173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pPr>
            <w:r>
              <w:rPr/>
              <w:t>​</w:t>
            </w:r>
          </w:p>
        </w:tc>
      </w:tr>
      <w:tr>
        <w:trPr/>
        <w:tc>
          <w:tcPr>
            <w:tcW w:w="25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Year ended December 31, 2023</w:t>
              <w:br/>
              <w:t>(Predecessor)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0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 (beginning of year)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7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measurement adjustments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w:t>
              <w:br/>
              <w:t>(end of year)</w:t>
            </w:r>
          </w:p>
        </w:tc>
      </w:tr>
      <w:tr>
        <w:trPr/>
        <w:tc>
          <w:tcPr>
            <w:tcW w:w="25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2022 Convertible Notes</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20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2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3,061</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12,561</w:t>
            </w:r>
          </w:p>
        </w:tc>
      </w:tr>
      <w:tr>
        <w:trPr/>
        <w:tc>
          <w:tcPr>
            <w:tcW w:w="2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2023 Convertible Notes</w:t>
            </w:r>
          </w:p>
        </w:tc>
        <w:tc>
          <w:tcPr>
            <w:tcW w:w="211" w:type="dxa"/>
            <w:tcBorders/>
            <w:vAlign w:val="center"/>
          </w:tcPr>
          <w:p>
            <w:pPr>
              <w:pStyle w:val="TableContents"/>
              <w:bidi w:val="0"/>
              <w:spacing w:before="0" w:after="0"/>
              <w:ind w:left="0" w:right="0" w:hanging="0"/>
              <w:jc w:val="center"/>
              <w:rPr/>
            </w:pPr>
            <w:r>
              <w:rPr/>
              <w:t>​</w:t>
            </w:r>
          </w:p>
        </w:tc>
        <w:tc>
          <w:tcPr>
            <w:tcW w:w="2084"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211" w:type="dxa"/>
            <w:tcBorders/>
            <w:vAlign w:val="center"/>
          </w:tcPr>
          <w:p>
            <w:pPr>
              <w:pStyle w:val="TableContents"/>
              <w:bidi w:val="0"/>
              <w:spacing w:before="0" w:after="0"/>
              <w:ind w:left="0" w:right="0" w:hanging="0"/>
              <w:jc w:val="center"/>
              <w:rPr/>
            </w:pPr>
            <w:r>
              <w:rPr/>
              <w:t>​</w:t>
            </w:r>
          </w:p>
        </w:tc>
        <w:tc>
          <w:tcPr>
            <w:tcW w:w="27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211" w:type="dxa"/>
            <w:tcBorders/>
            <w:vAlign w:val="center"/>
          </w:tcPr>
          <w:p>
            <w:pPr>
              <w:pStyle w:val="TableContents"/>
              <w:bidi w:val="0"/>
              <w:spacing w:before="0" w:after="0"/>
              <w:ind w:left="0" w:right="0" w:hanging="0"/>
              <w:jc w:val="center"/>
              <w:rPr/>
            </w:pPr>
            <w:r>
              <w:rPr/>
              <w:t>​</w:t>
            </w:r>
          </w:p>
        </w:tc>
        <w:tc>
          <w:tcPr>
            <w:tcW w:w="11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14,757</w:t>
            </w:r>
          </w:p>
        </w:tc>
      </w:tr>
      <w:tr>
        <w:trPr/>
        <w:tc>
          <w:tcPr>
            <w:tcW w:w="25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2023 Convertible Notes</w:t>
            </w:r>
          </w:p>
        </w:tc>
        <w:tc>
          <w:tcPr>
            <w:tcW w:w="211" w:type="dxa"/>
            <w:tcBorders/>
            <w:shd w:fill="CCEEFF" w:val="clear"/>
            <w:vAlign w:val="center"/>
          </w:tcPr>
          <w:p>
            <w:pPr>
              <w:pStyle w:val="TableContents"/>
              <w:bidi w:val="0"/>
              <w:spacing w:before="0" w:after="0"/>
              <w:ind w:left="0" w:right="0" w:hanging="0"/>
              <w:jc w:val="center"/>
              <w:rPr/>
            </w:pPr>
            <w:r>
              <w:rPr/>
              <w:t>​</w:t>
            </w:r>
          </w:p>
        </w:tc>
        <w:tc>
          <w:tcPr>
            <w:tcW w:w="2084"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211" w:type="dxa"/>
            <w:tcBorders/>
            <w:shd w:fill="CCEEFF" w:val="clear"/>
            <w:vAlign w:val="center"/>
          </w:tcPr>
          <w:p>
            <w:pPr>
              <w:pStyle w:val="TableContents"/>
              <w:bidi w:val="0"/>
              <w:spacing w:before="0" w:after="0"/>
              <w:ind w:left="0" w:right="0" w:hanging="0"/>
              <w:jc w:val="center"/>
              <w:rPr/>
            </w:pPr>
            <w:r>
              <w:rPr/>
              <w:t>​</w:t>
            </w:r>
          </w:p>
        </w:tc>
        <w:tc>
          <w:tcPr>
            <w:tcW w:w="2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4,112</w:t>
            </w:r>
          </w:p>
        </w:tc>
        <w:tc>
          <w:tcPr>
            <w:tcW w:w="211" w:type="dxa"/>
            <w:tcBorders/>
            <w:shd w:fill="CCEEFF" w:val="clear"/>
            <w:vAlign w:val="center"/>
          </w:tcPr>
          <w:p>
            <w:pPr>
              <w:pStyle w:val="TableContents"/>
              <w:bidi w:val="0"/>
              <w:spacing w:before="0" w:after="0"/>
              <w:ind w:left="0" w:right="0" w:hanging="0"/>
              <w:jc w:val="center"/>
              <w:rPr/>
            </w:pPr>
            <w:r>
              <w:rPr/>
              <w:t>​</w:t>
            </w:r>
          </w:p>
        </w:tc>
        <w:tc>
          <w:tcPr>
            <w:tcW w:w="1124"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9,112</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changes in the Level 3 convertible promissory notes measured at fair value for the period from January 1, 2024 to July 30, 2024 (Predecessor)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120"/>
        <w:gridCol w:w="211"/>
        <w:gridCol w:w="1852"/>
        <w:gridCol w:w="211"/>
        <w:gridCol w:w="916"/>
        <w:gridCol w:w="211"/>
        <w:gridCol w:w="2410"/>
        <w:gridCol w:w="211"/>
        <w:gridCol w:w="1063"/>
      </w:tblGrid>
      <w:tr>
        <w:trPr/>
        <w:tc>
          <w:tcPr>
            <w:tcW w:w="3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981200" cy="175260"/>
                      <wp:effectExtent l="0" t="0" r="0" b="0"/>
                      <wp:wrapNone/>
                      <wp:docPr id="118" name="Frame118"/>
                      <a:graphic xmlns:a="http://schemas.openxmlformats.org/drawingml/2006/main">
                        <a:graphicData uri="http://schemas.microsoft.com/office/word/2010/wordprocessingShape">
                          <wps:wsp>
                            <wps:cNvSpPr txBox="1"/>
                            <wps:spPr>
                              <a:xfrm>
                                <a:off x="0" y="0"/>
                                <a:ext cx="1981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1852"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581660" cy="175260"/>
                      <wp:effectExtent l="0" t="0" r="0" b="0"/>
                      <wp:wrapNone/>
                      <wp:docPr id="119" name="Frame11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2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530350" cy="175260"/>
                      <wp:effectExtent l="0" t="0" r="0" b="0"/>
                      <wp:wrapNone/>
                      <wp:docPr id="120" name="Frame120"/>
                      <a:graphic xmlns:a="http://schemas.openxmlformats.org/drawingml/2006/main">
                        <a:graphicData uri="http://schemas.microsoft.com/office/word/2010/wordprocessingShape">
                          <wps:wsp>
                            <wps:cNvSpPr txBox="1"/>
                            <wps:spPr>
                              <a:xfrm>
                                <a:off x="0" y="0"/>
                                <a:ext cx="153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left"/>
              <w:rPr/>
            </w:pPr>
            <w:r>
              <w:rPr/>
              <w:t>​</w:t>
            </w:r>
          </w:p>
        </w:tc>
      </w:tr>
      <w:tr>
        <w:trPr/>
        <w:tc>
          <w:tcPr>
            <w:tcW w:w="31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Period from January 1 to July 30, 2024 (Predecessor)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8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 (beginning of year)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Additions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4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 value measurement adjustments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Balance</w:t>
              <w:br/>
              <w:t>(end of year)</w:t>
            </w:r>
          </w:p>
        </w:tc>
      </w:tr>
      <w:tr>
        <w:trPr/>
        <w:tc>
          <w:tcPr>
            <w:tcW w:w="3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2022 Convertible Notes</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12,561</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24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(4,304)</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8,257</w:t>
            </w:r>
          </w:p>
        </w:tc>
      </w:tr>
      <w:tr>
        <w:trPr/>
        <w:tc>
          <w:tcPr>
            <w:tcW w:w="3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2023 Convertible Notes</w:t>
            </w:r>
          </w:p>
        </w:tc>
        <w:tc>
          <w:tcPr>
            <w:tcW w:w="211" w:type="dxa"/>
            <w:tcBorders/>
            <w:vAlign w:val="center"/>
          </w:tcPr>
          <w:p>
            <w:pPr>
              <w:pStyle w:val="TableContents"/>
              <w:bidi w:val="0"/>
              <w:spacing w:before="0" w:after="0"/>
              <w:ind w:left="0" w:right="0" w:hanging="0"/>
              <w:jc w:val="center"/>
              <w:rPr/>
            </w:pPr>
            <w:r>
              <w:rPr/>
              <w:t>​</w:t>
            </w:r>
          </w:p>
        </w:tc>
        <w:tc>
          <w:tcPr>
            <w:tcW w:w="18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14,757</w:t>
            </w:r>
          </w:p>
        </w:tc>
        <w:tc>
          <w:tcPr>
            <w:tcW w:w="211"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24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w:t>
            </w:r>
          </w:p>
        </w:tc>
        <w:tc>
          <w:tcPr>
            <w:tcW w:w="211" w:type="dxa"/>
            <w:tcBorders/>
            <w:vAlign w:val="center"/>
          </w:tcPr>
          <w:p>
            <w:pPr>
              <w:pStyle w:val="TableContents"/>
              <w:bidi w:val="0"/>
              <w:spacing w:before="0" w:after="0"/>
              <w:ind w:left="0" w:right="0" w:hanging="0"/>
              <w:jc w:val="center"/>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18,135</w:t>
            </w:r>
          </w:p>
        </w:tc>
      </w:tr>
      <w:tr>
        <w:trPr/>
        <w:tc>
          <w:tcPr>
            <w:tcW w:w="3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2023 Convertible Notes</w:t>
            </w:r>
          </w:p>
        </w:tc>
        <w:tc>
          <w:tcPr>
            <w:tcW w:w="211" w:type="dxa"/>
            <w:tcBorders/>
            <w:shd w:fill="CCEEFF" w:val="clear"/>
            <w:vAlign w:val="center"/>
          </w:tcPr>
          <w:p>
            <w:pPr>
              <w:pStyle w:val="TableContents"/>
              <w:bidi w:val="0"/>
              <w:spacing w:before="0" w:after="0"/>
              <w:ind w:left="0" w:right="0" w:hanging="0"/>
              <w:jc w:val="center"/>
              <w:rPr/>
            </w:pPr>
            <w:r>
              <w:rPr/>
              <w:t>​</w:t>
            </w:r>
          </w:p>
        </w:tc>
        <w:tc>
          <w:tcPr>
            <w:tcW w:w="18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9,112</w:t>
            </w:r>
          </w:p>
        </w:tc>
        <w:tc>
          <w:tcPr>
            <w:tcW w:w="211"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211" w:type="dxa"/>
            <w:tcBorders/>
            <w:shd w:fill="CCEEFF" w:val="clear"/>
            <w:vAlign w:val="center"/>
          </w:tcPr>
          <w:p>
            <w:pPr>
              <w:pStyle w:val="TableContents"/>
              <w:bidi w:val="0"/>
              <w:spacing w:before="0" w:after="0"/>
              <w:ind w:left="0" w:right="0" w:hanging="0"/>
              <w:jc w:val="center"/>
              <w:rPr/>
            </w:pPr>
            <w:r>
              <w:rPr/>
              <w:t>​</w:t>
            </w:r>
          </w:p>
        </w:tc>
        <w:tc>
          <w:tcPr>
            <w:tcW w:w="24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w:t>
            </w:r>
          </w:p>
        </w:tc>
        <w:tc>
          <w:tcPr>
            <w:tcW w:w="211" w:type="dxa"/>
            <w:tcBorders/>
            <w:shd w:fill="CCEEFF" w:val="clear"/>
            <w:vAlign w:val="center"/>
          </w:tcPr>
          <w:p>
            <w:pPr>
              <w:pStyle w:val="TableContents"/>
              <w:bidi w:val="0"/>
              <w:spacing w:before="0" w:after="0"/>
              <w:ind w:left="0" w:right="0" w:hanging="0"/>
              <w:jc w:val="center"/>
              <w:rPr/>
            </w:pPr>
            <w:r>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9,739</w:t>
            </w:r>
          </w:p>
        </w:tc>
      </w:tr>
      <w:tr>
        <w:trPr/>
        <w:tc>
          <w:tcPr>
            <w:tcW w:w="3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2024 Convertible Notes</w:t>
            </w:r>
          </w:p>
        </w:tc>
        <w:tc>
          <w:tcPr>
            <w:tcW w:w="211" w:type="dxa"/>
            <w:tcBorders/>
            <w:vAlign w:val="center"/>
          </w:tcPr>
          <w:p>
            <w:pPr>
              <w:pStyle w:val="TableContents"/>
              <w:bidi w:val="0"/>
              <w:spacing w:before="0" w:after="0"/>
              <w:ind w:left="0" w:right="0" w:hanging="0"/>
              <w:jc w:val="center"/>
              <w:rPr/>
            </w:pPr>
            <w:r>
              <w:rPr/>
              <w:t>​</w:t>
            </w:r>
          </w:p>
        </w:tc>
        <w:tc>
          <w:tcPr>
            <w:tcW w:w="1852"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7,000</w:t>
            </w:r>
          </w:p>
        </w:tc>
        <w:tc>
          <w:tcPr>
            <w:tcW w:w="211" w:type="dxa"/>
            <w:tcBorders/>
            <w:vAlign w:val="center"/>
          </w:tcPr>
          <w:p>
            <w:pPr>
              <w:pStyle w:val="TableContents"/>
              <w:bidi w:val="0"/>
              <w:spacing w:before="0" w:after="0"/>
              <w:ind w:left="0" w:right="0" w:hanging="0"/>
              <w:jc w:val="center"/>
              <w:rPr/>
            </w:pPr>
            <w:r>
              <w:rPr/>
              <w:t>​</w:t>
            </w:r>
          </w:p>
        </w:tc>
        <w:tc>
          <w:tcPr>
            <w:tcW w:w="24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211" w:type="dxa"/>
            <w:tcBorders/>
            <w:vAlign w:val="center"/>
          </w:tcPr>
          <w:p>
            <w:pPr>
              <w:pStyle w:val="TableContents"/>
              <w:bidi w:val="0"/>
              <w:spacing w:before="0" w:after="0"/>
              <w:ind w:left="0" w:right="0" w:hanging="0"/>
              <w:jc w:val="center"/>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6,744</w:t>
            </w:r>
          </w:p>
        </w:tc>
      </w:tr>
      <w:tr>
        <w:trPr/>
        <w:tc>
          <w:tcPr>
            <w:tcW w:w="3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2024 Convertible Notes</w:t>
            </w:r>
          </w:p>
        </w:tc>
        <w:tc>
          <w:tcPr>
            <w:tcW w:w="211" w:type="dxa"/>
            <w:tcBorders/>
            <w:shd w:fill="CCEEFF" w:val="clear"/>
            <w:vAlign w:val="center"/>
          </w:tcPr>
          <w:p>
            <w:pPr>
              <w:pStyle w:val="TableContents"/>
              <w:bidi w:val="0"/>
              <w:spacing w:before="0" w:after="0"/>
              <w:ind w:left="0" w:right="0" w:hanging="0"/>
              <w:jc w:val="center"/>
              <w:rPr/>
            </w:pPr>
            <w:r>
              <w:rPr/>
              <w:t>​</w:t>
            </w:r>
          </w:p>
        </w:tc>
        <w:tc>
          <w:tcPr>
            <w:tcW w:w="1852"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211" w:type="dxa"/>
            <w:tcBorders/>
            <w:shd w:fill="CCEEFF" w:val="clear"/>
            <w:vAlign w:val="center"/>
          </w:tcPr>
          <w:p>
            <w:pPr>
              <w:pStyle w:val="TableContents"/>
              <w:bidi w:val="0"/>
              <w:spacing w:before="0" w:after="0"/>
              <w:ind w:left="0" w:right="0" w:hanging="0"/>
              <w:jc w:val="center"/>
              <w:rPr/>
            </w:pPr>
            <w:r>
              <w:rPr/>
              <w:t>​</w:t>
            </w:r>
          </w:p>
        </w:tc>
        <w:tc>
          <w:tcPr>
            <w:tcW w:w="24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c>
          <w:tcPr>
            <w:tcW w:w="211" w:type="dxa"/>
            <w:tcBorders/>
            <w:shd w:fill="CCEEFF" w:val="clear"/>
            <w:vAlign w:val="center"/>
          </w:tcPr>
          <w:p>
            <w:pPr>
              <w:pStyle w:val="TableContents"/>
              <w:bidi w:val="0"/>
              <w:spacing w:before="0" w:after="0"/>
              <w:ind w:left="0" w:right="0" w:hanging="0"/>
              <w:jc w:val="center"/>
              <w:rPr/>
            </w:pPr>
            <w:r>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w:t>
            </w:r>
          </w:p>
        </w:tc>
      </w:tr>
      <w:tr>
        <w:trPr/>
        <w:tc>
          <w:tcPr>
            <w:tcW w:w="3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2024 Convertible Notes</w:t>
            </w:r>
          </w:p>
        </w:tc>
        <w:tc>
          <w:tcPr>
            <w:tcW w:w="211" w:type="dxa"/>
            <w:tcBorders/>
            <w:vAlign w:val="center"/>
          </w:tcPr>
          <w:p>
            <w:pPr>
              <w:pStyle w:val="TableContents"/>
              <w:bidi w:val="0"/>
              <w:spacing w:before="0" w:after="0"/>
              <w:ind w:left="0" w:right="0" w:hanging="0"/>
              <w:jc w:val="center"/>
              <w:rPr/>
            </w:pPr>
            <w:r>
              <w:rPr/>
              <w:t>​</w:t>
            </w:r>
          </w:p>
        </w:tc>
        <w:tc>
          <w:tcPr>
            <w:tcW w:w="1852"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211" w:type="dxa"/>
            <w:tcBorders/>
            <w:vAlign w:val="center"/>
          </w:tcPr>
          <w:p>
            <w:pPr>
              <w:pStyle w:val="TableContents"/>
              <w:bidi w:val="0"/>
              <w:spacing w:before="0" w:after="0"/>
              <w:ind w:left="0" w:right="0" w:hanging="0"/>
              <w:jc w:val="center"/>
              <w:rPr/>
            </w:pPr>
            <w:r>
              <w:rPr/>
              <w:t>​</w:t>
            </w:r>
          </w:p>
        </w:tc>
        <w:tc>
          <w:tcPr>
            <w:tcW w:w="24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211" w:type="dxa"/>
            <w:tcBorders/>
            <w:vAlign w:val="center"/>
          </w:tcPr>
          <w:p>
            <w:pPr>
              <w:pStyle w:val="TableContents"/>
              <w:bidi w:val="0"/>
              <w:spacing w:before="0" w:after="0"/>
              <w:ind w:left="0" w:right="0" w:hanging="0"/>
              <w:jc w:val="center"/>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3,077</w:t>
            </w:r>
          </w:p>
        </w:tc>
      </w:tr>
      <w:tr>
        <w:trPr/>
        <w:tc>
          <w:tcPr>
            <w:tcW w:w="3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2024 Convertible Notes</w:t>
            </w:r>
          </w:p>
        </w:tc>
        <w:tc>
          <w:tcPr>
            <w:tcW w:w="211" w:type="dxa"/>
            <w:tcBorders/>
            <w:shd w:fill="CCEEFF" w:val="clear"/>
            <w:vAlign w:val="center"/>
          </w:tcPr>
          <w:p>
            <w:pPr>
              <w:pStyle w:val="TableContents"/>
              <w:bidi w:val="0"/>
              <w:spacing w:before="0" w:after="0"/>
              <w:ind w:left="0" w:right="0" w:hanging="0"/>
              <w:jc w:val="center"/>
              <w:rPr/>
            </w:pPr>
            <w:r>
              <w:rPr/>
              <w:t>​</w:t>
            </w:r>
          </w:p>
        </w:tc>
        <w:tc>
          <w:tcPr>
            <w:tcW w:w="1852"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11" w:type="dxa"/>
            <w:tcBorders/>
            <w:shd w:fill="CCEEFF" w:val="clear"/>
            <w:vAlign w:val="center"/>
          </w:tcPr>
          <w:p>
            <w:pPr>
              <w:pStyle w:val="TableContents"/>
              <w:bidi w:val="0"/>
              <w:spacing w:before="0" w:after="0"/>
              <w:ind w:left="0" w:right="0" w:hanging="0"/>
              <w:jc w:val="center"/>
              <w:rPr/>
            </w:pPr>
            <w:r>
              <w:rPr/>
              <w:t>​</w:t>
            </w:r>
          </w:p>
        </w:tc>
        <w:tc>
          <w:tcPr>
            <w:tcW w:w="24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c>
          <w:tcPr>
            <w:tcW w:w="211" w:type="dxa"/>
            <w:tcBorders/>
            <w:shd w:fill="CCEEFF" w:val="clear"/>
            <w:vAlign w:val="center"/>
          </w:tcPr>
          <w:p>
            <w:pPr>
              <w:pStyle w:val="TableContents"/>
              <w:bidi w:val="0"/>
              <w:spacing w:before="0" w:after="0"/>
              <w:ind w:left="0" w:right="0" w:hanging="0"/>
              <w:jc w:val="center"/>
              <w:rPr/>
            </w:pPr>
            <w:r>
              <w:rPr/>
              <w:t>​</w:t>
            </w:r>
          </w:p>
        </w:tc>
        <w:tc>
          <w:tcPr>
            <w:tcW w:w="1063"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1,233</w:t>
            </w:r>
          </w:p>
        </w:tc>
      </w:tr>
    </w:tbl>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Securities Notes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31, 2024, the Company issued the $20.0 million Convertible Securities Notes to Convert Investor having a maturity of three years and nine months after the Closing. The interest is accrued by quarterly compounding based on a 13% interest rate per annum. The Company received the funding from the Convertible Securities Notes as at the Closing. Refer to </w:t>
      </w:r>
      <w:r>
        <w:rPr>
          <w:rFonts w:ascii="Times New Roman;Times;serif" w:hAnsi="Times New Roman;Times;serif"/>
          <w:i/>
          <w:sz w:val="20"/>
        </w:rPr>
        <w:t>Note 9- Debt</w:t>
      </w:r>
      <w:r>
        <w:rPr>
          <w:rFonts w:ascii="Times New Roman;Times;serif" w:hAnsi="Times New Roman;Times;serif"/>
          <w:sz w:val="20"/>
        </w:rPr>
        <w:t xml:space="preserve"> for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measures the Convertible Securities Notes at fair value based on significant inputs not observable in the market, which caused them to be classified as Level 3 measurements within the fair value hierarchy.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utilized the binomial lattice model to value the Convertible Securities Notes at the Closing Date and as of September 30, 2024. The following table summarizes the significant inputs as of the valuation dates:</w:t>
      </w:r>
    </w:p>
    <w:p>
      <w:pPr>
        <w:pStyle w:val="TextBody"/>
        <w:bidi w:val="0"/>
        <w:spacing w:before="0" w:after="0"/>
        <w:ind w:left="0" w:right="0" w:firstLine="360"/>
        <w:jc w:val="both"/>
        <w:rPr/>
      </w:pPr>
      <w:r>
        <w:rPr/>
        <w:t>​</w:t>
      </w:r>
    </w:p>
    <w:tbl>
      <w:tblPr>
        <w:tblW w:w="6105" w:type="dxa"/>
        <w:jc w:val="left"/>
        <w:tblInd w:w="0" w:type="dxa"/>
        <w:tblLayout w:type="fixed"/>
        <w:tblCellMar>
          <w:top w:w="0" w:type="dxa"/>
          <w:left w:w="0" w:type="dxa"/>
          <w:bottom w:w="0" w:type="dxa"/>
          <w:right w:w="0" w:type="dxa"/>
        </w:tblCellMar>
      </w:tblPr>
      <w:tblGrid>
        <w:gridCol w:w="2506"/>
        <w:gridCol w:w="211"/>
        <w:gridCol w:w="1246"/>
        <w:gridCol w:w="326"/>
        <w:gridCol w:w="18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591310" cy="175260"/>
                      <wp:effectExtent l="0" t="0" r="0" b="0"/>
                      <wp:wrapNone/>
                      <wp:docPr id="121" name="Frame12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91210" cy="175260"/>
                      <wp:effectExtent l="0" t="0" r="0" b="0"/>
                      <wp:wrapNone/>
                      <wp:docPr id="123" name="Frame12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153160" cy="175260"/>
                      <wp:effectExtent l="0" t="0" r="0" b="0"/>
                      <wp:wrapNone/>
                      <wp:docPr id="125" name="Frame125"/>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Convertible Securities Notes</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6"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2024</w:t>
            </w:r>
          </w:p>
        </w:tc>
        <w:tc>
          <w:tcPr>
            <w:tcW w:w="326" w:type="dxa"/>
            <w:tcBorders/>
            <w:vAlign w:val="center"/>
          </w:tcPr>
          <w:p>
            <w:pPr>
              <w:pStyle w:val="TableContents"/>
              <w:bidi w:val="0"/>
              <w:spacing w:before="0" w:after="0"/>
              <w:ind w:left="0" w:right="0" w:hanging="0"/>
              <w:jc w:val="left"/>
              <w:rPr/>
            </w:pPr>
            <w:r>
              <w:rPr/>
              <w:t>    </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6.64</w:t>
            </w:r>
          </w:p>
        </w:tc>
        <w:tc>
          <w:tcPr>
            <w:tcW w:w="3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8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2.58</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25.8%</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25.4%</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3.75</w:t>
            </w:r>
          </w:p>
        </w:tc>
        <w:tc>
          <w:tcPr>
            <w:tcW w:w="32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3.58</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4.01%</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3.55%</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w:t>
            </w:r>
          </w:p>
        </w:tc>
      </w:tr>
    </w:tbl>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changes in the Level 3 convertible promissory notes measured at fair value for the periods from July 31, 2024 to September 30, 2024 (Successor) (in thousands):</w:t>
      </w:r>
    </w:p>
    <w:p>
      <w:pPr>
        <w:pStyle w:val="TextBody"/>
        <w:bidi w:val="0"/>
        <w:spacing w:before="0" w:after="0"/>
        <w:ind w:left="0" w:right="0" w:firstLine="360"/>
        <w:jc w:val="both"/>
        <w:rPr/>
      </w:pPr>
      <w:r>
        <w:rPr/>
        <w:t>​</w:t>
      </w:r>
    </w:p>
    <w:tbl>
      <w:tblPr>
        <w:tblW w:w="7817" w:type="dxa"/>
        <w:jc w:val="left"/>
        <w:tblInd w:w="0" w:type="dxa"/>
        <w:tblLayout w:type="fixed"/>
        <w:tblCellMar>
          <w:top w:w="0" w:type="dxa"/>
          <w:left w:w="0" w:type="dxa"/>
          <w:bottom w:w="0" w:type="dxa"/>
          <w:right w:w="0" w:type="dxa"/>
        </w:tblCellMar>
      </w:tblPr>
      <w:tblGrid>
        <w:gridCol w:w="6706"/>
        <w:gridCol w:w="109"/>
        <w:gridCol w:w="211"/>
        <w:gridCol w:w="791"/>
      </w:tblGrid>
      <w:tr>
        <w:trPr/>
        <w:tc>
          <w:tcPr>
            <w:tcW w:w="6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258310" cy="175260"/>
                      <wp:effectExtent l="0" t="0" r="0" b="0"/>
                      <wp:wrapNone/>
                      <wp:docPr id="126" name="Frame126"/>
                      <a:graphic xmlns:a="http://schemas.openxmlformats.org/drawingml/2006/main">
                        <a:graphicData uri="http://schemas.microsoft.com/office/word/2010/wordprocessingShape">
                          <wps:wsp>
                            <wps:cNvSpPr txBox="1"/>
                            <wps:spPr>
                              <a:xfrm>
                                <a:off x="0" y="0"/>
                                <a:ext cx="425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9215" cy="175260"/>
                      <wp:effectExtent l="0" t="0" r="0" b="0"/>
                      <wp:wrapNone/>
                      <wp:docPr id="127" name="Frame1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02285" cy="175260"/>
                      <wp:effectExtent l="0" t="0" r="0" b="0"/>
                      <wp:wrapNone/>
                      <wp:docPr id="129" name="Frame12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Convertible Securities Notes - July 31, 2024 to September 30, 2024 (Successor)</w:t>
            </w:r>
          </w:p>
        </w:tc>
        <w:tc>
          <w:tcPr>
            <w:tcW w:w="109"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pPr>
            <w:r>
              <w:rPr/>
              <w:t>​</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17,005</w: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r>
      <w:tr>
        <w:trPr/>
        <w:tc>
          <w:tcPr>
            <w:tcW w:w="6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measurement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(3,255)</w:t>
            </w:r>
          </w:p>
        </w:tc>
      </w:tr>
      <w:tr>
        <w:trPr/>
        <w:tc>
          <w:tcPr>
            <w:tcW w:w="6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13,750</w:t>
            </w:r>
          </w:p>
        </w:tc>
      </w:tr>
    </w:tbl>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 Liabilities (Predecessor)</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Series E Pre-funded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June 25, 2024, the Legacy Adagio issued to certain investor the Series E Pre-funded Warrants to purchase the Legacy Adagio’s Series E Preferred Stock, in exchange of the investor’s existing holding of Series E Preferred Stock. The exercise price of the pre-funded warrants is $0.001 per warrant share. The Company measured the pre-funded warrants at fair value based on the indicated fair value of Series E Preferred Stock, which is not observable in the market. The measurement caused the pre-funded warrant to be classified as Level 3 measurements within the fair value hierarchy. Changes in the fair value of the pre-funded warrants were recognized as warrant liabilities fair value adjustment within the condensed consolidated statements of operations and comprehensive income (loss). Refer to </w:t>
      </w:r>
      <w:r>
        <w:rPr>
          <w:rFonts w:ascii="Times New Roman;Times;serif" w:hAnsi="Times New Roman;Times;serif"/>
          <w:i/>
          <w:sz w:val="20"/>
        </w:rPr>
        <w:t>Note 10-Warrants</w:t>
      </w:r>
      <w:r>
        <w:rPr>
          <w:rFonts w:ascii="Times New Roman;Times;serif" w:hAnsi="Times New Roman;Times;serif"/>
          <w:sz w:val="20"/>
        </w:rPr>
        <w:t xml:space="preserve"> for additional information.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fair value of the Series E Pre-funded Warrants is based on the fair value of the Series E Preferred Stock minus the exercise price. As of June 30, 2024, the Company estimated the fair value of the Series E Preferred Stock by applying a conversion factor of 1.08 to the indicated fair value of Legacy Adagio common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July 31, 2024 prior to the Closing, the Company estimated the fair value of Series E Pre-funded Warrants based on the observed closing stock price of ARYA as of July 31, 2024 multiplied by the actual number of shares that the Series E Pre-funded Warrants converted into. The estimated fair value of the Series E Pre-funded Warrants as of June 30, 2024 and July 31, 2024 prior to the Closing is $0.3 million and $0.2 million, respectively. The change in fair value for the period from July 1, 2024 to July 30, 2024 (Predecessor) is $0.1 million.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Series E Pre-funded Warrants were automatically cancelled and extinguished and converted into shares of the Company’s Common Stock based on the exchange ratio set forth in the Business Combination Agreement.</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SVB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3, 2023, in conjunction with the Loan and Security Agreement (“LSA”) with Silicon Valley Bank (“SVB Term Loan”), Legacy Adagio issued Initial Warrants to purchase shares of common stock of the Company, and a contingent right to obtain an additional share of the common stock upon the non-occurrence of the Interest Only Milestone (as defined below). The Company measured SVB Warrants at fair value based on significant inputs not observable in the market, which caused them to be classified as Level 3 measurements within the fair value hierarchy. Changes in the fair value of the common stock warrants related to updated assumptions and estimates were recognized as warrant liabilities fair value adjustment within the condensed consolidated statements of operations and comprehensive income (loss).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SVB Warrants were not material as of December 31, 2023 (Predecessor) and there were no material changes in fair value for the periods from July 1, 2024 to July 30, 2024 (Predecessor), January 1, 2024 to July 30, 2024 (Predecessor), and the three and nine months ended September 30, 2023 (Predecessor).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SVB Warrants were terminated prior to the consummation of the Business Combination as the fair market value of Legacy Adagio common stock is lower than the warrant exercise price before the Closing. Refer to </w:t>
      </w:r>
      <w:r>
        <w:rPr>
          <w:rFonts w:ascii="Times New Roman;Times;serif" w:hAnsi="Times New Roman;Times;serif"/>
          <w:i/>
          <w:sz w:val="20"/>
        </w:rPr>
        <w:t>Note 10- Warrants</w:t>
      </w:r>
      <w:r>
        <w:rPr>
          <w:rFonts w:ascii="Times New Roman;Times;serif" w:hAnsi="Times New Roman;Times;serif"/>
          <w:sz w:val="20"/>
        </w:rPr>
        <w:t xml:space="preserve"> for additional information.</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bookmarkStart w:id="1406" w:name="Tc_6Y-Cf8ZSVkOMGIK8TqkwVw_5_2"/>
      <w:bookmarkStart w:id="1407" w:name="Tc_HBaZD2MpKkmG0p8o6_KwGA_5_0"/>
      <w:bookmarkStart w:id="1408" w:name="Tc_3ym_hMsiHkSMIIsHh7eNow_4_0"/>
      <w:bookmarkStart w:id="1409" w:name="Tc_tuK8oDpvzEe-BULFRJC41w_3_3"/>
      <w:bookmarkStart w:id="1410" w:name="Tc_srFQLxzYHk6XmfnZ6wb6Yg_3_0"/>
      <w:bookmarkStart w:id="1411" w:name="Tc_eA5bah2FzE2700lngUIdyQ_2_2"/>
      <w:bookmarkStart w:id="1412" w:name="Tc_EMUnlHrKek-qETvvCgVuMA_2_0"/>
      <w:bookmarkStart w:id="1413" w:name="Tc_nlLYyX9mtEiXpFysSOlceA_1_0"/>
      <w:bookmarkStart w:id="1414" w:name="_e597adf5_ae63_4a7f_a1a4_3345a44e4dbd"/>
      <w:bookmarkStart w:id="1415" w:name="Tc_C3HG48sVp061v5mcyP4iMw_7_0"/>
      <w:bookmarkStart w:id="1416" w:name="Tc_uVscLg23f0q9CA1TUwuKAg_6_0"/>
      <w:bookmarkStart w:id="1417" w:name="Tc_CFOgS_AKe0GAdTnNNxstTg_5_0"/>
      <w:bookmarkStart w:id="1418" w:name="Tc_88zvFvRExUmHLVlOmAGDyA_4_0"/>
      <w:bookmarkStart w:id="1419" w:name="Tc_j80rHfRsg0Wx5HzVRCvsAQ_3_3"/>
      <w:bookmarkStart w:id="1420" w:name="Tc_JTAcDlvLJUypL02vp9o_ew_3_1"/>
      <w:bookmarkStart w:id="1421" w:name="Tc_oVrWyMmv0EGEQB4QmLJXMA_3_0"/>
      <w:bookmarkStart w:id="1422" w:name="Tc_LTPKLMSNkkS1_2dbMbnC6A_2_4"/>
      <w:bookmarkStart w:id="1423" w:name="Tc_31n70RRqc0ipGiH0fVS2Tw_2_2"/>
      <w:bookmarkStart w:id="1424" w:name="Tc_6JvCH1LVrkOoeeiz0LhoRQ_1_0"/>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r>
        <w:rPr>
          <w:rFonts w:ascii="Times New Roman;Times;serif" w:hAnsi="Times New Roman;Times;serif"/>
          <w:b/>
          <w:i/>
          <w:sz w:val="20"/>
        </w:rPr>
        <w:t>Warrant Liabilities (Successor)</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Convert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31, 2024, the Company issued 1,500,000 Convert Warrants in connection with the issuance of the $20.0 million Convertible Securities Notes. Refer to </w:t>
      </w:r>
      <w:r>
        <w:rPr>
          <w:rFonts w:ascii="Times New Roman;Times;serif" w:hAnsi="Times New Roman;Times;serif"/>
          <w:i/>
          <w:sz w:val="20"/>
        </w:rPr>
        <w:t>Note 10- Warrants</w:t>
      </w:r>
      <w:r>
        <w:rPr>
          <w:rFonts w:ascii="Times New Roman;Times;serif" w:hAnsi="Times New Roman;Times;serif"/>
          <w:sz w:val="20"/>
        </w:rPr>
        <w:t xml:space="preserve"> for additional information.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set forth in the agreement of the Convertible Securities Notes, the Convert Warrants are exercisable on a cashless basis or on a gross basis for one share of the Company’s Common Stock at $24.0 per share, subject to adjustments. The Company may be required to cash settle the Convert Warrants when it fails to timely deliver shares to the holder who exercises the Convert Warrants or upon the occurrence of a fundamental transaction. It is determined that the Convert Warrants do not meet the equity classification requirements under ASC 815 as the Covert Warrants may require cash settlement outside of the Company’s control upon a failure of timely delivery of shares or a fundamental transaction, and therefore the Convert Warrants are accounted for as derivative liabilities, and measured at fair value both initially and subsequently with changes in fair value recognized as warrant liabilities fair value adjustment within the condensed consolidated statements of operations and comprehensive income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Convert Warrants are classified as Level 3 measurements within the fair value hierarchy. The Company utilized the Black-Scholes Merton option model to value the Convertible Securities Notes at the Closing Date and as of September 30, 2024. The following table summarizes the significant inputs as of the valuation dates:</w:t>
      </w:r>
    </w:p>
    <w:p>
      <w:pPr>
        <w:pStyle w:val="TextBody"/>
        <w:bidi w:val="0"/>
        <w:spacing w:before="0" w:after="0"/>
        <w:ind w:left="0" w:right="0" w:firstLine="360"/>
        <w:jc w:val="both"/>
        <w:rPr/>
      </w:pPr>
      <w:r>
        <w:rPr/>
        <w:t>​</w:t>
      </w:r>
    </w:p>
    <w:tbl>
      <w:tblPr>
        <w:tblW w:w="5730" w:type="dxa"/>
        <w:jc w:val="left"/>
        <w:tblInd w:w="0" w:type="dxa"/>
        <w:tblLayout w:type="fixed"/>
        <w:tblCellMar>
          <w:top w:w="0" w:type="dxa"/>
          <w:left w:w="0" w:type="dxa"/>
          <w:bottom w:w="0" w:type="dxa"/>
          <w:right w:w="0" w:type="dxa"/>
        </w:tblCellMar>
      </w:tblPr>
      <w:tblGrid>
        <w:gridCol w:w="2131"/>
        <w:gridCol w:w="211"/>
        <w:gridCol w:w="1246"/>
        <w:gridCol w:w="326"/>
        <w:gridCol w:w="18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53185" cy="175260"/>
                      <wp:effectExtent l="0" t="0" r="0" b="0"/>
                      <wp:wrapNone/>
                      <wp:docPr id="130" name="Frame130"/>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91210" cy="175260"/>
                      <wp:effectExtent l="0" t="0" r="0" b="0"/>
                      <wp:wrapNone/>
                      <wp:docPr id="132" name="Frame132"/>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153160" cy="175260"/>
                      <wp:effectExtent l="0" t="0" r="0" b="0"/>
                      <wp:wrapNone/>
                      <wp:docPr id="134" name="Frame134"/>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Convert Warrants</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6" w:type="dxa"/>
            <w:tcBorders/>
            <w:vAlign w:val="center"/>
          </w:tcPr>
          <w:p>
            <w:pPr>
              <w:pStyle w:val="TableContents"/>
              <w:bidi w:val="0"/>
              <w:spacing w:before="0" w:after="0"/>
              <w:ind w:left="0" w:right="0" w:hanging="0"/>
              <w:jc w:val="center"/>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31. 2024</w:t>
            </w:r>
          </w:p>
        </w:tc>
        <w:tc>
          <w:tcPr>
            <w:tcW w:w="326" w:type="dxa"/>
            <w:tcBorders/>
            <w:vAlign w:val="center"/>
          </w:tcPr>
          <w:p>
            <w:pPr>
              <w:pStyle w:val="TableContents"/>
              <w:bidi w:val="0"/>
              <w:spacing w:before="0" w:after="0"/>
              <w:ind w:left="0" w:right="0" w:hanging="0"/>
              <w:jc w:val="left"/>
              <w:rPr/>
            </w:pPr>
            <w:r>
              <w:rPr/>
              <w:t>    </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price</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6.64</w:t>
            </w:r>
          </w:p>
        </w:tc>
        <w:tc>
          <w:tcPr>
            <w:tcW w:w="3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8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2.58</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55.0%</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62.5%</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3.96%</w:t>
            </w:r>
          </w:p>
        </w:tc>
        <w:tc>
          <w:tcPr>
            <w:tcW w:w="32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3.63%</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6.83</w:t>
            </w:r>
          </w:p>
        </w:tc>
      </w:tr>
    </w:tbl>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changes in the Level 3 Convert Warrants measured at fair value for the periods from July 31, 2024 to September 30, 2024 (Successor) (in thousands):</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tbl>
      <w:tblPr>
        <w:tblW w:w="6937" w:type="dxa"/>
        <w:jc w:val="left"/>
        <w:tblInd w:w="0" w:type="dxa"/>
        <w:tblLayout w:type="fixed"/>
        <w:tblCellMar>
          <w:top w:w="0" w:type="dxa"/>
          <w:left w:w="0" w:type="dxa"/>
          <w:bottom w:w="0" w:type="dxa"/>
          <w:right w:w="0" w:type="dxa"/>
        </w:tblCellMar>
      </w:tblPr>
      <w:tblGrid>
        <w:gridCol w:w="5881"/>
        <w:gridCol w:w="109"/>
        <w:gridCol w:w="211"/>
        <w:gridCol w:w="736"/>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734435" cy="175260"/>
                      <wp:effectExtent l="0" t="0" r="0" b="0"/>
                      <wp:wrapNone/>
                      <wp:docPr id="135" name="Frame135"/>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67360" cy="175260"/>
                      <wp:effectExtent l="0" t="0" r="0" b="0"/>
                      <wp:wrapNone/>
                      <wp:docPr id="138" name="Frame13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Convert Warrants - July 31, 2024 to September 30, 2024 (Successor)</w:t>
            </w:r>
          </w:p>
        </w:tc>
        <w:tc>
          <w:tcPr>
            <w:tcW w:w="109"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measurement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743</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425" w:name="Tc_14NlZh8rm0aN6S-www-K7A_6_2"/>
      <w:bookmarkStart w:id="1426" w:name="Tc_q6FrMLeSd0e5qKP_JfbtHg_6_0"/>
      <w:bookmarkStart w:id="1427" w:name="Tc_Bp3nK2pZGUSYPgx-McKJAA_5_0"/>
      <w:bookmarkStart w:id="1428" w:name="Tc_Z3vX8UsAr0aNb8Zdk_Gy4A_4_3"/>
      <w:bookmarkStart w:id="1429" w:name="Tc_NtcpSkXNCUKAKXtn22pRoA_4_0"/>
      <w:bookmarkStart w:id="1430" w:name="Tc_lpoz-7JYA0CCafjn_-g4iQ_3_2"/>
      <w:bookmarkStart w:id="1431" w:name="Tc_ElN5TlqYE0SxlMrywM8k-w_3_0"/>
      <w:bookmarkStart w:id="1432" w:name="Tc_YrT3mecvGEO2JrfqaRTsaA_2_0"/>
      <w:bookmarkStart w:id="1433" w:name="_725be800_2d13_4764_9659_a2092e630549"/>
      <w:bookmarkEnd w:id="1425"/>
      <w:bookmarkEnd w:id="1426"/>
      <w:bookmarkEnd w:id="1427"/>
      <w:bookmarkEnd w:id="1428"/>
      <w:bookmarkEnd w:id="1429"/>
      <w:bookmarkEnd w:id="1430"/>
      <w:bookmarkEnd w:id="1431"/>
      <w:bookmarkEnd w:id="1432"/>
      <w:bookmarkEnd w:id="1433"/>
      <w:r>
        <w:rPr>
          <w:rFonts w:ascii="Times New Roman;Times;serif" w:hAnsi="Times New Roman;Times;serif"/>
          <w:b w:val="false"/>
          <w:i w:val="false"/>
          <w:caps w:val="false"/>
          <w:smallCaps w:val="false"/>
          <w:sz w:val="20"/>
        </w:rPr>
        <w:t>ii.</w:t>
      </w:r>
      <w:r>
        <w:rPr>
          <w:rFonts w:ascii="Times New Roman;Times;serif" w:hAnsi="Times New Roman;Times;serif"/>
          <w:sz w:val="20"/>
        </w:rPr>
        <w:t>PIPE Pre-funded Warrants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31, 2024, the Company issued 670,000 pre-funded warrants in exchange for cash proceeds in PIPE Financing to certain Other PIPE Investors (“PIPE Pre-funded Warrants”). Refer to </w:t>
      </w:r>
      <w:r>
        <w:rPr>
          <w:rFonts w:ascii="Times New Roman;Times;serif" w:hAnsi="Times New Roman;Times;serif"/>
          <w:i/>
          <w:sz w:val="20"/>
        </w:rPr>
        <w:t>Note 10-Warrants</w:t>
      </w:r>
      <w:r>
        <w:rPr>
          <w:rFonts w:ascii="Times New Roman;Times;serif" w:hAnsi="Times New Roman;Times;serif"/>
          <w:sz w:val="20"/>
        </w:rPr>
        <w:t xml:space="preserve"> for additional information.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set forth in the agreement of the PIPE Pre-funded Warrants, the PIPE Pre-funded Warrants are exercisable on a cashless basis or on a gross basis for one share of the Company’s Common Stock at $0.01 per share, subject to adjustments. The Company may be required to cash settle the PIPE Pre-funded Warrants when it fails to timely deliver shares to the holder who exercises the PIPE Pre-funded Warrants or upon the occurrence of a fundamental transaction. It is determined that the PIPE Pre-funded Warrants do not meet the equity classification requirements under ASC 815 as the PIPE Pre-funded Warrants may require cash settlement outside of the Company’s control upon a failure of timely delivery of shares or a fundamental transaction, and therefore the PIPE Pre-funded Warrants are accounted for as derivative liabilities, and measured at fair value both initially and subsequently with changes in fair value recognized as warrant liabilities fair value adjustment within the condensed consolidated statements of operations and comprehensive income (loss).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PIPE Pre-funded Warrants are classified as Level 3 measurements within the fair value hierarchy. The fair value of the PIPE Pre-funded Warrants is based on the fair value of the Company’s Common Stock minus the exercise price.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changes in the Level 3 PIPE Pre-funded Warrants measured at fair value for the periods from July 31, 2024 to September 30, 2024 (Successor) (in thousands):</w:t>
      </w:r>
    </w:p>
    <w:tbl>
      <w:tblPr>
        <w:tblW w:w="7672" w:type="dxa"/>
        <w:jc w:val="left"/>
        <w:tblInd w:w="0" w:type="dxa"/>
        <w:tblLayout w:type="fixed"/>
        <w:tblCellMar>
          <w:top w:w="0" w:type="dxa"/>
          <w:left w:w="0" w:type="dxa"/>
          <w:bottom w:w="0" w:type="dxa"/>
          <w:right w:w="0" w:type="dxa"/>
        </w:tblCellMar>
      </w:tblPr>
      <w:tblGrid>
        <w:gridCol w:w="6616"/>
        <w:gridCol w:w="109"/>
        <w:gridCol w:w="211"/>
        <w:gridCol w:w="736"/>
      </w:tblGrid>
      <w:tr>
        <w:trPr/>
        <w:tc>
          <w:tcPr>
            <w:tcW w:w="6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201160" cy="175260"/>
                      <wp:effectExtent l="0" t="0" r="0" b="0"/>
                      <wp:wrapNone/>
                      <wp:docPr id="139" name="Frame139"/>
                      <a:graphic xmlns:a="http://schemas.openxmlformats.org/drawingml/2006/main">
                        <a:graphicData uri="http://schemas.microsoft.com/office/word/2010/wordprocessingShape">
                          <wps:wsp>
                            <wps:cNvSpPr txBox="1"/>
                            <wps:spPr>
                              <a:xfrm>
                                <a:off x="0" y="0"/>
                                <a:ext cx="420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40"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67360" cy="175260"/>
                      <wp:effectExtent l="0" t="0" r="0" b="0"/>
                      <wp:wrapNone/>
                      <wp:docPr id="142" name="Frame14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pPr>
            <w:r>
              <w:rPr/>
              <w:t>​</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PIPE Pre-funded Warrants - July 31, 2024 to September 30, 2024 (Successor)</w:t>
            </w:r>
          </w:p>
        </w:tc>
        <w:tc>
          <w:tcPr>
            <w:tcW w:w="109"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4,442</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6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measurement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(2,720)</w:t>
            </w:r>
          </w:p>
        </w:tc>
      </w:tr>
      <w:tr>
        <w:trPr/>
        <w:tc>
          <w:tcPr>
            <w:tcW w:w="6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(end of period)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1,722</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434" w:name="Tc_ApmE9hWbD0mxUZcpWtjLcw_7_5"/>
      <w:bookmarkStart w:id="1435" w:name="Tc_kZt_KwKPVUaO6ML84GD09A_7_2"/>
      <w:bookmarkStart w:id="1436" w:name="Tc_t5k0RY07V0egZmWoDHR6nA_7_0"/>
      <w:bookmarkStart w:id="1437" w:name="Tc_nnfXBmKw8EmeB8COm6LeUQ_6_0"/>
      <w:bookmarkStart w:id="1438" w:name="Tc_Jx1RigJr5EGdIQWC_SBxAg_5_0"/>
      <w:bookmarkStart w:id="1439" w:name="Tc_REnAo_vckkiAZS1uBHEALw_4_5"/>
      <w:bookmarkStart w:id="1440" w:name="Tc_2_IJLlx1iUakDtKyCL1lVQ_4_2"/>
      <w:bookmarkStart w:id="1441" w:name="Tc_P5JCumMw7kKSiZ86jUPieg_4_0"/>
      <w:bookmarkStart w:id="1442" w:name="Tc_ngMRipSpwUmq6AqqlVd55g_3_5"/>
      <w:bookmarkStart w:id="1443" w:name="Tc_JIQHN7p6J0aVhjJLN2tXJA_3_2"/>
      <w:bookmarkStart w:id="1444" w:name="Tc_ZIAOV53gEUiCiFKxpqbubw_2_5"/>
      <w:bookmarkStart w:id="1445" w:name="Tc_yhC1FoQR30GGgaYMWKF6RQ_2_2"/>
      <w:bookmarkStart w:id="1446" w:name="Tc_RoyaPktSf0mNs9Ye-Cax2Q_1_5"/>
      <w:bookmarkStart w:id="1447" w:name="Tc_qlWygzbF9UucMtFDx3ezVg_1_2"/>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r>
        <w:rPr>
          <w:rFonts w:ascii="Times New Roman;Times;serif" w:hAnsi="Times New Roman;Times;serif"/>
          <w:b/>
          <w:sz w:val="20"/>
        </w:rPr>
        <w:t>Note 5 - Inventory,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Inventory as of September 30, 2024 and December 31, 2023 consists of the following (in thousands):</w:t>
      </w:r>
    </w:p>
    <w:p>
      <w:pPr>
        <w:pStyle w:val="TextBody"/>
        <w:bidi w:val="0"/>
        <w:spacing w:before="0" w:after="0"/>
        <w:ind w:left="0" w:right="0" w:firstLine="360"/>
        <w:jc w:val="both"/>
        <w:rPr/>
      </w:pPr>
      <w:r>
        <w:rPr/>
        <w:t>​</w:t>
      </w:r>
    </w:p>
    <w:tbl>
      <w:tblPr>
        <w:tblW w:w="4216" w:type="dxa"/>
        <w:jc w:val="left"/>
        <w:tblInd w:w="0" w:type="dxa"/>
        <w:tblLayout w:type="fixed"/>
        <w:tblCellMar>
          <w:top w:w="0" w:type="dxa"/>
          <w:left w:w="0" w:type="dxa"/>
          <w:bottom w:w="0" w:type="dxa"/>
          <w:right w:w="0" w:type="dxa"/>
        </w:tblCellMar>
      </w:tblPr>
      <w:tblGrid>
        <w:gridCol w:w="1456"/>
        <w:gridCol w:w="109"/>
        <w:gridCol w:w="319"/>
        <w:gridCol w:w="866"/>
        <w:gridCol w:w="326"/>
        <w:gridCol w:w="268"/>
        <w:gridCol w:w="872"/>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924560" cy="175260"/>
                      <wp:effectExtent l="0" t="0" r="0" b="0"/>
                      <wp:wrapNone/>
                      <wp:docPr id="143" name="Frame143"/>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2565" cy="175260"/>
                      <wp:effectExtent l="0" t="0" r="0" b="0"/>
                      <wp:wrapNone/>
                      <wp:docPr id="145" name="Frame14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49910" cy="175260"/>
                      <wp:effectExtent l="0" t="0" r="0" b="0"/>
                      <wp:wrapNone/>
                      <wp:docPr id="146" name="Frame146"/>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70180" cy="175260"/>
                      <wp:effectExtent l="0" t="0" r="0" b="0"/>
                      <wp:wrapNone/>
                      <wp:docPr id="148" name="Frame148"/>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53720" cy="175260"/>
                      <wp:effectExtent l="0" t="0" r="0" b="0"/>
                      <wp:wrapNone/>
                      <wp:docPr id="149" name="Frame149"/>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109"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109"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109"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3,322</w:t>
            </w:r>
          </w:p>
        </w:tc>
      </w:tr>
    </w:tbl>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Obsolete and expired inventory are expensed as incurred. Inventory is recorded net of obsolescence and manufacturing scrap of $0.4 million, $58.0 thousand, and $87.0 thousand for the periods from January 1, 2024 to July 30, 2024 (Predecessor), from July 31, 2024 to September 30, 2024 (Successor), and the nine months ended September 30, 2023 (Predecessor).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Inventory is recorded net of obsolescence and manufacturing scrap of $41.0 thousand, $58.0 thousand, and $25.0 thousand for the periods from July 1, 2024 to July 30, 2024 (Predecessor), from July 31, 2024 to September 30, 2024 (Successor), and the three months ended September 30, 2023 (Predecessor).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48" w:name="Tc_tfgJukJ2fUWNIn7Gs-1tew_15_5"/>
      <w:bookmarkStart w:id="1449" w:name="Tc_GY-NoEqXw0mKYubvNy-CXA_15_2"/>
      <w:bookmarkStart w:id="1450" w:name="Tc_J-dyIvUeTkeI95IKBoNMDw_15_0"/>
      <w:bookmarkStart w:id="1451" w:name="Tc_Vl-6ojuuAUSpx3HYUpq7vg_14_0"/>
      <w:bookmarkStart w:id="1452" w:name="Tc_G1uW0bCqlka9k0nOTTtayA_13_0"/>
      <w:bookmarkStart w:id="1453" w:name="Tc_J0izmT_pWEWiyUtTssWvBA_12_0"/>
      <w:bookmarkStart w:id="1454" w:name="Tc_GSscqhT270afjJvUMDlyxw_11_3"/>
      <w:bookmarkStart w:id="1455" w:name="Tc_ZwM8b8gnc06zedYVASR2Sw_11_0"/>
      <w:bookmarkStart w:id="1456" w:name="Tc_DB-nQG2_EEy4z68IQBdv2A_10_0"/>
      <w:bookmarkStart w:id="1457" w:name="Tc_efNEZ5GK5kewYM4ESANYYg_9_0"/>
      <w:bookmarkStart w:id="1458" w:name="Tc_bYsctm81vkus2Rhvn12GVA_8_0"/>
      <w:bookmarkStart w:id="1459" w:name="Tc_ejKevWVoA0mXh2CE54U4Vg_7_0"/>
      <w:bookmarkStart w:id="1460" w:name="Tc_xsxhyj3F1k-q5AtTnsDciw_6_0"/>
      <w:bookmarkStart w:id="1461" w:name="Tc_iC8vxpZHWk2NVQgl83r2tQ_5_0"/>
      <w:bookmarkStart w:id="1462" w:name="Tc_5syNKWg9akS3x6kpn3a2RA_4_5"/>
      <w:bookmarkStart w:id="1463" w:name="Tc_DviaFrd-0Uy3ziM2VYq_rg_4_2"/>
      <w:bookmarkStart w:id="1464" w:name="Tc_xtm-0RygBUi8go8wad3-6g_4_0"/>
      <w:bookmarkStart w:id="1465" w:name="Tc_heEp9WqQjkaA-UcFpDbMfg_3_5"/>
      <w:bookmarkStart w:id="1466" w:name="Tc_T3XyXoK8w0OemLVY-cNv4A_3_2"/>
      <w:bookmarkStart w:id="1467" w:name="Tc_hJaeCqaaCEqikNZtG7iK2A_2_5"/>
      <w:bookmarkStart w:id="1468" w:name="Tc_F56RhWdE4U2dlZoXoqD8hg_2_2"/>
      <w:bookmarkStart w:id="1469" w:name="Tc_R5wIGeEzcUiiMzep64JlTA_1_5"/>
      <w:bookmarkStart w:id="1470" w:name="Tc_RCr_V3jEj0eFBjEjNJg5lA_1_2"/>
      <w:bookmarkStart w:id="1471" w:name="_eb2e077a_22af_431f_91ba_9007ca0b03cd"/>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r>
        <w:rPr>
          <w:rFonts w:ascii="Times New Roman;Times;serif" w:hAnsi="Times New Roman;Times;serif"/>
          <w:b/>
          <w:sz w:val="20"/>
        </w:rPr>
        <w:t>Note 6 - Property and Equipment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property and equipment, net, as of September 30, 2024 and December 31, 2023 consists of the following (in thousands):</w:t>
      </w:r>
    </w:p>
    <w:p>
      <w:pPr>
        <w:pStyle w:val="TextBody"/>
        <w:bidi w:val="0"/>
        <w:spacing w:before="0" w:after="0"/>
        <w:ind w:left="0" w:right="0" w:hanging="0"/>
        <w:jc w:val="left"/>
        <w:rPr/>
      </w:pPr>
      <w:r>
        <w:rPr/>
        <w:t>​</w:t>
      </w:r>
    </w:p>
    <w:tbl>
      <w:tblPr>
        <w:tblW w:w="6068" w:type="dxa"/>
        <w:jc w:val="left"/>
        <w:tblInd w:w="0" w:type="dxa"/>
        <w:tblLayout w:type="fixed"/>
        <w:tblCellMar>
          <w:top w:w="0" w:type="dxa"/>
          <w:left w:w="0" w:type="dxa"/>
          <w:bottom w:w="0" w:type="dxa"/>
          <w:right w:w="0" w:type="dxa"/>
        </w:tblCellMar>
      </w:tblPr>
      <w:tblGrid>
        <w:gridCol w:w="3106"/>
        <w:gridCol w:w="326"/>
        <w:gridCol w:w="296"/>
        <w:gridCol w:w="889"/>
        <w:gridCol w:w="326"/>
        <w:gridCol w:w="250"/>
        <w:gridCol w:w="875"/>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972310" cy="175260"/>
                      <wp:effectExtent l="0" t="0" r="0" b="0"/>
                      <wp:wrapNone/>
                      <wp:docPr id="150" name="Frame150"/>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87960" cy="175260"/>
                      <wp:effectExtent l="0" t="0" r="0" b="0"/>
                      <wp:wrapNone/>
                      <wp:docPr id="152" name="Frame152"/>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64515" cy="175260"/>
                      <wp:effectExtent l="0" t="0" r="0" b="0"/>
                      <wp:wrapNone/>
                      <wp:docPr id="153" name="Frame153"/>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58750" cy="175260"/>
                      <wp:effectExtent l="0" t="0" r="0" b="0"/>
                      <wp:wrapNone/>
                      <wp:docPr id="155" name="Frame155"/>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55625" cy="175260"/>
                      <wp:effectExtent l="0" t="0" r="0" b="0"/>
                      <wp:wrapNone/>
                      <wp:docPr id="156" name="Frame156"/>
                      <a:graphic xmlns:a="http://schemas.openxmlformats.org/drawingml/2006/main">
                        <a:graphicData uri="http://schemas.microsoft.com/office/word/2010/wordprocessingShape">
                          <wps:wsp>
                            <wps:cNvSpPr txBox="1"/>
                            <wps:spPr>
                              <a:xfrm>
                                <a:off x="0" y="0"/>
                                <a:ext cx="555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December-24</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Consoles</w:t>
            </w:r>
          </w:p>
        </w:tc>
        <w:tc>
          <w:tcPr>
            <w:tcW w:w="326" w:type="dxa"/>
            <w:tcBorders/>
            <w:shd w:fill="CCEEFF" w:val="clear"/>
            <w:vAlign w:val="center"/>
          </w:tcPr>
          <w:p>
            <w:pPr>
              <w:pStyle w:val="TableContents"/>
              <w:bidi w:val="0"/>
              <w:spacing w:before="0" w:after="0"/>
              <w:ind w:left="0" w:right="0" w:hanging="0"/>
              <w:jc w:val="center"/>
              <w:rPr/>
            </w:pPr>
            <w:r>
              <w:rPr/>
              <w:t>​</w:t>
            </w:r>
          </w:p>
        </w:tc>
        <w:tc>
          <w:tcPr>
            <w:tcW w:w="296"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2,567</w:t>
            </w:r>
          </w:p>
        </w:tc>
        <w:tc>
          <w:tcPr>
            <w:tcW w:w="326" w:type="dxa"/>
            <w:tcBorders/>
            <w:shd w:fill="CCEEFF" w:val="clear"/>
            <w:vAlign w:val="center"/>
          </w:tcPr>
          <w:p>
            <w:pPr>
              <w:pStyle w:val="TableContents"/>
              <w:bidi w:val="0"/>
              <w:spacing w:before="0" w:after="0"/>
              <w:ind w:left="0" w:right="0" w:hanging="0"/>
              <w:jc w:val="center"/>
              <w:rPr/>
            </w:pPr>
            <w:r>
              <w:rPr/>
              <w:t>​</w:t>
            </w:r>
          </w:p>
        </w:tc>
        <w:tc>
          <w:tcPr>
            <w:tcW w:w="250" w:type="dxa"/>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machinery and equipment</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Tools and molds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Demo equipment</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4,181</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Less: accumulated depreciation </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1,487</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 was $0.7 million, $0.2 million and $0.4 million for the periods from January 1, 2024 to July 30, 2024 (Predecessor), from July 31, 2024 to September 30, 2024 (Successor), and the nine months ended September 30, 2023 (Predecessor),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 was $56.0 thousand, $0.2 million and $0.1 million for the periods from July 1, 2024 to July 30, 2024 (Predecessor), from July 31, 2024 to September 30, 2024 (Successor), and the three months ended September 30, 2023 (Predecessor), respectively.</w:t>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bookmarkStart w:id="1472" w:name="Tc_zho0JgT_qUifT5svT_VW2A_7_10"/>
      <w:bookmarkStart w:id="1473" w:name="Tc_zJpc4avKc026bVOzkBpQGA_7_7"/>
      <w:bookmarkStart w:id="1474" w:name="Tc_p_R5aiDQP0mlH6_TNLa5ow_7_4"/>
      <w:bookmarkStart w:id="1475" w:name="Tc_oaPdoarItkmSx_iNvQRqxw_7_0"/>
      <w:bookmarkStart w:id="1476" w:name="Tc_Rpgroui55EOJg5LQrg-Fng_6_0"/>
      <w:bookmarkStart w:id="1477" w:name="Tc_0Odi1b_YoEK70d7U8SlANQ_5_10"/>
      <w:bookmarkStart w:id="1478" w:name="Tc_L-RhcXB420OkklPXanJwQw_5_8"/>
      <w:bookmarkStart w:id="1479" w:name="Tc__TX5b7Ccw0uVNJHCeVN03g_5_7"/>
      <w:bookmarkStart w:id="1480" w:name="Tc_jpe3Waa_fUO20UkRCbOTIQ_5_4"/>
      <w:bookmarkStart w:id="1481" w:name="Tc_JlIbOzAcZ02soEyfP2cPdg_5_2"/>
      <w:bookmarkStart w:id="1482" w:name="Tc_WUyvyD2jrUqHWt7vWlzDfQ_5_0"/>
      <w:bookmarkStart w:id="1483" w:name="Tc_4DcbAvKiQ0SB7SUmh0qz6Q_3_10"/>
      <w:bookmarkStart w:id="1484" w:name="Tc_FqArjlhNVEuIGsJFXlrk4g_3_7"/>
      <w:bookmarkStart w:id="1485" w:name="Tc_QcvhQzHANk2VdJPGCjd3IA_3_4"/>
      <w:bookmarkStart w:id="1486" w:name="Tc_GZB4g4oZjES7BP5Ucz0noQ_3_2"/>
      <w:bookmarkStart w:id="1487" w:name="Tc_WRObiE3FsE6yDmtZ2xuRog_2_2"/>
      <w:bookmarkStart w:id="1488" w:name="Tc_qM_z6xwqn0qmm52T4xluSw_1_2"/>
      <w:bookmarkStart w:id="1489" w:name="_c2c3f98e_7d5f_4a4f_a309_f5f3975275c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r>
        <w:rPr>
          <w:rFonts w:ascii="Times New Roman;Times;serif" w:hAnsi="Times New Roman;Times;serif"/>
          <w:b/>
          <w:i/>
          <w:sz w:val="20"/>
        </w:rPr>
        <w:t>Note 7 – Goodwill and Intangible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Company’s intangible assets, net consists of the following (in thousands):</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932"/>
        <w:gridCol w:w="326"/>
        <w:gridCol w:w="1412"/>
        <w:gridCol w:w="326"/>
        <w:gridCol w:w="412"/>
        <w:gridCol w:w="1410"/>
        <w:gridCol w:w="326"/>
        <w:gridCol w:w="614"/>
        <w:gridCol w:w="1403"/>
        <w:gridCol w:w="326"/>
        <w:gridCol w:w="345"/>
        <w:gridCol w:w="1373"/>
      </w:tblGrid>
      <w:tr>
        <w:trPr/>
        <w:tc>
          <w:tcPr>
            <w:tcW w:w="1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226820" cy="175260"/>
                      <wp:effectExtent l="0" t="0" r="0" b="0"/>
                      <wp:wrapNone/>
                      <wp:docPr id="157" name="Frame157"/>
                      <a:graphic xmlns:a="http://schemas.openxmlformats.org/drawingml/2006/main">
                        <a:graphicData uri="http://schemas.microsoft.com/office/word/2010/wordprocessingShape">
                          <wps:wsp>
                            <wps:cNvSpPr txBox="1"/>
                            <wps:spPr>
                              <a:xfrm>
                                <a:off x="0" y="0"/>
                                <a:ext cx="1226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896620" cy="175260"/>
                      <wp:effectExtent l="0" t="0" r="0" b="0"/>
                      <wp:wrapNone/>
                      <wp:docPr id="159" name="Frame159"/>
                      <a:graphic xmlns:a="http://schemas.openxmlformats.org/drawingml/2006/main">
                        <a:graphicData uri="http://schemas.microsoft.com/office/word/2010/wordprocessingShape">
                          <wps:wsp>
                            <wps:cNvSpPr txBox="1"/>
                            <wps:spPr>
                              <a:xfrm>
                                <a:off x="0" y="0"/>
                                <a:ext cx="896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61620" cy="175260"/>
                      <wp:effectExtent l="0" t="0" r="0" b="0"/>
                      <wp:wrapNone/>
                      <wp:docPr id="161" name="Frame161"/>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895350" cy="175260"/>
                      <wp:effectExtent l="0" t="0" r="0" b="0"/>
                      <wp:wrapNone/>
                      <wp:docPr id="162" name="Frame162"/>
                      <a:graphic xmlns:a="http://schemas.openxmlformats.org/drawingml/2006/main">
                        <a:graphicData uri="http://schemas.microsoft.com/office/word/2010/wordprocessingShape">
                          <wps:wsp>
                            <wps:cNvSpPr txBox="1"/>
                            <wps:spPr>
                              <a:xfrm>
                                <a:off x="0" y="0"/>
                                <a:ext cx="895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89890" cy="175260"/>
                      <wp:effectExtent l="0" t="0" r="0" b="0"/>
                      <wp:wrapNone/>
                      <wp:docPr id="164" name="Frame164"/>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890905" cy="175260"/>
                      <wp:effectExtent l="0" t="0" r="0" b="0"/>
                      <wp:wrapNone/>
                      <wp:docPr id="165" name="Frame165"/>
                      <a:graphic xmlns:a="http://schemas.openxmlformats.org/drawingml/2006/main">
                        <a:graphicData uri="http://schemas.microsoft.com/office/word/2010/wordprocessingShape">
                          <wps:wsp>
                            <wps:cNvSpPr txBox="1"/>
                            <wps:spPr>
                              <a:xfrm>
                                <a:off x="0" y="0"/>
                                <a:ext cx="890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075" cy="175260"/>
                      <wp:effectExtent l="0" t="0" r="0" b="0"/>
                      <wp:wrapNone/>
                      <wp:docPr id="167" name="Frame167"/>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871855" cy="175260"/>
                      <wp:effectExtent l="0" t="0" r="0" b="0"/>
                      <wp:wrapNone/>
                      <wp:docPr id="168" name="Frame168"/>
                      <a:graphic xmlns:a="http://schemas.openxmlformats.org/drawingml/2006/main">
                        <a:graphicData uri="http://schemas.microsoft.com/office/word/2010/wordprocessingShape">
                          <wps:wsp>
                            <wps:cNvSpPr txBox="1"/>
                            <wps:spPr>
                              <a:xfrm>
                                <a:off x="0" y="0"/>
                                <a:ext cx="871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4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r>
      <w:tr>
        <w:trPr/>
        <w:tc>
          <w:tcPr>
            <w:tcW w:w="19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4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19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 (years)</w:t>
            </w:r>
          </w:p>
        </w:tc>
        <w:tc>
          <w:tcPr>
            <w:tcW w:w="326" w:type="dxa"/>
            <w:tcBorders/>
            <w:vAlign w:val="center"/>
          </w:tcPr>
          <w:p>
            <w:pPr>
              <w:pStyle w:val="TableContents"/>
              <w:bidi w:val="0"/>
              <w:spacing w:before="0" w:after="0"/>
              <w:ind w:left="0" w:right="0" w:hanging="0"/>
              <w:jc w:val="left"/>
              <w:rPr/>
            </w:pPr>
            <w:r>
              <w:rPr/>
              <w:t>    </w:t>
            </w:r>
          </w:p>
        </w:tc>
        <w:tc>
          <w:tcPr>
            <w:tcW w:w="18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Amount</w:t>
            </w:r>
          </w:p>
        </w:tc>
        <w:tc>
          <w:tcPr>
            <w:tcW w:w="326" w:type="dxa"/>
            <w:tcBorders/>
            <w:vAlign w:val="center"/>
          </w:tcPr>
          <w:p>
            <w:pPr>
              <w:pStyle w:val="TableContents"/>
              <w:bidi w:val="0"/>
              <w:spacing w:before="0" w:after="0"/>
              <w:ind w:left="0" w:right="0" w:hanging="0"/>
              <w:jc w:val="left"/>
              <w:rPr/>
            </w:pPr>
            <w:r>
              <w:rPr/>
              <w:t>    </w:t>
            </w:r>
          </w:p>
        </w:tc>
        <w:tc>
          <w:tcPr>
            <w:tcW w:w="2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326" w:type="dxa"/>
            <w:tcBorders/>
            <w:vAlign w:val="center"/>
          </w:tcPr>
          <w:p>
            <w:pPr>
              <w:pStyle w:val="TableContents"/>
              <w:bidi w:val="0"/>
              <w:spacing w:before="0" w:after="0"/>
              <w:ind w:left="0" w:right="0" w:hanging="0"/>
              <w:jc w:val="left"/>
              <w:rPr/>
            </w:pPr>
            <w:r>
              <w:rPr/>
              <w:t>    </w:t>
            </w:r>
          </w:p>
        </w:tc>
        <w:tc>
          <w:tcPr>
            <w:tcW w:w="17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Amount</w:t>
            </w:r>
          </w:p>
        </w:tc>
      </w:tr>
      <w:tr>
        <w:trPr/>
        <w:tc>
          <w:tcPr>
            <w:tcW w:w="19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1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14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left"/>
              <w:rPr/>
            </w:pPr>
            <w:r>
              <w:rPr/>
              <w:t>​</w:t>
            </w:r>
          </w:p>
        </w:tc>
        <w:tc>
          <w:tcPr>
            <w:tcW w:w="140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1373" w:type="dxa"/>
            <w:tcBorders/>
            <w:vAlign w:val="center"/>
          </w:tcPr>
          <w:p>
            <w:pPr>
              <w:pStyle w:val="TableContents"/>
              <w:bidi w:val="0"/>
              <w:spacing w:before="0" w:after="0"/>
              <w:ind w:left="0" w:right="0" w:hanging="0"/>
              <w:jc w:val="left"/>
              <w:rPr/>
            </w:pPr>
            <w:r>
              <w:rPr/>
              <w:t>​</w:t>
            </w:r>
          </w:p>
        </w:tc>
      </w:tr>
      <w:tr>
        <w:trPr/>
        <w:tc>
          <w:tcPr>
            <w:tcW w:w="19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IPR&amp;D</w:t>
            </w:r>
          </w:p>
        </w:tc>
        <w:tc>
          <w:tcPr>
            <w:tcW w:w="326" w:type="dxa"/>
            <w:tcBorders/>
            <w:shd w:fill="CCEEFF" w:val="clear"/>
            <w:vAlign w:val="center"/>
          </w:tcPr>
          <w:p>
            <w:pPr>
              <w:pStyle w:val="TableContents"/>
              <w:bidi w:val="0"/>
              <w:spacing w:before="0" w:after="0"/>
              <w:ind w:left="0" w:right="0" w:hanging="0"/>
              <w:jc w:val="left"/>
              <w:rPr/>
            </w:pPr>
            <w:r>
              <w:rPr/>
              <w:t>​</w:t>
            </w:r>
          </w:p>
        </w:tc>
        <w:tc>
          <w:tcPr>
            <w:tcW w:w="141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Indefinite</w:t>
            </w:r>
          </w:p>
        </w:tc>
        <w:tc>
          <w:tcPr>
            <w:tcW w:w="326"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22,100 </w:t>
            </w:r>
          </w:p>
        </w:tc>
        <w:tc>
          <w:tcPr>
            <w:tcW w:w="326"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22,100 </w:t>
            </w:r>
          </w:p>
        </w:tc>
      </w:tr>
      <w:tr>
        <w:trPr/>
        <w:tc>
          <w:tcPr>
            <w:tcW w:w="19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vAlign w:val="center"/>
          </w:tcPr>
          <w:p>
            <w:pPr>
              <w:pStyle w:val="TableContents"/>
              <w:bidi w:val="0"/>
              <w:spacing w:before="0" w:after="0"/>
              <w:ind w:left="0" w:right="0" w:hanging="0"/>
              <w:jc w:val="left"/>
              <w:rPr/>
            </w:pPr>
            <w:r>
              <w:rPr/>
              <w:t>​</w:t>
            </w:r>
          </w:p>
        </w:tc>
        <w:tc>
          <w:tcPr>
            <w:tcW w:w="14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5.0 </w:t>
            </w:r>
          </w:p>
        </w:tc>
        <w:tc>
          <w:tcPr>
            <w:tcW w:w="326" w:type="dxa"/>
            <w:tcBorders/>
            <w:vAlign w:val="center"/>
          </w:tcPr>
          <w:p>
            <w:pPr>
              <w:pStyle w:val="TableContents"/>
              <w:bidi w:val="0"/>
              <w:spacing w:before="0" w:after="0"/>
              <w:ind w:left="0" w:right="0" w:hanging="0"/>
              <w:jc w:val="left"/>
              <w:rPr/>
            </w:pPr>
            <w:r>
              <w:rPr/>
              <w:t>​</w:t>
            </w:r>
          </w:p>
        </w:tc>
        <w:tc>
          <w:tcPr>
            <w:tcW w:w="4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4,100 </w:t>
            </w:r>
          </w:p>
        </w:tc>
        <w:tc>
          <w:tcPr>
            <w:tcW w:w="326" w:type="dxa"/>
            <w:tcBorders/>
            <w:vAlign w:val="center"/>
          </w:tcPr>
          <w:p>
            <w:pPr>
              <w:pStyle w:val="TableContents"/>
              <w:bidi w:val="0"/>
              <w:spacing w:before="0" w:after="0"/>
              <w:ind w:left="0" w:right="0" w:hanging="0"/>
              <w:jc w:val="left"/>
              <w:rPr/>
            </w:pPr>
            <w:r>
              <w:rPr/>
              <w:t>​</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vAlign w:val="center"/>
          </w:tcPr>
          <w:p>
            <w:pPr>
              <w:pStyle w:val="TableContents"/>
              <w:bidi w:val="0"/>
              <w:spacing w:before="0" w:after="0"/>
              <w:ind w:left="0" w:right="0" w:hanging="0"/>
              <w:jc w:val="left"/>
              <w:rPr/>
            </w:pPr>
            <w:r>
              <w:rPr/>
              <w:t>​</w:t>
            </w:r>
          </w:p>
        </w:tc>
        <w:tc>
          <w:tcPr>
            <w:tcW w:w="3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3,961 </w:t>
            </w:r>
          </w:p>
        </w:tc>
      </w:tr>
      <w:tr>
        <w:trPr/>
        <w:tc>
          <w:tcPr>
            <w:tcW w:w="19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41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26,200 </w:t>
            </w:r>
          </w:p>
        </w:tc>
        <w:tc>
          <w:tcPr>
            <w:tcW w:w="326" w:type="dxa"/>
            <w:tcBorders/>
            <w:shd w:fill="CCEEFF" w:val="clear"/>
            <w:vAlign w:val="center"/>
          </w:tcPr>
          <w:p>
            <w:pPr>
              <w:pStyle w:val="TableContents"/>
              <w:bidi w:val="0"/>
              <w:spacing w:before="0" w:after="0"/>
              <w:ind w:left="0" w:right="0" w:hanging="0"/>
              <w:jc w:val="left"/>
              <w:rPr/>
            </w:pPr>
            <w:r>
              <w:rPr/>
              <w:t>​</w:t>
            </w:r>
          </w:p>
        </w:tc>
        <w:tc>
          <w:tcPr>
            <w:tcW w:w="6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 xml:space="preserve">26,061 </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Amortization of intangible assets is anticipated to be approximately $0.3 million in 2024, $0.8 million for each of the years from 2025 through 2028, and $0.5 million in 2029.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September 30, 2024 (Successor), the Company has goodwill of $44.3 million.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Based on the Company’s qualitative analysis, no intangible assets impairment or </w:t>
      </w:r>
      <w:r>
        <w:rPr>
          <w:rFonts w:ascii="Times New Roman;Times;serif" w:hAnsi="Times New Roman;Times;serif"/>
          <w:b w:val="false"/>
          <w:i w:val="false"/>
          <w:caps w:val="false"/>
          <w:smallCaps w:val="false"/>
          <w:sz w:val="20"/>
        </w:rPr>
        <w:t>goodwill</w:t>
      </w:r>
      <w:r>
        <w:rPr>
          <w:rFonts w:ascii="Times New Roman;Times;serif" w:hAnsi="Times New Roman;Times;serif"/>
          <w:sz w:val="20"/>
        </w:rPr>
        <w:t xml:space="preserve"> impairment charges were recorded in the period from July 31, 2024 to September 30, 2024 (Successor). There was no </w:t>
      </w:r>
      <w:r>
        <w:rPr>
          <w:rFonts w:ascii="Times New Roman;Times;serif" w:hAnsi="Times New Roman;Times;serif"/>
          <w:b w:val="false"/>
          <w:i w:val="false"/>
          <w:caps w:val="false"/>
          <w:smallCaps w:val="false"/>
          <w:sz w:val="20"/>
        </w:rPr>
        <w:t>goodwill</w:t>
      </w:r>
      <w:r>
        <w:rPr>
          <w:rFonts w:ascii="Times New Roman;Times;serif" w:hAnsi="Times New Roman;Times;serif"/>
          <w:sz w:val="20"/>
        </w:rPr>
        <w:t xml:space="preserve"> or intangible assets as of December 31, 2023 (Predecessor).</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90" w:name="Tc_ikG_rBzFpUOotnDbW4LHUw_7_5"/>
      <w:bookmarkStart w:id="1491" w:name="Tc_t8_On7_WOECF11q17PNe3w_7_2"/>
      <w:bookmarkStart w:id="1492" w:name="Tc_0upXbpRACEqZERy6ffU6Nw_7_0"/>
      <w:bookmarkStart w:id="1493" w:name="Tc_RArOUoNTBkK7U8rd0oQRjA_6_0"/>
      <w:bookmarkStart w:id="1494" w:name="Tc_fZepjgcZn0CIa4BFZ-bqcw_5_0"/>
      <w:bookmarkStart w:id="1495" w:name="Tc_uruaszgnZU-htkqCisPO6Q_4_5"/>
      <w:bookmarkStart w:id="1496" w:name="Tc_sZyGVk-eqUWRjKj79rQGfQ_4_2"/>
      <w:bookmarkStart w:id="1497" w:name="Tc_MTiVqAuPmkiVF0tiulOSrA_4_0"/>
      <w:bookmarkStart w:id="1498" w:name="Tc_8KbCWdZrNkWTkWBYfwSNtw_3_5"/>
      <w:bookmarkStart w:id="1499" w:name="Tc_OFLlnZvrWUSwgskwUP4DRg_3_2"/>
      <w:bookmarkStart w:id="1500" w:name="Tc_9GYIOziZjkOElFZVyHwOYQ_2_5"/>
      <w:bookmarkStart w:id="1501" w:name="Tc_aUa-4XINyE-S88Vl5Kw3gA_2_2"/>
      <w:bookmarkStart w:id="1502" w:name="Tc_7xMV1uFDn0ivwtz4BjWFiw_1_5"/>
      <w:bookmarkStart w:id="1503" w:name="Tc_Lj1yrfp6gkK547Jnp0tLkg_1_2"/>
      <w:bookmarkStart w:id="1504" w:name="_37e11db7_c32f_4f0c_bb56_659d56ff867b"/>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r>
        <w:rPr>
          <w:rFonts w:ascii="Times New Roman;Times;serif" w:hAnsi="Times New Roman;Times;serif"/>
          <w:b/>
          <w:sz w:val="20"/>
        </w:rPr>
        <w:t>Note 8 - Accrued Liabilities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details of accrued liabilities as of September 30, 2024 and December 31, 2023 (in thousands):</w:t>
      </w:r>
    </w:p>
    <w:p>
      <w:pPr>
        <w:pStyle w:val="TextBody"/>
        <w:bidi w:val="0"/>
        <w:spacing w:before="0" w:after="0"/>
        <w:ind w:left="0" w:right="0" w:firstLine="360"/>
        <w:jc w:val="both"/>
        <w:rPr/>
      </w:pPr>
      <w:r>
        <w:rPr/>
        <w:t>​</w:t>
      </w:r>
    </w:p>
    <w:tbl>
      <w:tblPr>
        <w:tblW w:w="5851" w:type="dxa"/>
        <w:jc w:val="left"/>
        <w:tblInd w:w="0" w:type="dxa"/>
        <w:tblLayout w:type="fixed"/>
        <w:tblCellMar>
          <w:top w:w="0" w:type="dxa"/>
          <w:left w:w="0" w:type="dxa"/>
          <w:bottom w:w="0" w:type="dxa"/>
          <w:right w:w="0" w:type="dxa"/>
        </w:tblCellMar>
      </w:tblPr>
      <w:tblGrid>
        <w:gridCol w:w="3091"/>
        <w:gridCol w:w="109"/>
        <w:gridCol w:w="319"/>
        <w:gridCol w:w="866"/>
        <w:gridCol w:w="326"/>
        <w:gridCol w:w="268"/>
        <w:gridCol w:w="872"/>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962785" cy="175260"/>
                      <wp:effectExtent l="0" t="0" r="0" b="0"/>
                      <wp:wrapNone/>
                      <wp:docPr id="169" name="Frame169"/>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2565" cy="175260"/>
                      <wp:effectExtent l="0" t="0" r="0" b="0"/>
                      <wp:wrapNone/>
                      <wp:docPr id="171" name="Frame17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49910" cy="175260"/>
                      <wp:effectExtent l="0" t="0" r="0" b="0"/>
                      <wp:wrapNone/>
                      <wp:docPr id="172" name="Frame172"/>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70180" cy="175260"/>
                      <wp:effectExtent l="0" t="0" r="0" b="0"/>
                      <wp:wrapNone/>
                      <wp:docPr id="174" name="Frame17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53720" cy="175260"/>
                      <wp:effectExtent l="0" t="0" r="0" b="0"/>
                      <wp:wrapNone/>
                      <wp:docPr id="175" name="Frame175"/>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and related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1,566</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109" w:type="dxa"/>
            <w:tcBorders/>
            <w:vAlign w:val="center"/>
          </w:tcPr>
          <w:p>
            <w:pPr>
              <w:pStyle w:val="TableContents"/>
              <w:bidi w:val="0"/>
              <w:spacing w:before="0" w:after="1"/>
              <w:ind w:left="0" w:right="0" w:hanging="0"/>
              <w:jc w:val="left"/>
              <w:rPr/>
            </w:pPr>
            <w:r>
              <w:rPr/>
              <w:t>​</w:t>
            </w:r>
          </w:p>
        </w:tc>
        <w:tc>
          <w:tcPr>
            <w:tcW w:w="319" w:type="dxa"/>
            <w:tcBorders/>
            <w:vAlign w:val="center"/>
          </w:tcPr>
          <w:p>
            <w:pPr>
              <w:pStyle w:val="TableContents"/>
              <w:bidi w:val="0"/>
              <w:spacing w:before="0" w:after="1"/>
              <w:ind w:left="0" w:right="0" w:hanging="0"/>
              <w:jc w:val="left"/>
              <w:rPr/>
            </w:pPr>
            <w:r>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w:t>
            </w:r>
          </w:p>
        </w:tc>
        <w:tc>
          <w:tcPr>
            <w:tcW w:w="32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87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109" w:type="dxa"/>
            <w:tcBorders/>
            <w:vAlign w:val="center"/>
          </w:tcPr>
          <w:p>
            <w:pPr>
              <w:pStyle w:val="TableContents"/>
              <w:bidi w:val="0"/>
              <w:spacing w:before="0" w:after="1"/>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2,910</w:t>
            </w:r>
          </w:p>
        </w:tc>
        <w:tc>
          <w:tcPr>
            <w:tcW w:w="326" w:type="dxa"/>
            <w:tcBorders/>
            <w:vAlign w:val="center"/>
          </w:tcPr>
          <w:p>
            <w:pPr>
              <w:pStyle w:val="TableContents"/>
              <w:bidi w:val="0"/>
              <w:spacing w:before="0" w:after="1"/>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3,048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05" w:name="Tc_PTKGxxY6fk6VDtVyQvIHxg_8_4"/>
      <w:bookmarkStart w:id="1506" w:name="Tc_sX9BQ0vGCky-73LTJ9jkrg_8_1"/>
      <w:bookmarkStart w:id="1507" w:name="Tc_7uCyU-xTkk6lzgUOmpsrng_8_0"/>
      <w:bookmarkStart w:id="1508" w:name="Tc_JgR-DbODVUO84IL5Rb4N_A_7_2"/>
      <w:bookmarkStart w:id="1509" w:name="Tc_Kbq133JJ2k-W6mNuIxKb6w_7_0"/>
      <w:bookmarkStart w:id="1510" w:name="Tc_NLeW7pJCck-PTWsi0GcNZg_6_2"/>
      <w:bookmarkStart w:id="1511" w:name="Tc_H6FIPhHye0G9WVj_Ltgi8Q_6_0"/>
      <w:bookmarkStart w:id="1512" w:name="Tc_dkAKYkgMGkaG4k3gbHdJtw_5_2"/>
      <w:bookmarkStart w:id="1513" w:name="Tc_iuuQ3yrfgEWefAixtQRAHg_5_0"/>
      <w:bookmarkStart w:id="1514" w:name="Tc_jXIrgqJosk6glVVT6709pQ_4_2"/>
      <w:bookmarkStart w:id="1515" w:name="Tc_iPQcLkP0XUWeDIGC-wsRqA_4_0"/>
      <w:bookmarkStart w:id="1516" w:name="Tc_pWW0Sv3MVUWxkI752uqwIA_3_5"/>
      <w:bookmarkStart w:id="1517" w:name="Tc_Llu4HOV9_UWtZh3NQ9vMAA_3_4"/>
      <w:bookmarkStart w:id="1518" w:name="Tc_-E2qEyUN2EGVp-rzGxOtBQ_3_1"/>
      <w:bookmarkStart w:id="1519" w:name="Tc_nk-Y_UEREU2LnlKtnVs_6A_3_0"/>
      <w:bookmarkStart w:id="1520" w:name="Tc_K-NijBaDf0ObKVFwKvwT4Q_2_4"/>
      <w:bookmarkStart w:id="1521" w:name="Tc_OonvjeE150OEc5qcZ_uW3Q_2_1"/>
      <w:bookmarkStart w:id="1522" w:name="Tc_Ua24Tz-xsEaTjz33a4Q-4w_1_4"/>
      <w:bookmarkStart w:id="1523" w:name="Tc_tUEtWFTbIEC2h-EvFLdjUg_1_1"/>
      <w:bookmarkStart w:id="1524" w:name="_fc71b412_fe34_485d_a8ed_8ad36177e304"/>
      <w:bookmarkStart w:id="1525" w:name="_576d6d3c_4c56_4e9e_84cc_71bbf99dbc89"/>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r>
        <w:rPr>
          <w:rFonts w:ascii="Times New Roman;Times;serif" w:hAnsi="Times New Roman;Times;serif"/>
          <w:b/>
          <w:sz w:val="20"/>
        </w:rPr>
        <w:t>Note 9 - Debt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Outstanding debt as of September 30, 2024 and December 31, 2023 consists of the following (in thousands): </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tbl>
      <w:tblPr>
        <w:tblW w:w="8420" w:type="dxa"/>
        <w:jc w:val="left"/>
        <w:tblInd w:w="0" w:type="dxa"/>
        <w:tblLayout w:type="fixed"/>
        <w:tblCellMar>
          <w:top w:w="0" w:type="dxa"/>
          <w:left w:w="0" w:type="dxa"/>
          <w:bottom w:w="0" w:type="dxa"/>
          <w:right w:w="0" w:type="dxa"/>
        </w:tblCellMar>
      </w:tblPr>
      <w:tblGrid>
        <w:gridCol w:w="4771"/>
        <w:gridCol w:w="420"/>
        <w:gridCol w:w="1350"/>
        <w:gridCol w:w="109"/>
        <w:gridCol w:w="371"/>
        <w:gridCol w:w="1399"/>
      </w:tblGrid>
      <w:tr>
        <w:trPr/>
        <w:tc>
          <w:tcPr>
            <w:tcW w:w="4771"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66700" cy="175260"/>
                      <wp:effectExtent l="0" t="0" r="0" b="0"/>
                      <wp:wrapNone/>
                      <wp:docPr id="176" name="Frame176"/>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857250" cy="175260"/>
                      <wp:effectExtent l="0" t="0" r="0" b="0"/>
                      <wp:wrapNone/>
                      <wp:docPr id="177" name="Frame177"/>
                      <a:graphic xmlns:a="http://schemas.openxmlformats.org/drawingml/2006/main">
                        <a:graphicData uri="http://schemas.microsoft.com/office/word/2010/wordprocessingShape">
                          <wps:wsp>
                            <wps:cNvSpPr txBox="1"/>
                            <wps:spPr>
                              <a:xfrm>
                                <a:off x="0" y="0"/>
                                <a:ext cx="857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9215" cy="175260"/>
                      <wp:effectExtent l="0" t="0" r="0" b="0"/>
                      <wp:wrapNone/>
                      <wp:docPr id="178" name="Frame1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35585" cy="175260"/>
                      <wp:effectExtent l="0" t="0" r="0" b="0"/>
                      <wp:wrapNone/>
                      <wp:docPr id="179" name="Frame17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888365" cy="175260"/>
                      <wp:effectExtent l="0" t="0" r="0" b="0"/>
                      <wp:wrapNone/>
                      <wp:docPr id="180" name="Frame180"/>
                      <a:graphic xmlns:a="http://schemas.openxmlformats.org/drawingml/2006/main">
                        <a:graphicData uri="http://schemas.microsoft.com/office/word/2010/wordprocessingShape">
                          <wps:wsp>
                            <wps:cNvSpPr txBox="1"/>
                            <wps:spPr>
                              <a:xfrm>
                                <a:off x="0" y="0"/>
                                <a:ext cx="888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4771" w:type="dxa"/>
            <w:tcBorders/>
            <w:vAlign w:val="center"/>
          </w:tcPr>
          <w:p>
            <w:pPr>
              <w:pStyle w:val="TableContents"/>
              <w:bidi w:val="0"/>
              <w:spacing w:before="0" w:after="0"/>
              <w:ind w:left="0" w:right="0" w:hanging="0"/>
              <w:jc w:val="center"/>
              <w:rPr/>
            </w:pPr>
            <w:r>
              <w:rPr/>
              <w:t>​</w:t>
            </w:r>
          </w:p>
        </w:tc>
        <w:tc>
          <w:tcPr>
            <w:tcW w:w="177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(Successor)</w:t>
            </w:r>
          </w:p>
        </w:tc>
        <w:tc>
          <w:tcPr>
            <w:tcW w:w="109" w:type="dxa"/>
            <w:tcBorders/>
            <w:vAlign w:val="center"/>
          </w:tcPr>
          <w:p>
            <w:pPr>
              <w:pStyle w:val="TableContents"/>
              <w:bidi w:val="0"/>
              <w:spacing w:before="0" w:after="0"/>
              <w:ind w:left="0" w:right="0" w:hanging="0"/>
              <w:jc w:val="center"/>
              <w:rPr/>
            </w:pPr>
            <w:r>
              <w:rPr/>
              <w:t>​</w:t>
            </w:r>
          </w:p>
        </w:tc>
        <w:tc>
          <w:tcPr>
            <w:tcW w:w="177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(Predecessor)</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Securities Notes</w:t>
            </w:r>
          </w:p>
        </w:tc>
        <w:tc>
          <w:tcPr>
            <w:tcW w:w="4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13,750</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shd w:fill="CCEEFF" w:val="clear"/>
            <w:vAlign w:val="center"/>
          </w:tcPr>
          <w:p>
            <w:pPr>
              <w:pStyle w:val="TableContents"/>
              <w:bidi w:val="0"/>
              <w:spacing w:before="0" w:after="0"/>
              <w:ind w:left="0" w:right="0" w:hanging="0"/>
              <w:jc w:val="right"/>
              <w:rPr/>
            </w:pPr>
            <w:r>
              <w:rPr/>
              <w:t>—</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2022 Convertible Notes measured at fair value</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12,561</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2023 Convertible Notes measured at fair value</w:t>
            </w:r>
          </w:p>
        </w:tc>
        <w:tc>
          <w:tcPr>
            <w:tcW w:w="420" w:type="dxa"/>
            <w:tcBorders/>
            <w:shd w:fill="CCEEFF" w:val="clear"/>
            <w:vAlign w:val="center"/>
          </w:tcPr>
          <w:p>
            <w:pPr>
              <w:pStyle w:val="TableContents"/>
              <w:bidi w:val="0"/>
              <w:spacing w:before="0" w:after="0"/>
              <w:ind w:left="0" w:right="0" w:hanging="0"/>
              <w:jc w:val="left"/>
              <w:rPr/>
            </w:pPr>
            <w:r>
              <w:rPr/>
              <w:t>​</w:t>
            </w:r>
          </w:p>
        </w:tc>
        <w:tc>
          <w:tcPr>
            <w:tcW w:w="135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c>
          <w:tcPr>
            <w:tcW w:w="13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14,757</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2023 Convertible Notes measured at fair value</w:t>
            </w:r>
          </w:p>
        </w:tc>
        <w:tc>
          <w:tcPr>
            <w:tcW w:w="420" w:type="dxa"/>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13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9,112</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SVB term loan</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w:t>
            </w:r>
          </w:p>
        </w:tc>
      </w:tr>
      <w:tr>
        <w:trPr/>
        <w:tc>
          <w:tcPr>
            <w:tcW w:w="4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outstanding debt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13,750</w:t>
            </w:r>
          </w:p>
        </w:tc>
        <w:tc>
          <w:tcPr>
            <w:tcW w:w="109" w:type="dxa"/>
            <w:tcBorders/>
            <w:vAlign w:val="center"/>
          </w:tcPr>
          <w:p>
            <w:pPr>
              <w:pStyle w:val="TableContents"/>
              <w:bidi w:val="0"/>
              <w:spacing w:before="0" w:after="0"/>
              <w:ind w:left="0" w:right="0" w:hanging="0"/>
              <w:jc w:val="left"/>
              <w:rPr/>
            </w:pPr>
            <w:r>
              <w:rPr/>
              <w:t>​</w:t>
            </w:r>
          </w:p>
        </w:tc>
        <w:tc>
          <w:tcPr>
            <w:tcW w:w="3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38,268</w:t>
            </w:r>
          </w:p>
        </w:tc>
      </w:tr>
    </w:tbl>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October 2022 Convertible Notes (Predecessor)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October 27, 2022, the Legacy Adagio entered into the October 2022 Convertible Notes with investors for the issuance and sale of convertible promissory notes with an aggregate principal amount of $9.5 million at an interest rate of eight percent (8.0%) per annum.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April 4, 2023, the October 2022 Convertible Notes, which had an original maturity date of October 27, 2023, were amended to extend the maturity date to the latest of (i) January 5, 2024, (ii) termination of agreements between the Legacy Adagio and ARYA in connection with a non-binding summary of certain proposed terms and conditions of a potential business combination, or (iii) the termination or lapse of the exclusivity period as defined in the non-binding term sheet as mentioned above. The October 2022 Convertible Notes agreement was also amended to subordinate the October 2022 Convertible Notes to the April 2023 Convertible Notes (as described below) and provide for the conversion of all principals and accrued interest in respect of all the October 2022 Convertible Notes into shares of Series E Preferred Stock of the Legacy Adagio in connection with the Business Combination.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November 28, 2023, the October 2022 Convertible Notes agreement was further amended to subordinate the October 2022 Convertible Notes to the April 2023 Convertible Notes and the November 2023 Convertible Notes (as described below). Upon the consummation of the Business Combination, all principal and accrued interest in respect of the October 2022 Convertible Notes was converted into shares of the Legacy Adagio common stock, when multiplied by the exchange ratio applicable to the Legacy Adagio common stock in the Business Combination, entitled the holder of this note to receive a number of shares of the same class of common stock that are issued in the Private Investment in Public Equity Financing (“PIPE Financing”) equal to the then outstanding principal amount and any accrued and unpaid interest under this note, divided by 75% of the effective price of each share of common stock sold in the PIPE Financing.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February 13, 2024, the October 2022 Convertible Notes agreement was further amended to extend the maturity date to the termination of the Business Combination Agreement, and subordinate the October 2022 Convertible Notes to the April 2023 Convertible Notes, the November 2023 Convertible Notes, and February 2024 Convertible Notes (as described below).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total of $9.5 million principal was received by the Legacy Adagio as of December 31, 2022. As of December 31, 2023 (Predecessor), the principal amount outstanding was $9.5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1, 2024 to July 30, 2024 (Predecessor), from January 1, 2024 to July 30, 2024 (Predecessor), and the three and nine months ended September 30, 2023 (Predecessor), Legacy Adagio has recognized the interest expense of $62.5 thousand, $0.4 million, $0.2 million and $0.6 million, respectively.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all principal and accrued interest in respect to the October 2022 Convertible Notes were converted into 8,661,985 shares of Legacy Adagio common stock. Further, on Closing Date, the 8,661,985 Legacy Adagio common stocks were converted to 1,444,899 Company’s Common Stock based on the exchange ratio set forth in the Business Combination Agreement.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Bridge Financing Notes (Predecessor)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April 2023 Convertible Notes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April 4, 2023, Legacy Adagio issued a $5.0 million convertible promissory note that matures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April 2023 Convertible Notes accrues simple interest at eight percent (8.0%) per annum. Additionally, Legacy Adagio obtained the right to issue up to $10.0 million in additional convertible promissory notes available beginning one month after April 4, 2023 through the occurrence of an ARYA stockholder vote with regard to a transaction. During the period from April 4, 2023 to December 31, 2023, Legacy Adagio issued the additional $10.0 million.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28, 2023, the April 2023 Convertible Notes were amended to align certain terms of the April 2023 Convertible Notes with the November 2023 Convertible Notes.</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this note was automatically converted into the type of securities that are issued in the PIPE Financing in an amount equal to the then-outstanding principal amount and any accrued and unpaid interest, divided by the effective price of the securities sold in the PIPE Financing.</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2023 (Predecessor), the principal amount outstanding was $15.0 million.</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1, 2024 to July 30, 2024 (Predecessor), from January 1, 2024 to July 30, 2024 (Predecessor), and the three and nine months ended September 30, 2023 (Predecessor), Legacy Adagio has recognized the interest expense of $0.1 million, $0.6 million, $0.2 million and $0.3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November 2023 Convertible Notes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28, 2023, Legacy Adagio issued to Perceptive PIPE Investor a $2.0 million convertible promissory note that matures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November 2023 Convertible Notes accrues simple interest at eight percent (8.0%) per annum. Additionally, Legacy Adagio obtained the right to issue up to $6.0 million of Delayed Draw Commitment.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this note was automatically converted into the type of securities that are issued in the PIPE Financing in an amount equal to the then-outstanding principal amount and any accrued and unpaid interest, divided by the effective price of the securities sold in the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2023, the November 2023 Convertible Notes were amended to permit the issuance of a Delayed Draw Commitment in the principal amount of $1.0 million and $2.0 million on December 13, 2023 and December 28, 2023, respectively. The combined $3.0 million convertible promissory notes were issued pursuant to the clause and terms in the November 2023 Convertible Notes agreement.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2023 (Predecessor), the principal amount outstanding was $5.0 million.</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1, 2024 to July 30, 2024 (Predecessor), and from January 1, 2024 to July 30, 2024 (Predecessor), Legacy Adagio has recognized the interest expense of $50.6 thousand and $0.3 million, respectively.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May 2024 Convertible Notes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May 21, 2024, Legacy Adagio issued to Perceptive PIPE Investor a $3.0 million convertible promissory note that matures upon the termination of the Business Combination Agreement in accordance with its terms. The May 2024 Convertible Notes accrues simple interest at eight percent (8.0%) per annum.</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this note was automatically converted into the type of securities that are issued in the PIPE Financing in an amount equal to the then-outstanding principal amount and any accrued and unpaid interest, divided by the effective price of the securities sold in the PIPE Financing.</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1, 2024 to July 30, 2024 (Predecessor) and from January 1, 2024 to July 30, 2024 (Predecessor), Legacy Adagio has recognized the interest expense of $19.7 thousand and $46.0 thousand, respectively.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June 2024 Convertible Notes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25, 2024, Legacy Adagio issued to Perceptive PIPE Investor a $2.5 million convertible promissory note that matures upon the termination of the Business Combination Agreement in accordance with its terms. The June 2024 Convertible Notes accrues simple interest at eight percent (8.0%) per annum.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this note was automatically converted into the type of securities that are issued in the PIPE Financing in an amount equal to the then-outstanding principal amount and any accrued and unpaid interest, divided by the effective price of the securities sold in the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1, 2024 to July 30, 2024 (Predecessor) and from January 1, 2024 to July 30, 2024 (Predecessor), Legacy Adagio has recognized the interest expense of $16.4 thousand and $19.2 thousand, respectively.</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July 2024 Convertible Notes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23, 2024, Legacy Adagio issued a $1.0 million convertible promissory note to Perceptive PIPE Investor that matures upon the termination of the Business Combination Agreement in accordance with its terms. It accrues simple interest at eight percent (8.0%) per annum.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this note was automatically converted into the type of securities that are issued in the PIPE Financing in an amount equal to the then-outstanding principal amount and any accrued and unpaid interest, divided by the effective price of the securities sold in the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1, 2024 to July 30, 2024 (Predecessor), Legacy Adagio has recognized the interest expense of $1.3 thousand.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Business Combination Agreement, the outstanding $29.5 million principal along with the accrued but unpaid interest of the Bridge Financing Notes, was converted in exchange for 4,372,607 shares of the Company’s Common Stock and 3,540,000 Base Warrants as part of the PIPE Financing.</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February 2024 Convertible Notes (Predecessor)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February 13, 2024, the Legacy Adagio issued to Perceptive PIPE Investor a principal of $7.0 million convertible promissory note that matures upon the termination of the Business Combination Agreement in accordance with its terms. The February 2024 Convertible Notes accrues simple interest at eight percent (8.0%) per annum.</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Upon the consummation of the Business Combination, the February 2024 Convertible Notes was automatically transferred to the Company in connection with the issuance of the Convertible Securities Notes to Perceptive PIPE Investor, pursuant to, and in accordance with, the note purchase agreement and the Convertible Security Subscription Agreement (as defined below), dated February 13, 2024, by and among the Company, ARYA, Legacy Adagio and Perceptive PIPE Investor. Any interest accrued on the principal amount of the February 2024 Convertible Notes will be forfeited in connection with the transfer of the notes to the Company.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1, 2024 to July 30, 2024 (Predecessor) and from January 1, 2024 to July 30, 2024 (Predecessor), Legacy Adagio has recognized the interest expense of $46.0 thousand and $0.3 million, respectively.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the Closing Date, the $7.0 million of February 2024 Convertible Notes were converted into $7.0 million Convertible Securities Notes and 525,000 Convert Warrants.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SVB Term Loan (Predecessor)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3, 2023, Legacy Adagio entered into an agreement to obtain an initial term loan advance of $3.0 million and a right to issue a subsequent term loan advance of $2.0 million pursuant to the LSA. The loans mature on January 1, 2025 and Legacy Adagio must make monthly payments at a floating rate per annum equal to the greater of (1) seven percent (7.0%) and (2) the market </w:t>
      </w:r>
      <w:r>
        <w:rPr>
          <w:rFonts w:ascii="Times New Roman;Times;serif" w:hAnsi="Times New Roman;Times;serif"/>
          <w:b w:val="false"/>
          <w:i w:val="false"/>
          <w:caps w:val="false"/>
          <w:smallCaps w:val="false"/>
          <w:sz w:val="20"/>
        </w:rPr>
        <w:t>prime rate</w:t>
      </w:r>
      <w:r>
        <w:rPr>
          <w:rFonts w:ascii="Times New Roman;Times;serif" w:hAnsi="Times New Roman;Times;serif"/>
          <w:sz w:val="20"/>
        </w:rPr>
        <w:t xml:space="preserve"> plus one and one half of one percent (1.5%).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issuance of the SVB Term Loan, Legacy Adagio issued liability - classified warrants with a fair value of $28.5 thousand to purchase 32,720 shares of common stock of Legacy Adagio (“Initial Warrants”), and a contingent right, with a fair value of $7.1 thousand, to obtain an additional 16,360 shares of the common stock (“Additional Warrants”) upon the nonoccurrence of the Interest Only Milestone. The Interest Only Milestone (“Milestone”) refers to a specific condition that is met on or before April 30, 2023. To satisfy this Milestone, Legacy Adagio must ensure that no event of default has occurred. If this condition is met, Legacy Adagio must provide SVB (i) the intent for the sale of all capital stock of Legacy Adagio, or (ii) an executed term sheet for a priced equity financing of at least $40.0 million from the sale of Legacy Adagio’s capital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initial recognition of the warrant liabilities and the contingent right resulted in a discount of $35.6 thousand to the SVB Term Loan. The discount is being amortized to interest expense over the term of the LSA.</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December 31, 2023, the outstanding principal of SVB Term Loan was $1.9 million and the unamortized debt discount was $19.4 thousand.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1, 2024 to July 30, 2024 (Predecessor), from January 1, 2024 to July 30, 2024 (Predecessor), and the three and nine months ended September 30, 2023 (Predecessor), Legacy Adagio has recognized the interest expense was $9.0 thousand, $87.3 thousand, $66.5 thousand, and $0.2 million,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Prior to the Closing, the existing SVB Term Loan of Legacy Adagio has a net balance of $1.0 million, including $1.0 million of principal and accrued interest, and an unamortized debt discount of $9.7 thousand. The unpaid principal and accrued interest were carried as assumed liabilities to the Company and paid at the Closing.</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Securities Notes (Successor)</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total of $20.0 million Convertible Securities Notes will be convertible into shares of the Company’s Common Stock at a conversion price of $10.00 per share, subject to adjustment per the terms of the agreement. In the event of default, the Company may irrevocably elect in the event of default notice to permit the holder to effect alternate conversion, for which the conversion calculation and price are specified in the agreement.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total of 1,500,000 Convert Warrants, each of which will be exercisable on a cashless basis or for one share of the Company’s Common Stock at $24.00 per share, subject to adjustment. The Convertible Securities Notes have a maturity of </w:t>
      </w:r>
      <w:r>
        <w:rPr>
          <w:rFonts w:ascii="Times New Roman;Times;serif" w:hAnsi="Times New Roman;Times;serif"/>
          <w:b w:val="false"/>
          <w:i w:val="false"/>
          <w:caps w:val="false"/>
          <w:smallCaps w:val="false"/>
          <w:sz w:val="20"/>
        </w:rPr>
        <w:t>three years and nine months</w:t>
      </w:r>
      <w:r>
        <w:rPr>
          <w:rFonts w:ascii="Times New Roman;Times;serif" w:hAnsi="Times New Roman;Times;serif"/>
          <w:sz w:val="20"/>
        </w:rPr>
        <w:t xml:space="preserve"> after the Closing and interest will be payable in cash or compound as additional principal outstanding which accrues on a quarterly basis.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conversion of the February 2024 Convertible Notes was carried out on the same terms as the other Convert Investors executing the Convertible Security Subscription Agreement.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July 31, 2024 to September 30, 2024 (Successor), the Company has recognized interest expense of $0.4 million.</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Warrants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SVB Warrants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3, 2023, in conjunction with the LSA, the Legacy Adagio issued Initial Warrants to purchase 32,720 shares of common stock of the Company, and a contingent right to obtain an additional 16,360 shares of the common stock upon the non-occurrence of the Interest Only Milestone as mentioned above. The Additional Warrants are subject to the same terms as the Initial Warrants (collectively “SVB Warrants”).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exercise price of the SVB Warrants is $7.97 per share. The warrants are fully exercisable and will expire on February 3, 2033.</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SVB Warrants were terminated prior to the consummation of the Business Combination as the fair market value of Legacy Adagio common stock is lower than the exercise price of the SVB Warrants before the Closing.</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Series E Pre-funded Warrants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June 25, 2024, in conjunction with the Series E Preferred Stock exchange agreement (refer to </w:t>
      </w:r>
      <w:r>
        <w:rPr>
          <w:rFonts w:ascii="Times New Roman;Times;serif" w:hAnsi="Times New Roman;Times;serif"/>
          <w:i/>
          <w:sz w:val="20"/>
        </w:rPr>
        <w:t>Note 13-Mezzanine Equity and Stockholders’ Equity (Deficit))</w:t>
      </w:r>
      <w:r>
        <w:rPr>
          <w:rFonts w:ascii="Times New Roman;Times;serif" w:hAnsi="Times New Roman;Times;serif"/>
          <w:sz w:val="20"/>
        </w:rPr>
        <w:t xml:space="preserve">, Legacy Adagio issued to a certain investor 207,902 shares of pre-funded warrants to purchase 207,902 shares of Series E Preferred Stock, in exchange of the investor’s existing holding of 207,902 shares of Series E Preferred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exercise price of the pre-funded warrants is $0.001 per share. The pre-funded warrants are exercisable, at the option of the holder, on any day on or after the issuance date, in whole or in part. As an alternative to immediate cash payment, the investor may elect to exercise the pre-funded warrant through a cashless exercise.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207,902 Series E Pre-funded Warrants were converted in exchange for 34,680 shares of the Company’s Common Stock.</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 Warrants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mentioned in </w:t>
      </w:r>
      <w:r>
        <w:rPr>
          <w:rFonts w:ascii="Times New Roman;Times;serif" w:hAnsi="Times New Roman;Times;serif"/>
          <w:i/>
          <w:sz w:val="20"/>
        </w:rPr>
        <w:t>Note 9- Debt</w:t>
      </w:r>
      <w:r>
        <w:rPr>
          <w:rFonts w:ascii="Times New Roman;Times;serif" w:hAnsi="Times New Roman;Times;serif"/>
          <w:sz w:val="20"/>
        </w:rPr>
        <w:t>, the Company issued $20.0 million of Convertible Securities Notes and 1,500,000 Convert Warrants at the Closing. Each of the Convert Warrants is exercisable on a cashless basis or for one share of the Company’s Common Stock at an exercise price of $24.00 per share, subject to adjustment. The Convert Warrants expire on the seventh anniversary from the issuance date.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PIPE Pre-funded Warrants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issued 670,000 PIPE Pre-funded Warrants, along with 681,111 shares of the Company’s Common Shares and 1,140,000 Base Warrants to certain Other PIPE Investor in exchange for cash proceeds of $9.5 million in PIPE Financing.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set forth in the agreement of the PIPE Pre-Funded Warrants, the PIPE Pre-Funded Warrants are exercisable on a cashless basis or on a gross basis for one share of the Company’s Common Stock at an exercise price of $0.01 per share, subject to adjustments. The Company may be required to cash settle the PIPE Pre-funded Warrants when it fails to timely deliver shares to the holder who exercises the PIPE Pre-funded Warrants or upon the occurrence of a fundamental transaction. The PIPE Pre-funded Warrants expires when it is exercised in full.</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PIPE Base Warrants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the Closing Date, the Company issued 3,540,000 Base Warrants along with 4,372,607 shares of the Company’s Common Shares to settle the outstanding principal and accrued interest of the Bridge Financing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also issued 3,345,069 Base Warrants along with 3,287,018 shares of the Company’s Common Stock and 670,000 PIPE Pre-Funded Warrants to PIPE Investors for cash proceeds received in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Further, in connection with the non-redemption agreements entered with certain Other PIPE Investors holding 468,941 shares of ARYA’s Class A ordinary shares, the Company issued 643,658 units of Base Warrants along with 761,229 shares of the Company’s Common stock in exchange for the non-redeemable 468,941 shares of ARYA’s Class A ordinary shares.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Base Warrants can be exercised to the Company’s Common Stock at any time during the period from the issuance date to the expiration date which is the fifth anniversary from the date of issuance. The warrants can be exercised on a gross or net basis at an exercise price of $10 per share.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Base Warrants were fair valued at $2.41 per unit on the date of issuance based on the assumptions including (i) the value of the Company’s Common Stock is $6.64 per share; (ii) a risk-free rate at 3.93%; (iii) zero dividend yield; (iv) the common stock volatility at 84.0% and a volatility haircut of 10%; (v) the remaining term is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According to the ASC 815, it is determined that the Base Warrants associated with the PIPE Financing are indexed to the Company’s Common Stock under and are accounted for as equity, which is initially measured at fair value. The Base Warrants are classified as equity in the financial statements because they meet the ASC 815-40 indexation guidance. Specifically, 1) the Base Warrants can be exercised at any time during the exercise period without contingencies; 2) the Base Warrants can be settled in a fixed number of shares upon exercise with any adjustments, such as antidilution and alternative issuance adjustments, consistent with ASC 815 guidance, which does not preclude equity classification. Additionally, the Company has sufficient authorized shares available to settle the Base Warrants, and all the adjustments are in the control of the Company, further supporting the equity classification.</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526" w:name="Tc_8Pz0SP91wkOP2V-fhFovYA_6_2"/>
      <w:bookmarkStart w:id="1527" w:name="Tc_m8K0fWwDlEWiIMDyM-J7lQ_6_0"/>
      <w:bookmarkStart w:id="1528" w:name="Tc_zIGIt5kimEyoPqPcailGUw_5_0"/>
      <w:bookmarkStart w:id="1529" w:name="Tc_qgzyCx9TKE-DlgXnKbFkoA_4_0"/>
      <w:bookmarkStart w:id="1530" w:name="Tc_BFlqKXJ3qkmuRMUEp5ue7Q_3_0"/>
      <w:bookmarkStart w:id="1531" w:name="Tc_0iAb5Yt-80yxQen2pdXwlg_2_0"/>
      <w:bookmarkStart w:id="1532" w:name="Tc_lLz7gKwA_0K1jQIpWPKyAw_1_2"/>
      <w:bookmarkStart w:id="1533" w:name="Tc_tCA7S00RpEm-PrhXnBWn-w_1_0"/>
      <w:bookmarkStart w:id="1534" w:name="_1c2e835e_59bf_427a_b7e3_46b85dd8f2d0"/>
      <w:bookmarkStart w:id="1535" w:name="Tc_fZ8OGL1jqUGQn0ezz9nEiw_7_0"/>
      <w:bookmarkStart w:id="1536" w:name="Tc_-0xQkHhqDUmEY7GEydjbzw_6_0"/>
      <w:bookmarkStart w:id="1537" w:name="Tc_dXZ_Ett3B0CXUbYJxepsnQ_5_6"/>
      <w:bookmarkStart w:id="1538" w:name="Tc_kSdNE3468UavNJ7fV1lovg_5_4"/>
      <w:bookmarkStart w:id="1539" w:name="Tc_KBytGTF4nUK75neN4_S_8Q_5_2"/>
      <w:bookmarkStart w:id="1540" w:name="Tc_Ad3lF3lBd0G2GCJvOzeFig_5_0"/>
      <w:bookmarkStart w:id="1541" w:name="Tc_P4gnwnsoukmY28Pi39OZzg_4_7"/>
      <w:bookmarkStart w:id="1542" w:name="Tc_TeSQ_cdpIUykjAZVfYQECg_4_5"/>
      <w:bookmarkStart w:id="1543" w:name="Tc_ztEViltKmUazvPW2bhIsZg_4_3"/>
      <w:bookmarkStart w:id="1544" w:name="Tc_aNKsaC1V_UqADVin7t-WIA_4_0"/>
      <w:bookmarkStart w:id="1545" w:name="Tc_bB_QzsoB8EWjDig1s1FUuw_3_7"/>
      <w:bookmarkStart w:id="1546" w:name="Tc_-rxmJ_ly8E6veCv1zvc3iA_3_5"/>
      <w:bookmarkStart w:id="1547" w:name="Tc_97LvhZolckO2rWcDdjT7lA_3_3"/>
      <w:bookmarkStart w:id="1548" w:name="Tc_hspwSlSIVkaJbqNntYyV9w_2_7"/>
      <w:bookmarkStart w:id="1549" w:name="Tc_THrK-CTof0uV0LMLURjkcw_2_3"/>
      <w:bookmarkStart w:id="1550" w:name="Tc_z05MFP0pC0-JvBgE3RLyEQ_1_3"/>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r>
        <w:rPr>
          <w:rFonts w:ascii="Times New Roman;Times;serif" w:hAnsi="Times New Roman;Times;serif"/>
          <w:b/>
          <w:sz w:val="20"/>
        </w:rPr>
        <w:t>Note 11 - Operating Leases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leases distribution and research and development facilities as well as sub-leases office and manufacturing space from third parties and related parties (refer to </w:t>
      </w:r>
      <w:r>
        <w:rPr>
          <w:rFonts w:ascii="Times New Roman;Times;serif" w:hAnsi="Times New Roman;Times;serif"/>
          <w:i/>
          <w:sz w:val="20"/>
        </w:rPr>
        <w:t>Note 17- Related Party Transactions</w:t>
      </w:r>
      <w:r>
        <w:rPr>
          <w:rFonts w:ascii="Times New Roman;Times;serif" w:hAnsi="Times New Roman;Times;serif"/>
          <w:sz w:val="20"/>
        </w:rPr>
        <w:t>) under its operating leases. The leases have expirations ranging from March 2024 to June 2026, some of which include rent escalations or an option to extend the lease for up to three years per renewal. The exercise of lease renewal options is at the sole discretion of the Company. Where leases contain an option to renew, any period beyond the option date is only included as part of the lease term if the Company is reasonably certain to exercise the option.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September 30, 2024 and December 31, 2023, the Company does not have any finance or short-term leases and has not entered into leases which have not yet commenced that would entitle the Company to significant rights or create additional obligations during the periods as of September 30, 2024 and December 31, 2023.</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quantitative information of the Company’s operating leases for the periods from January 1, 2024 to July 30, 2024 (Predecessor), from July 31, 2024 to September 30, 2024 (Successor), and the nine months ended September 30, 2023 (Predecessor):</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632"/>
        <w:gridCol w:w="109"/>
        <w:gridCol w:w="211"/>
        <w:gridCol w:w="1677"/>
        <w:gridCol w:w="211"/>
        <w:gridCol w:w="1968"/>
        <w:gridCol w:w="211"/>
        <w:gridCol w:w="2186"/>
      </w:tblGrid>
      <w:tr>
        <w:trPr/>
        <w:tc>
          <w:tcPr>
            <w:tcW w:w="36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67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968"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2186" w:type="dxa"/>
            <w:tcBorders/>
            <w:vAlign w:val="center"/>
          </w:tcPr>
          <w:p>
            <w:pPr>
              <w:pStyle w:val="TableContents"/>
              <w:bidi w:val="0"/>
              <w:spacing w:before="0" w:after="0"/>
              <w:ind w:left="0" w:right="0" w:hanging="0"/>
              <w:jc w:val="left"/>
              <w:rPr/>
            </w:pPr>
            <w:r>
              <w:rPr/>
              <w:t>​</w:t>
            </w:r>
          </w:p>
        </w:tc>
      </w:tr>
      <w:tr>
        <w:trPr/>
        <w:tc>
          <w:tcPr>
            <w:tcW w:w="36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2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 months ended September 30,</w:t>
            </w:r>
          </w:p>
        </w:tc>
      </w:tr>
      <w:tr>
        <w:trPr/>
        <w:tc>
          <w:tcPr>
            <w:tcW w:w="36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385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211" w:type="dxa"/>
            <w:tcBorders/>
            <w:vAlign w:val="center"/>
          </w:tcPr>
          <w:p>
            <w:pPr>
              <w:pStyle w:val="TableContents"/>
              <w:bidi w:val="0"/>
              <w:spacing w:before="0" w:after="0"/>
              <w:ind w:left="0" w:right="0" w:hanging="0"/>
              <w:jc w:val="center"/>
              <w:rPr/>
            </w:pPr>
            <w:r>
              <w:rPr/>
              <w:t>​</w:t>
            </w:r>
          </w:p>
        </w:tc>
        <w:tc>
          <w:tcPr>
            <w:tcW w:w="2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3632"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both"/>
              <w:rPr/>
            </w:pPr>
            <w:r>
              <w:rPr/>
              <w:t>​</w:t>
            </w:r>
          </w:p>
        </w:tc>
        <w:tc>
          <w:tcPr>
            <w:tcW w:w="16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Predecessor</w:t>
            </w:r>
          </w:p>
        </w:tc>
        <w:tc>
          <w:tcPr>
            <w:tcW w:w="211" w:type="dxa"/>
            <w:tcBorders/>
            <w:vAlign w:val="center"/>
          </w:tcPr>
          <w:p>
            <w:pPr>
              <w:pStyle w:val="TableContents"/>
              <w:bidi w:val="0"/>
              <w:spacing w:before="0" w:after="0"/>
              <w:ind w:left="0" w:right="0" w:hanging="0"/>
              <w:jc w:val="center"/>
              <w:rPr/>
            </w:pPr>
            <w:r>
              <w:rPr/>
              <w:t>​</w:t>
            </w:r>
          </w:p>
        </w:tc>
        <w:tc>
          <w:tcPr>
            <w:tcW w:w="19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Successor</w:t>
            </w:r>
          </w:p>
        </w:tc>
        <w:tc>
          <w:tcPr>
            <w:tcW w:w="211" w:type="dxa"/>
            <w:tcBorders/>
            <w:vAlign w:val="center"/>
          </w:tcPr>
          <w:p>
            <w:pPr>
              <w:pStyle w:val="TableContents"/>
              <w:bidi w:val="0"/>
              <w:spacing w:before="0" w:after="0"/>
              <w:ind w:left="0" w:right="0" w:hanging="0"/>
              <w:jc w:val="center"/>
              <w:rPr/>
            </w:pPr>
            <w:r>
              <w:rPr/>
              <w:t>​</w:t>
            </w:r>
          </w:p>
        </w:tc>
        <w:tc>
          <w:tcPr>
            <w:tcW w:w="2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Predecessor</w:t>
            </w:r>
          </w:p>
        </w:tc>
      </w:tr>
      <w:tr>
        <w:trPr/>
        <w:tc>
          <w:tcPr>
            <w:tcW w:w="3632"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 thousands, unaudited</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6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 to July 30</w:t>
            </w:r>
          </w:p>
        </w:tc>
        <w:tc>
          <w:tcPr>
            <w:tcW w:w="211" w:type="dxa"/>
            <w:tcBorders/>
            <w:vAlign w:val="center"/>
          </w:tcPr>
          <w:p>
            <w:pPr>
              <w:pStyle w:val="TableContents"/>
              <w:bidi w:val="0"/>
              <w:spacing w:before="0" w:after="0"/>
              <w:ind w:left="0" w:right="0" w:hanging="0"/>
              <w:jc w:val="center"/>
              <w:rPr/>
            </w:pPr>
            <w:r>
              <w:rPr/>
              <w:t>​</w:t>
            </w:r>
          </w:p>
        </w:tc>
        <w:tc>
          <w:tcPr>
            <w:tcW w:w="19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31 to September 30</w:t>
            </w:r>
          </w:p>
        </w:tc>
        <w:tc>
          <w:tcPr>
            <w:tcW w:w="211" w:type="dxa"/>
            <w:tcBorders/>
            <w:vAlign w:val="center"/>
          </w:tcPr>
          <w:p>
            <w:pPr>
              <w:pStyle w:val="TableContents"/>
              <w:bidi w:val="0"/>
              <w:spacing w:before="0" w:after="0"/>
              <w:ind w:left="0" w:right="0" w:hanging="0"/>
              <w:jc w:val="center"/>
              <w:rPr/>
            </w:pPr>
            <w:r>
              <w:rPr/>
              <w:t>​</w:t>
            </w:r>
          </w:p>
        </w:tc>
        <w:tc>
          <w:tcPr>
            <w:tcW w:w="2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 to September 30</w:t>
            </w:r>
          </w:p>
        </w:tc>
      </w:tr>
      <w:tr>
        <w:trPr/>
        <w:tc>
          <w:tcPr>
            <w:tcW w:w="3632"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Operating cash flows paid for operating leases</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36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1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211" w:type="dxa"/>
            <w:tcBorders/>
            <w:vAlign w:val="center"/>
          </w:tcPr>
          <w:p>
            <w:pPr>
              <w:pStyle w:val="TableContents"/>
              <w:bidi w:val="0"/>
              <w:spacing w:before="0" w:after="0"/>
              <w:ind w:left="0" w:right="0" w:hanging="0"/>
              <w:jc w:val="right"/>
              <w:rPr/>
            </w:pPr>
            <w:r>
              <w:rPr/>
              <w:t>​</w:t>
            </w:r>
          </w:p>
        </w:tc>
        <w:tc>
          <w:tcPr>
            <w:tcW w:w="19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11" w:type="dxa"/>
            <w:tcBorders/>
            <w:vAlign w:val="center"/>
          </w:tcPr>
          <w:p>
            <w:pPr>
              <w:pStyle w:val="TableContents"/>
              <w:bidi w:val="0"/>
              <w:spacing w:before="0" w:after="0"/>
              <w:ind w:left="0" w:right="0" w:hanging="0"/>
              <w:jc w:val="right"/>
              <w:rPr/>
            </w:pPr>
            <w:r>
              <w:rPr/>
              <w:t>​</w:t>
            </w:r>
          </w:p>
        </w:tc>
        <w:tc>
          <w:tcPr>
            <w:tcW w:w="2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6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discount rate </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6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11" w:type="dxa"/>
            <w:tcBorders/>
            <w:shd w:fill="CCEEFF" w:val="clear"/>
            <w:vAlign w:val="center"/>
          </w:tcPr>
          <w:p>
            <w:pPr>
              <w:pStyle w:val="TableContents"/>
              <w:bidi w:val="0"/>
              <w:spacing w:before="0" w:after="0"/>
              <w:ind w:left="0" w:right="0" w:hanging="0"/>
              <w:jc w:val="right"/>
              <w:rPr/>
            </w:pPr>
            <w:r>
              <w:rPr/>
              <w:t>​</w:t>
            </w:r>
          </w:p>
        </w:tc>
        <w:tc>
          <w:tcPr>
            <w:tcW w:w="19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211" w:type="dxa"/>
            <w:tcBorders/>
            <w:shd w:fill="CCEEFF" w:val="clear"/>
            <w:vAlign w:val="center"/>
          </w:tcPr>
          <w:p>
            <w:pPr>
              <w:pStyle w:val="TableContents"/>
              <w:bidi w:val="0"/>
              <w:spacing w:before="0" w:after="0"/>
              <w:ind w:left="0" w:right="0" w:hanging="0"/>
              <w:jc w:val="right"/>
              <w:rPr/>
            </w:pPr>
            <w:r>
              <w:rPr/>
              <w:t>​</w:t>
            </w:r>
          </w:p>
        </w:tc>
        <w:tc>
          <w:tcPr>
            <w:tcW w:w="218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Operating lease cost was $0.1 million, $33.0 thousand, and $0.2 million for the periods from January 1, 2024 to July 30, 2024 (Predecessor), from July 31, 2024 to September 30, 2024 (Successor), and the nine months ended September 30, 2023 (Predecessor), respectively. There has been no variable lease cost for the periods from January 1, 2024 to July 30, 2024 (Predecessor), from July 31, 2024 to September 30, 2024 (Successor) and the nine months ended September 30, 2023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Operating lease cost was $17.0 thousand, $33.0 thousand, and $57.0 thousand for the periods from July 1, 2024 to July 30, 2024 (Predecessor), from July 31, 2024 to September 30, 2024 (Successor) and the three months ended September 30, 2023 (Predecessor). </w:t>
      </w:r>
    </w:p>
    <w:p>
      <w:pPr>
        <w:pStyle w:val="TextBody"/>
        <w:bidi w:val="0"/>
        <w:spacing w:before="0" w:after="24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future minimum payments under the non-cancelable operating leases as of September 30, 2024 (in thousands):</w:t>
      </w:r>
    </w:p>
    <w:p>
      <w:pPr>
        <w:pStyle w:val="TextBody"/>
        <w:bidi w:val="0"/>
        <w:spacing w:before="0" w:after="0"/>
        <w:ind w:left="0" w:right="0" w:firstLine="360"/>
        <w:jc w:val="both"/>
        <w:rPr/>
      </w:pPr>
      <w:r>
        <w:rPr/>
        <w:t>​</w:t>
      </w:r>
    </w:p>
    <w:tbl>
      <w:tblPr>
        <w:tblW w:w="4376" w:type="dxa"/>
        <w:jc w:val="left"/>
        <w:tblInd w:w="0" w:type="dxa"/>
        <w:tblLayout w:type="fixed"/>
        <w:tblCellMar>
          <w:top w:w="0" w:type="dxa"/>
          <w:left w:w="0" w:type="dxa"/>
          <w:bottom w:w="0" w:type="dxa"/>
          <w:right w:w="0" w:type="dxa"/>
        </w:tblCellMar>
      </w:tblPr>
      <w:tblGrid>
        <w:gridCol w:w="3466"/>
        <w:gridCol w:w="109"/>
        <w:gridCol w:w="211"/>
        <w:gridCol w:w="436"/>
        <w:gridCol w:w="154"/>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200910" cy="175260"/>
                      <wp:effectExtent l="0" t="0" r="0" b="0"/>
                      <wp:wrapNone/>
                      <wp:docPr id="181" name="Frame181"/>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76860" cy="175260"/>
                      <wp:effectExtent l="0" t="0" r="0" b="0"/>
                      <wp:wrapNone/>
                      <wp:docPr id="184" name="Frame18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7790" cy="175260"/>
                      <wp:effectExtent l="0" t="0" r="0" b="0"/>
                      <wp:wrapNone/>
                      <wp:docPr id="185" name="Frame18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Three months ending December 31, 2024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2025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154"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undiscounted future cash flows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w:t>
            </w:r>
          </w:p>
        </w:tc>
        <w:tc>
          <w:tcPr>
            <w:tcW w:w="154" w:type="dxa"/>
            <w:tcBorders/>
            <w:vAlign w:val="center"/>
          </w:tcPr>
          <w:p>
            <w:pPr>
              <w:pStyle w:val="TableContents"/>
              <w:bidi w:val="0"/>
              <w:spacing w:before="0" w:after="1"/>
              <w:ind w:left="0" w:right="0" w:hanging="0"/>
              <w:jc w:val="left"/>
              <w:rPr/>
            </w:pPr>
            <w:r>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lease liability</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12 - Commitments and Contingencies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Litigation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not currently party to any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 if any.</w:t>
      </w:r>
    </w:p>
    <w:p>
      <w:pPr>
        <w:pStyle w:val="TextBody"/>
        <w:bidi w:val="0"/>
        <w:spacing w:before="0" w:after="0"/>
        <w:ind w:left="0" w:right="0" w:firstLine="360"/>
        <w:jc w:val="both"/>
        <w:rPr/>
      </w:pPr>
      <w:r>
        <w:rPr/>
        <w:t>​</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Note 13 - Mezzanine Equity and Stockholders’ Equity (Deficit)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Authorized Shares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Legacy Adagio’s Amended and Restated Articles of Incorporation authorize the issuance of two classes of stock designated as common and preferred stock, each having a par value of $0.001 per share. The number of shares authorized as of July 30, 2024 is 11,534,892 consisting of 6,594,946 shares of common stock and 4,939,946 shares of preferred stock, designated as Series A, Series B, Series C, Series D, and Series E preferred stock in the amounts included in the table below.</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Preferred Stock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Legacy Adagio classifies convertible preferred stock as temporary equity on the accompanying condensed consolidated balance sheets, as all such preferred stock is redeemable either at the option of the holder or upon an event outside the control of Legacy Adagio. The requirements of a deemed liquidation event, as defined within its amended and restated certificate of incorporation filed in November 2020, are not entirely within Legacy Adagio’s control. In the event of such a deemed liquidation event, the proceeds from the event are distributed in accordance with the liquidation preferences, provided that the holders of preferred stock have not converted their shares into common stock. Legacy Adagio records the issuance of preferred stock at the issuance price less related issuance costs. Legacy Adagio has not adjusted the carrying value of outstanding preferred stock to its liquidation preference because a deemed liquidation event is not probable of occurring as of the end of the reporting period.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periods from January 1, 2024 to July 30, 2024 (Predecessor), the following transactions have been executed:</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 xml:space="preserve">On June 25, 2024, 207,902 shares of Series E Preferred Stock were extinguished and exchanged for 207,902 shares of pre-funded warrants to purchase Series E Preferred Stock. See </w:t>
      </w:r>
      <w:r>
        <w:rPr>
          <w:rFonts w:ascii="Times New Roman;Times;serif" w:hAnsi="Times New Roman;Times;serif"/>
          <w:i/>
          <w:sz w:val="20"/>
        </w:rPr>
        <w:t>Note 10- Warrants</w:t>
      </w:r>
      <w:r>
        <w:rPr>
          <w:rFonts w:ascii="Times New Roman;Times;serif" w:hAnsi="Times New Roman;Times;serif"/>
          <w:sz w:val="20"/>
        </w:rPr>
        <w:t xml:space="preserve"> for additional information regarding the Series E Pre-funded Warrants. The difference between the carrying value of the extinguished Series E Preferred Stock and the fair value of the issued Series E Pre-funded Warrants is recorded in additional paid-in capital.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the Closing Date, the Legacy Adagio’s 4,732,044 convertible </w:t>
      </w:r>
      <w:r>
        <w:rPr>
          <w:rFonts w:ascii="Times New Roman;Times;serif" w:hAnsi="Times New Roman;Times;serif"/>
          <w:b w:val="false"/>
          <w:i w:val="false"/>
          <w:caps w:val="false"/>
          <w:smallCaps w:val="false"/>
          <w:sz w:val="20"/>
        </w:rPr>
        <w:t>preferred</w:t>
      </w:r>
      <w:r>
        <w:rPr>
          <w:rFonts w:ascii="Times New Roman;Times;serif" w:hAnsi="Times New Roman;Times;serif"/>
          <w:sz w:val="20"/>
        </w:rPr>
        <w:t xml:space="preserve"> stocks were converted into shares of Legacy Adagio common stock on a one-to-one basis prior to Adagio Merger Effective Time and then converted into 789,337 shares of the Company’s Common Stock and additional paid in capital at the Closing based on the exchange ratio set forth in the Business Combination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There were no preferred stock transactions during the year ended December 31, 2023 (Predecessor).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551" w:name="Tc_NXys56VypUSFoGcMPquyGQ_7_8"/>
      <w:bookmarkStart w:id="1552" w:name="Tc_n0bEJcPOSkeN6nPXYJ-ukg_7_3"/>
      <w:bookmarkStart w:id="1553" w:name="Tc_Q_Cnif2n_EWIeaD-pWiaaw_6_0"/>
      <w:bookmarkStart w:id="1554" w:name="Tc_JYwwaHKAG0i6OwVw3zWEOw_5_0"/>
      <w:bookmarkStart w:id="1555" w:name="Tc_H7eejcXlVkKOTNyivNALHQ_4_0"/>
      <w:bookmarkStart w:id="1556" w:name="Tc_I9OKNgEiO0CUOJGgQOSnrA_3_0"/>
      <w:bookmarkStart w:id="1557" w:name="Tc_Atm7zzca4EeqJ1C1h_JQWQ_2_8"/>
      <w:bookmarkStart w:id="1558" w:name="Tc_dus3OB6MoESl0h1uyM3D1A_2_5"/>
      <w:bookmarkStart w:id="1559" w:name="Tc_1NDKrGstgEuE6gMG-jCE2A_2_3"/>
      <w:bookmarkStart w:id="1560" w:name="Tc_dcFz_xf5qUyXLtC7zgCPkw_2_0"/>
      <w:bookmarkStart w:id="1561" w:name="Tc_pn1GgDzRTkyQCEm31xWOog_1_9"/>
      <w:bookmarkStart w:id="1562" w:name="Tc_VKZqLZovSkOUlyJmyTeSTw_1_7"/>
      <w:bookmarkStart w:id="1563" w:name="Tc_zIJd3ednTkeK-GvgrYiPvg_1_6"/>
      <w:bookmarkStart w:id="1564" w:name="Tc_WIL2Plav80O_9h7js4gVSA_1_4"/>
      <w:bookmarkStart w:id="1565" w:name="Tc_6FCZKPXzkEqiLf9QrgQsvw_1_2"/>
      <w:bookmarkStart w:id="1566" w:name="Tc_zmBi6_erQUqmC6-JbBtpqA_1_1"/>
      <w:bookmarkStart w:id="1567" w:name="Tc_rM7A1J2RqkapkIRQTem49g_1_0"/>
      <w:bookmarkStart w:id="1568" w:name="_a238f5e4_c99e_4800_aa25_987090448eca"/>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r>
        <w:rPr>
          <w:rFonts w:ascii="Times New Roman;Times;serif" w:hAnsi="Times New Roman;Times;serif"/>
          <w:sz w:val="20"/>
        </w:rPr>
        <w:t>The following table summarizes information related to issuance of the Company’s preferred stock as of December 31, 2023 (Predecessor) (in thousands, except share data):</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1189"/>
        <w:gridCol w:w="1429"/>
        <w:gridCol w:w="1515"/>
        <w:gridCol w:w="211"/>
        <w:gridCol w:w="1097"/>
        <w:gridCol w:w="211"/>
        <w:gridCol w:w="1212"/>
        <w:gridCol w:w="1738"/>
        <w:gridCol w:w="211"/>
        <w:gridCol w:w="1392"/>
      </w:tblGrid>
      <w:tr>
        <w:trPr/>
        <w:tc>
          <w:tcPr>
            <w:tcW w:w="1189" w:type="dxa"/>
            <w:tcBorders/>
            <w:vAlign w:val="center"/>
          </w:tcPr>
          <w:p>
            <w:pPr>
              <w:pStyle w:val="TableContents"/>
              <w:bidi w:val="0"/>
              <w:spacing w:before="0" w:after="0"/>
              <w:ind w:left="0" w:right="0" w:hanging="0"/>
              <w:jc w:val="left"/>
              <w:rPr/>
            </w:pPr>
            <w:r>
              <w:rPr/>
              <w:t>​</w:t>
            </w:r>
          </w:p>
        </w:tc>
        <w:tc>
          <w:tcPr>
            <w:tcW w:w="1429" w:type="dxa"/>
            <w:tcBorders/>
            <w:vAlign w:val="center"/>
          </w:tcPr>
          <w:p>
            <w:pPr>
              <w:pStyle w:val="TableContents"/>
              <w:bidi w:val="0"/>
              <w:spacing w:before="0" w:after="0"/>
              <w:ind w:left="0" w:right="0" w:hanging="0"/>
              <w:jc w:val="left"/>
              <w:rPr/>
            </w:pPr>
            <w:r>
              <w:rPr/>
              <w:t>​</w:t>
            </w:r>
          </w:p>
        </w:tc>
        <w:tc>
          <w:tcPr>
            <w:tcW w:w="1515"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12" w:type="dxa"/>
            <w:tcBorders/>
            <w:vAlign w:val="center"/>
          </w:tcPr>
          <w:p>
            <w:pPr>
              <w:pStyle w:val="TableContents"/>
              <w:bidi w:val="0"/>
              <w:spacing w:before="0" w:after="0"/>
              <w:ind w:left="0" w:right="0" w:hanging="0"/>
              <w:jc w:val="left"/>
              <w:rPr/>
            </w:pPr>
            <w:r>
              <w:rPr/>
              <w:t>​</w:t>
            </w:r>
          </w:p>
        </w:tc>
        <w:tc>
          <w:tcPr>
            <w:tcW w:w="1738"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92" w:type="dxa"/>
            <w:tcBorders/>
            <w:vAlign w:val="center"/>
          </w:tcPr>
          <w:p>
            <w:pPr>
              <w:pStyle w:val="TableContents"/>
              <w:bidi w:val="0"/>
              <w:spacing w:before="0" w:after="0"/>
              <w:ind w:left="0" w:right="0" w:hanging="0"/>
              <w:jc w:val="left"/>
              <w:rPr/>
            </w:pPr>
            <w:r>
              <w:rPr/>
              <w:t>​</w:t>
            </w:r>
          </w:p>
        </w:tc>
      </w:tr>
      <w:tr>
        <w:trPr/>
        <w:tc>
          <w:tcPr>
            <w:tcW w:w="11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Preferred Stock Class</w:t>
            </w:r>
          </w:p>
        </w:tc>
        <w:tc>
          <w:tcPr>
            <w:tcW w:w="14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 Shares Authorized</w:t>
            </w:r>
          </w:p>
        </w:tc>
        <w:tc>
          <w:tcPr>
            <w:tcW w:w="15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 Issued and Outstanding</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 Value (1)</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1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Conversion Price </w:t>
              <w:br/>
              <w:t>Per Share</w:t>
            </w:r>
          </w:p>
        </w:tc>
        <w:tc>
          <w:tcPr>
            <w:tcW w:w="17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 Common Stock Equivalent Shares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9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Liquidation Preference</w:t>
            </w:r>
          </w:p>
        </w:tc>
      </w:tr>
      <w:tr>
        <w:trPr/>
        <w:tc>
          <w:tcPr>
            <w:tcW w:w="118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A</w:t>
            </w:r>
          </w:p>
        </w:tc>
        <w:tc>
          <w:tcPr>
            <w:tcW w:w="14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270,856</w:t>
            </w:r>
          </w:p>
        </w:tc>
        <w:tc>
          <w:tcPr>
            <w:tcW w:w="1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270,856</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w:t>
            </w:r>
          </w:p>
        </w:tc>
        <w:tc>
          <w:tcPr>
            <w:tcW w:w="1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270,856</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118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B</w:t>
            </w:r>
          </w:p>
        </w:tc>
        <w:tc>
          <w:tcPr>
            <w:tcW w:w="14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815,730</w:t>
            </w:r>
          </w:p>
        </w:tc>
        <w:tc>
          <w:tcPr>
            <w:tcW w:w="15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815,730</w:t>
            </w:r>
          </w:p>
        </w:tc>
        <w:tc>
          <w:tcPr>
            <w:tcW w:w="211"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10,626</w:t>
            </w:r>
          </w:p>
        </w:tc>
        <w:tc>
          <w:tcPr>
            <w:tcW w:w="211" w:type="dxa"/>
            <w:tcBorders/>
            <w:vAlign w:val="center"/>
          </w:tcPr>
          <w:p>
            <w:pPr>
              <w:pStyle w:val="TableContents"/>
              <w:bidi w:val="0"/>
              <w:spacing w:before="0" w:after="0"/>
              <w:ind w:left="0" w:right="0" w:hanging="0"/>
              <w:jc w:val="center"/>
              <w:rPr/>
            </w:pPr>
            <w:r>
              <w:rPr/>
              <w:t>​</w:t>
            </w:r>
          </w:p>
        </w:tc>
        <w:tc>
          <w:tcPr>
            <w:tcW w:w="12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w:t>
            </w:r>
          </w:p>
        </w:tc>
        <w:tc>
          <w:tcPr>
            <w:tcW w:w="17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815,730</w:t>
            </w:r>
          </w:p>
        </w:tc>
        <w:tc>
          <w:tcPr>
            <w:tcW w:w="211" w:type="dxa"/>
            <w:tcBorders/>
            <w:vAlign w:val="center"/>
          </w:tcPr>
          <w:p>
            <w:pPr>
              <w:pStyle w:val="TableContents"/>
              <w:bidi w:val="0"/>
              <w:spacing w:before="0" w:after="0"/>
              <w:ind w:left="0" w:right="0" w:hanging="0"/>
              <w:jc w:val="center"/>
              <w:rPr/>
            </w:pPr>
            <w:r>
              <w:rPr/>
              <w:t>​</w:t>
            </w:r>
          </w:p>
        </w:tc>
        <w:tc>
          <w:tcPr>
            <w:tcW w:w="13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10,637</w:t>
            </w:r>
          </w:p>
        </w:tc>
      </w:tr>
      <w:tr>
        <w:trPr/>
        <w:tc>
          <w:tcPr>
            <w:tcW w:w="118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C</w:t>
            </w:r>
          </w:p>
        </w:tc>
        <w:tc>
          <w:tcPr>
            <w:tcW w:w="14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981,596</w:t>
            </w:r>
          </w:p>
        </w:tc>
        <w:tc>
          <w:tcPr>
            <w:tcW w:w="15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981,596</w:t>
            </w:r>
          </w:p>
        </w:tc>
        <w:tc>
          <w:tcPr>
            <w:tcW w:w="211" w:type="dxa"/>
            <w:tcBorders/>
            <w:shd w:fill="CCEEFF" w:val="clear"/>
            <w:vAlign w:val="center"/>
          </w:tcPr>
          <w:p>
            <w:pPr>
              <w:pStyle w:val="TableContents"/>
              <w:bidi w:val="0"/>
              <w:spacing w:before="0" w:after="0"/>
              <w:ind w:left="0" w:right="0" w:hanging="0"/>
              <w:jc w:val="center"/>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15,988</w:t>
            </w:r>
          </w:p>
        </w:tc>
        <w:tc>
          <w:tcPr>
            <w:tcW w:w="211" w:type="dxa"/>
            <w:tcBorders/>
            <w:shd w:fill="CCEEFF" w:val="clear"/>
            <w:vAlign w:val="center"/>
          </w:tcPr>
          <w:p>
            <w:pPr>
              <w:pStyle w:val="TableContents"/>
              <w:bidi w:val="0"/>
              <w:spacing w:before="0" w:after="0"/>
              <w:ind w:left="0" w:right="0" w:hanging="0"/>
              <w:jc w:val="center"/>
              <w:rPr/>
            </w:pPr>
            <w:r>
              <w:rPr/>
              <w:t>​</w:t>
            </w:r>
          </w:p>
        </w:tc>
        <w:tc>
          <w:tcPr>
            <w:tcW w:w="12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w:t>
            </w:r>
          </w:p>
        </w:tc>
        <w:tc>
          <w:tcPr>
            <w:tcW w:w="1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981,596</w:t>
            </w:r>
          </w:p>
        </w:tc>
        <w:tc>
          <w:tcPr>
            <w:tcW w:w="211" w:type="dxa"/>
            <w:tcBorders/>
            <w:shd w:fill="CCEEFF" w:val="clear"/>
            <w:vAlign w:val="center"/>
          </w:tcPr>
          <w:p>
            <w:pPr>
              <w:pStyle w:val="TableContents"/>
              <w:bidi w:val="0"/>
              <w:spacing w:before="0" w:after="0"/>
              <w:ind w:left="0" w:right="0" w:hanging="0"/>
              <w:jc w:val="center"/>
              <w:rPr/>
            </w:pPr>
            <w:r>
              <w:rPr/>
              <w:t>​</w:t>
            </w:r>
          </w:p>
        </w:tc>
        <w:tc>
          <w:tcPr>
            <w:tcW w:w="13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16,000</w:t>
            </w:r>
          </w:p>
        </w:tc>
      </w:tr>
      <w:tr>
        <w:trPr/>
        <w:tc>
          <w:tcPr>
            <w:tcW w:w="118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D</w:t>
            </w:r>
          </w:p>
        </w:tc>
        <w:tc>
          <w:tcPr>
            <w:tcW w:w="14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992,064</w:t>
            </w:r>
          </w:p>
        </w:tc>
        <w:tc>
          <w:tcPr>
            <w:tcW w:w="15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992,064</w:t>
            </w:r>
          </w:p>
        </w:tc>
        <w:tc>
          <w:tcPr>
            <w:tcW w:w="211"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19,990</w:t>
            </w:r>
          </w:p>
        </w:tc>
        <w:tc>
          <w:tcPr>
            <w:tcW w:w="211" w:type="dxa"/>
            <w:tcBorders/>
            <w:vAlign w:val="center"/>
          </w:tcPr>
          <w:p>
            <w:pPr>
              <w:pStyle w:val="TableContents"/>
              <w:bidi w:val="0"/>
              <w:spacing w:before="0" w:after="0"/>
              <w:ind w:left="0" w:right="0" w:hanging="0"/>
              <w:jc w:val="center"/>
              <w:rPr/>
            </w:pPr>
            <w:r>
              <w:rPr/>
              <w:t>​</w:t>
            </w:r>
          </w:p>
        </w:tc>
        <w:tc>
          <w:tcPr>
            <w:tcW w:w="12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w:t>
            </w:r>
          </w:p>
        </w:tc>
        <w:tc>
          <w:tcPr>
            <w:tcW w:w="17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992,064</w:t>
            </w:r>
          </w:p>
        </w:tc>
        <w:tc>
          <w:tcPr>
            <w:tcW w:w="211" w:type="dxa"/>
            <w:tcBorders/>
            <w:vAlign w:val="center"/>
          </w:tcPr>
          <w:p>
            <w:pPr>
              <w:pStyle w:val="TableContents"/>
              <w:bidi w:val="0"/>
              <w:spacing w:before="0" w:after="0"/>
              <w:ind w:left="0" w:right="0" w:hanging="0"/>
              <w:jc w:val="center"/>
              <w:rPr/>
            </w:pPr>
            <w:r>
              <w:rPr/>
              <w:t>​</w:t>
            </w:r>
          </w:p>
        </w:tc>
        <w:tc>
          <w:tcPr>
            <w:tcW w:w="13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118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Series E</w:t>
            </w:r>
          </w:p>
        </w:tc>
        <w:tc>
          <w:tcPr>
            <w:tcW w:w="14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1,879,700</w:t>
            </w:r>
          </w:p>
        </w:tc>
        <w:tc>
          <w:tcPr>
            <w:tcW w:w="1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1,879,700</w:t>
            </w:r>
          </w:p>
        </w:tc>
        <w:tc>
          <w:tcPr>
            <w:tcW w:w="211" w:type="dxa"/>
            <w:tcBorders/>
            <w:shd w:fill="CCEEFF" w:val="clear"/>
            <w:vAlign w:val="center"/>
          </w:tcPr>
          <w:p>
            <w:pPr>
              <w:pStyle w:val="TableContents"/>
              <w:bidi w:val="0"/>
              <w:spacing w:before="0" w:after="0"/>
              <w:ind w:left="0" w:right="0" w:hanging="0"/>
              <w:jc w:val="center"/>
              <w:rPr/>
            </w:pPr>
            <w:r>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42,365</w:t>
            </w:r>
          </w:p>
        </w:tc>
        <w:tc>
          <w:tcPr>
            <w:tcW w:w="211" w:type="dxa"/>
            <w:tcBorders/>
            <w:shd w:fill="CCEEFF" w:val="clear"/>
            <w:vAlign w:val="center"/>
          </w:tcPr>
          <w:p>
            <w:pPr>
              <w:pStyle w:val="TableContents"/>
              <w:bidi w:val="0"/>
              <w:spacing w:before="0" w:after="0"/>
              <w:ind w:left="0" w:right="0" w:hanging="0"/>
              <w:jc w:val="center"/>
              <w:rPr/>
            </w:pPr>
            <w:r>
              <w:rPr/>
              <w:t>​</w:t>
            </w:r>
          </w:p>
        </w:tc>
        <w:tc>
          <w:tcPr>
            <w:tcW w:w="12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c>
          <w:tcPr>
            <w:tcW w:w="1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1,879,700</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42,500</w:t>
            </w:r>
          </w:p>
        </w:tc>
      </w:tr>
      <w:tr>
        <w:trPr/>
        <w:tc>
          <w:tcPr>
            <w:tcW w:w="1189" w:type="dxa"/>
            <w:tcBorders/>
            <w:vAlign w:val="center"/>
          </w:tcPr>
          <w:p>
            <w:pPr>
              <w:pStyle w:val="TableContents"/>
              <w:bidi w:val="0"/>
              <w:spacing w:before="0" w:after="0"/>
              <w:ind w:left="0" w:right="0" w:hanging="0"/>
              <w:jc w:val="center"/>
              <w:rPr/>
            </w:pPr>
            <w:r>
              <w:rPr/>
              <w:t>​</w:t>
            </w:r>
          </w:p>
        </w:tc>
        <w:tc>
          <w:tcPr>
            <w:tcW w:w="14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4,939,946</w:t>
            </w:r>
          </w:p>
        </w:tc>
        <w:tc>
          <w:tcPr>
            <w:tcW w:w="15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4,939,946</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91,469</w:t>
            </w:r>
          </w:p>
        </w:tc>
        <w:tc>
          <w:tcPr>
            <w:tcW w:w="211" w:type="dxa"/>
            <w:tcBorders/>
            <w:vAlign w:val="center"/>
          </w:tcPr>
          <w:p>
            <w:pPr>
              <w:pStyle w:val="TableContents"/>
              <w:bidi w:val="0"/>
              <w:spacing w:before="0" w:after="0"/>
              <w:ind w:left="0" w:right="0" w:hanging="0"/>
              <w:jc w:val="center"/>
              <w:rPr/>
            </w:pPr>
            <w:r>
              <w:rPr/>
              <w:t>​</w:t>
            </w:r>
          </w:p>
        </w:tc>
        <w:tc>
          <w:tcPr>
            <w:tcW w:w="1212" w:type="dxa"/>
            <w:tcBorders/>
            <w:vAlign w:val="center"/>
          </w:tcPr>
          <w:p>
            <w:pPr>
              <w:pStyle w:val="TableContents"/>
              <w:bidi w:val="0"/>
              <w:spacing w:before="0" w:after="0"/>
              <w:ind w:left="0" w:right="0" w:hanging="0"/>
              <w:jc w:val="right"/>
              <w:rPr/>
            </w:pPr>
            <w:r>
              <w:rPr/>
              <w:t>​</w:t>
            </w:r>
          </w:p>
        </w:tc>
        <w:tc>
          <w:tcPr>
            <w:tcW w:w="17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4,939,946</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9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91,637</w:t>
            </w:r>
          </w:p>
        </w:tc>
      </w:tr>
    </w:tbl>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carrying value reflects the gross proceeds received from the sale of the preferred stock less issuance costs.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relative rights, terms, privileges, and restrictions granted to or imposed upon preferred stockholders are described below:</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Preferred Stock - Dividends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Prior and in preference to any declaration or payment of any dividends to the holders of common stock, the holders of preferred stock shall be entitled to receive dividends out of any assets legally available therefor, at the rate of eight percent (8%) of the original issue price per share per annum. The original issue price of Series A, Series B, Series C, Series D, and Series E is $9.23, $13.04, $16.30, $20.16, and $22.61, respectively. The dividends shall not be cumulative.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the event that the dividend amount declared by the Board of Directors of Legacy Adagio is insufficient to permit payment of the full aforesaid dividends, such dividends will be paid ratably to each holder of preferred stock in proportion to the dividend amounts to which each holder of preferred stock is entitled. After payment of the full amount of the aforesaid dividends, any additional dividends declared shall be distributed to the holder of common stock and preferred stock in proportion to the number of shares of common stock that would be held by such holder on an as-converted to common stock basis.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 dividends on preferred stock or common stock have been declared by the Board of Directors as of December 31, 2023 (Predecessor) or as of the Closing date.</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Liquidation Preference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event of liquidation of Legacy Adagio, including a merger, acquisition, or sale of all or substantially all the assets of Legacy Adagio, holders of preferred stock are entitled to receive an amount equal to the original issue price of each share of preferred stock held plus any dividends declared but not yet paid, prior to any distribution of assets or surplus funds of Legacy Adagio to common stock shareholders. After payment has been made to the holders of the preferred stock of the full amounts to which they are entitled as noted above, the remaining assets would be distributed among the holders of the common stock pro rata based on the number of shares of common stock held by each holder.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at the time of liquidation, the assets are insufficient to permit full payment of the liquidation preferences of the series listed in the order above, the assets must be distributed ratably among the holders of the series in proportion to the full preferential amount each such holder is otherwise entitled to receive in respect to such shares.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Voting Rights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So long as the shares of preferred stock that are convertible into at least 1,000,000 shares of common stock (subject to appropriate adjustment in the event of any stock dividends, stock split, combination or other similar recapitalization with respect to the common stock) are issued and outstanding, the holders of preferred stock, voting as a separate class on an as-converted to common stock basis, shall have the right to elect four members of the Board of Directors of Legacy Adagio. The holders of common stock, voting as a separate class, shall have the right to elect one member of the Board of Directors. The remaining directors shall be elected by the holders of the common stock and the preferred stock, voting together as a single class on an as-converted to common stock basis.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all other matters, the holders of the preferred stock shall have full voting rights and powers equal to the voting rights and powers of the holders of common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Fractional votes by the holders of preferred stock shall not be permitted and any fractional voting rights shall be rounded to the nearest whole number.</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Conversion Rights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Each share of preferred stock shall be convertible, at the option of the holder, into shares of common stock without the payment of any additional consideration. The preferred stock shall be convertible into the number of fully paid and nonassessable shares of common stock which results from dividing the conversion price per share in effect for the preferred stock at the time of conversion into the per share conversion value. The initial per share conversion price of Series A, Series B, Series C, Series D, and Series E is $9.23, $13.04, $16.30, $20.16, and $22.61, respectively. The initial conversion price is subject to adjustment for antidilution provisions, as defined. The per share conversion value of Series A, Series B, Series C, Series D, and Series E is $9.23, $13.04, $16.30, $20.16, and $22.61, respectively.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Each share of preferred stock shall automatically be converted into shares of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 common stock in a firm commitment, underwritten public offering registered under the Securities Act of 1933, as amended, with aggregate offering proceeds to Legacy Adagio (before deduction for underwriters’ discounts and expenses relating to the issuance) of at least $75 million and a public offering price per share equal to at least $67.83 (subject to adjustments for stock dividends, splits, combinations and similar events).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Protective Provisions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So long as there are at least 1,000,000 shares of preferred stock outstanding, Legacy Adagio shall not (by merger, reclassification, amendment or otherwise), without first obtaining the approval of the holders of at least seventy percent (70%) of the then outstanding shares of preferred stock, voting separately as a class, to, among other things: (i) amend the certificate of incorporation or bylaws; (ii) adversely alter or change the rights, preferences or privileges of the preferred stock; (iii) increase or decrease the aggregate number of authorized shares of any class of the capital stock of Legacy Adagio.</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So long as shares of Series E preferred stock that are convertible into at least 500,000 shares of common stock (subject to appropriate adjustment in the event of any stock dividend, stock split, combination or other similar recapitalization with respect to the common stock) are issued and outstanding, Legacy Adagio shall not directly or indirectly (by merger, reclassification, amendment or otherwise), without first obtaining the approval of the holders of at least a majority of the voting power of the then outstanding shares of Series E preferred stock, voting separately as a class, to, among other things: (i) amend, alter, repeal or waive any provision of the certificate of incorporation or bylaws of Legacy Adagio in a manner that adversely affects the holders of the Series E preferred stock in a manner different from any other series of preferred stock; (ii) create or authorize the creation of or issue any other security convertible into to exercisable for any equity security having rights, preferences or privileges senior to the Series E preferred stock; (iii) increase or decrease the authorized number of shares of Series E preferred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1569" w:name="Tc_aJvKgPVQC0-guHzSj4lqIg_8_0"/>
      <w:bookmarkStart w:id="1570" w:name="Tc_Pj36HaaXXkSwKgiO_xyaxA_7_0"/>
      <w:bookmarkStart w:id="1571" w:name="Tc_r6pkBepAB0e91m60m2k3uA_6_0"/>
      <w:bookmarkStart w:id="1572" w:name="Tc_sMl0fMn-6EWHXieA1k5-Xg_5_0"/>
      <w:bookmarkStart w:id="1573" w:name="Tc_l5E9CmmstEmnZQKEkK54dA_4_0"/>
      <w:bookmarkStart w:id="1574" w:name="Tc_87GkYW9rMEKoxV6t4wIVeg_3_0"/>
      <w:bookmarkStart w:id="1575" w:name="Tc_a9-pm-dRo0uoCif54Desfw_2_0"/>
      <w:bookmarkStart w:id="1576" w:name="Tc_YgYMLxBbs0auF9zH4VW81w_1_2"/>
      <w:bookmarkEnd w:id="1569"/>
      <w:bookmarkEnd w:id="1570"/>
      <w:bookmarkEnd w:id="1571"/>
      <w:bookmarkEnd w:id="1572"/>
      <w:bookmarkEnd w:id="1573"/>
      <w:bookmarkEnd w:id="1574"/>
      <w:bookmarkEnd w:id="1575"/>
      <w:bookmarkEnd w:id="1576"/>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Common Stock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Each share of common stock is entitled to one vote. As of December 31, 2023 (Predecessor), Legacy Adagio authorized to issue up to 6,594,946 of common stock at a par value of </w:t>
      </w:r>
      <w:r>
        <w:rPr>
          <w:rFonts w:ascii="Times New Roman;Times;serif" w:hAnsi="Times New Roman;Times;serif"/>
          <w:b w:val="false"/>
          <w:i w:val="false"/>
          <w:caps w:val="false"/>
          <w:smallCaps w:val="false"/>
          <w:sz w:val="20"/>
        </w:rPr>
        <w:t>$0.001</w:t>
      </w:r>
      <w:r>
        <w:rPr>
          <w:rFonts w:ascii="Times New Roman;Times;serif" w:hAnsi="Times New Roman;Times;serif"/>
          <w:sz w:val="20"/>
        </w:rPr>
        <w:t xml:space="preserve"> per share out of which 786,510 shares issued and 779,908 shares outstanding.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the Closing Date, as explained in </w:t>
      </w:r>
      <w:r>
        <w:rPr>
          <w:rFonts w:ascii="Times New Roman;Times;serif" w:hAnsi="Times New Roman;Times;serif"/>
          <w:i/>
          <w:sz w:val="20"/>
        </w:rPr>
        <w:t>Note 3- Forward Merger</w:t>
      </w:r>
      <w:r>
        <w:rPr>
          <w:rFonts w:ascii="Times New Roman;Times;serif" w:hAnsi="Times New Roman;Times;serif"/>
          <w:sz w:val="20"/>
        </w:rPr>
        <w:t>, each share of Legacy Adagio issued and outstanding prior to the Closing Date was converted into the Company’s Common Stock based on exchange ratio set forth in the Business Combination Agreement.</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Common Stock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September 30, 2024 (Successor), the Company’s certificate of incorporation, as amended and restated, authorized the Company to issue up to 210,000,000 of common stock at a par value of $0.0001 per share, and 20,000,000 shares of preferred stock, par value $0.0001 per share. As of September 30, 2024 (Successor), 14,535,136 shares were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outstanding, including 1,147,500 Sponsor Earnout (as defined below).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September 2024, the Company issued 1,147,500 shares of the Company’s Common Stock (such issuance, the “Sponsor Earnout”) to the AYRA Sponsor under the Sponsor Letter Agreement dated February 13, 2024 (“the Sponsor Letter Agreement”). Pursuant to the agreement, the Sponsor Earnout shall be unvested and vests upon the earlier of: i) During the period from the effective time to the 10th anniversary of the Closing Date (the “Earn-Out Period”), the stock price of the Company’s Common Stock equals to or exceeds $24.00 per share (the “Trigger Price”) for any 20 trading days within any 30 trading day period from and after the Closing Date (the “Earn-Out Target”), and ii) immediately prior to the consummation of a company sale during the Earn-Out Period.</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the reporting date, the vesting of the Sponsor Earnout was not considered probable. </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According to ASC 815, it is determined that the Sponsor Earnout is indexed to the Company’s Common Stock and classified as equity and is initially measured at fair value and not subsequently remeasured. The Sponsor Earnout vests when the Company’s stock price meets a stated price or there is a company sale during the earnout period. Upon meeting either vesting condition, the same number of the Company’s Common Stock would be issued and no longer subject to forfeiture or cancellation. The Sponsor Earnout meets the ASC 815-40 indexation guidance. Specifically, the stated stock price and company sale, as the exercise contingencies, do not preclude equity indexation and there is no variability in the number of shares issuable under the Sponsor Earnout. Additionally, the Sponsor Earnout at the issuance meets the ASC 815-40 equity classification criterion as the Company has sufficient authorized shares available to settle the Sponsor Earnout and all the antidilution adjustments are in the control of the Company.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holders of the Company’s Common Stock are entitled to receive dividends whenever funds are legally available, when and if declared by the Company’s Board of Directors. As of September 30, 2024 (Successor), no cash dividend has been declared to date. Each share of the Company’s Common Stock is entitled to one vote.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Below table summarizes the number of shares of common stock outstanding immediately following the Closing:</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8742"/>
        <w:gridCol w:w="109"/>
        <w:gridCol w:w="1354"/>
      </w:tblGrid>
      <w:tr>
        <w:trPr/>
        <w:tc>
          <w:tcPr>
            <w:tcW w:w="8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551170" cy="175260"/>
                      <wp:effectExtent l="0" t="0" r="0" b="0"/>
                      <wp:wrapNone/>
                      <wp:docPr id="186" name="Frame186"/>
                      <a:graphic xmlns:a="http://schemas.openxmlformats.org/drawingml/2006/main">
                        <a:graphicData uri="http://schemas.microsoft.com/office/word/2010/wordprocessingShape">
                          <wps:wsp>
                            <wps:cNvSpPr txBox="1"/>
                            <wps:spPr>
                              <a:xfrm>
                                <a:off x="0" y="0"/>
                                <a:ext cx="555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9215" cy="175260"/>
                      <wp:effectExtent l="0" t="0" r="0" b="0"/>
                      <wp:wrapNone/>
                      <wp:docPr id="187" name="Frame1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859790" cy="175260"/>
                      <wp:effectExtent l="0" t="0" r="0" b="0"/>
                      <wp:wrapNone/>
                      <wp:docPr id="188" name="Frame188"/>
                      <a:graphic xmlns:a="http://schemas.openxmlformats.org/drawingml/2006/main">
                        <a:graphicData uri="http://schemas.microsoft.com/office/word/2010/wordprocessingShape">
                          <wps:wsp>
                            <wps:cNvSpPr txBox="1"/>
                            <wps:spPr>
                              <a:xfrm>
                                <a:off x="0" y="0"/>
                                <a:ext cx="859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74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r>
      <w:tr>
        <w:trPr/>
        <w:tc>
          <w:tcPr>
            <w:tcW w:w="87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 from PIPE Financing for cash</w:t>
            </w:r>
          </w:p>
        </w:tc>
        <w:tc>
          <w:tcPr>
            <w:tcW w:w="109" w:type="dxa"/>
            <w:tcBorders/>
            <w:shd w:fill="CCEEFF" w:val="clear"/>
            <w:vAlign w:val="center"/>
          </w:tcPr>
          <w:p>
            <w:pPr>
              <w:pStyle w:val="TableContents"/>
              <w:bidi w:val="0"/>
              <w:spacing w:before="0" w:after="0"/>
              <w:ind w:left="0" w:right="0" w:hanging="0"/>
              <w:jc w:val="left"/>
              <w:rPr/>
            </w:pPr>
            <w:r>
              <w:rPr/>
              <w:t>​</w:t>
            </w:r>
          </w:p>
        </w:tc>
        <w:tc>
          <w:tcPr>
            <w:tcW w:w="1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3,287,018</w:t>
            </w:r>
          </w:p>
        </w:tc>
      </w:tr>
      <w:tr>
        <w:trPr/>
        <w:tc>
          <w:tcPr>
            <w:tcW w:w="8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ARYA convertible promissory notes</w:t>
            </w:r>
          </w:p>
        </w:tc>
        <w:tc>
          <w:tcPr>
            <w:tcW w:w="109" w:type="dxa"/>
            <w:tcBorders/>
            <w:vAlign w:val="center"/>
          </w:tcPr>
          <w:p>
            <w:pPr>
              <w:pStyle w:val="TableContents"/>
              <w:bidi w:val="0"/>
              <w:spacing w:before="0" w:after="0"/>
              <w:ind w:left="0" w:right="0" w:hanging="0"/>
              <w:jc w:val="left"/>
              <w:rPr/>
            </w:pPr>
            <w:r>
              <w:rPr/>
              <w:t>​</w:t>
            </w:r>
          </w:p>
        </w:tc>
        <w:tc>
          <w:tcPr>
            <w:tcW w:w="13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355,100</w:t>
            </w:r>
          </w:p>
        </w:tc>
      </w:tr>
      <w:tr>
        <w:trPr/>
        <w:tc>
          <w:tcPr>
            <w:tcW w:w="87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ARYA Class A ordinary shares and Class B ordinary shares</w:t>
            </w:r>
          </w:p>
        </w:tc>
        <w:tc>
          <w:tcPr>
            <w:tcW w:w="109" w:type="dxa"/>
            <w:tcBorders/>
            <w:shd w:fill="CCEEFF" w:val="clear"/>
            <w:vAlign w:val="center"/>
          </w:tcPr>
          <w:p>
            <w:pPr>
              <w:pStyle w:val="TableContents"/>
              <w:bidi w:val="0"/>
              <w:spacing w:before="0" w:after="0"/>
              <w:ind w:left="0" w:right="0" w:hanging="0"/>
              <w:jc w:val="left"/>
              <w:rPr/>
            </w:pPr>
            <w:r>
              <w:rPr/>
              <w:t>​</w:t>
            </w:r>
          </w:p>
        </w:tc>
        <w:tc>
          <w:tcPr>
            <w:tcW w:w="1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2,089,000</w:t>
            </w:r>
          </w:p>
        </w:tc>
      </w:tr>
      <w:tr>
        <w:trPr/>
        <w:tc>
          <w:tcPr>
            <w:tcW w:w="8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of Class A ordinary shares subject to redemption</w:t>
            </w:r>
          </w:p>
        </w:tc>
        <w:tc>
          <w:tcPr>
            <w:tcW w:w="109" w:type="dxa"/>
            <w:tcBorders/>
            <w:vAlign w:val="center"/>
          </w:tcPr>
          <w:p>
            <w:pPr>
              <w:pStyle w:val="TableContents"/>
              <w:bidi w:val="0"/>
              <w:spacing w:before="0" w:after="0"/>
              <w:ind w:left="0" w:right="0" w:hanging="0"/>
              <w:jc w:val="left"/>
              <w:rPr/>
            </w:pPr>
            <w:r>
              <w:rPr/>
              <w:t>​</w:t>
            </w:r>
          </w:p>
        </w:tc>
        <w:tc>
          <w:tcPr>
            <w:tcW w:w="13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123,520</w:t>
            </w:r>
          </w:p>
        </w:tc>
      </w:tr>
      <w:tr>
        <w:trPr/>
        <w:tc>
          <w:tcPr>
            <w:tcW w:w="87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in purchase consideration</w:t>
            </w:r>
          </w:p>
        </w:tc>
        <w:tc>
          <w:tcPr>
            <w:tcW w:w="109" w:type="dxa"/>
            <w:tcBorders/>
            <w:shd w:fill="CCEEFF" w:val="clear"/>
            <w:vAlign w:val="center"/>
          </w:tcPr>
          <w:p>
            <w:pPr>
              <w:pStyle w:val="TableContents"/>
              <w:bidi w:val="0"/>
              <w:spacing w:before="0" w:after="0"/>
              <w:ind w:left="0" w:right="0" w:hanging="0"/>
              <w:jc w:val="left"/>
              <w:rPr/>
            </w:pPr>
            <w:r>
              <w:rPr/>
              <w:t>​</w:t>
            </w:r>
          </w:p>
        </w:tc>
        <w:tc>
          <w:tcPr>
            <w:tcW w:w="1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6,771,769</w:t>
            </w:r>
          </w:p>
        </w:tc>
      </w:tr>
      <w:tr>
        <w:trPr/>
        <w:tc>
          <w:tcPr>
            <w:tcW w:w="87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shares issued and reclassification of Class A ordinary shares subject to non-redemption agreements and open market subscription agreements</w:t>
            </w:r>
          </w:p>
        </w:tc>
        <w:tc>
          <w:tcPr>
            <w:tcW w:w="109" w:type="dxa"/>
            <w:tcBorders/>
            <w:vAlign w:val="center"/>
          </w:tcPr>
          <w:p>
            <w:pPr>
              <w:pStyle w:val="TableContents"/>
              <w:bidi w:val="0"/>
              <w:spacing w:before="0" w:after="0"/>
              <w:ind w:left="0" w:right="0" w:hanging="0"/>
              <w:jc w:val="left"/>
              <w:rPr/>
            </w:pPr>
            <w:r>
              <w:rPr/>
              <w:t>​</w:t>
            </w:r>
          </w:p>
        </w:tc>
        <w:tc>
          <w:tcPr>
            <w:tcW w:w="13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761,229</w:t>
            </w:r>
          </w:p>
        </w:tc>
      </w:tr>
      <w:tr>
        <w:trPr/>
        <w:tc>
          <w:tcPr>
            <w:tcW w:w="87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354"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13,387,636</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below summarizes the Company’s reserved common stock for further issuance as of September 30, 2024 (Successor) and December 31,2023 (Predecessor):</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1577" w:name="Tc_J4QXf8NwDEWktNIqj4x8FQ_14_0"/>
      <w:bookmarkStart w:id="1578" w:name="Tc_00QjT9SZ5U2szuhX4yRbfA_13_4"/>
      <w:bookmarkStart w:id="1579" w:name="Tc_JW411dzfHUKSDps6w39iQg_13_0"/>
      <w:bookmarkStart w:id="1580" w:name="Tc_nJ4gLBa3nEiqTjWeSjfI4g_12_4"/>
      <w:bookmarkStart w:id="1581" w:name="Tc_aISKOnFIa0CeqSfWNc9J3g_12_0"/>
      <w:bookmarkStart w:id="1582" w:name="Tc_nRg8Mv3QX0irVOXCbkcM-g_11_4"/>
      <w:bookmarkStart w:id="1583" w:name="Tc_zMJuQ-ZB-EujZQermuCgiw_11_0"/>
      <w:bookmarkStart w:id="1584" w:name="Tc_QSU15o-dOkSYuxzOR-JYoA_10_4"/>
      <w:bookmarkStart w:id="1585" w:name="Tc_Emo6O7ppSkafR6a3PxA0Qg_10_0"/>
      <w:bookmarkStart w:id="1586" w:name="Tc_SnYaft5D0k2GlLwIOMPMtg_9_4"/>
      <w:bookmarkStart w:id="1587" w:name="Tc_TcWlhySADECu7TKtfU9SVw_9_0"/>
      <w:bookmarkStart w:id="1588" w:name="Tc_jMDeQUEThUWP8k68_dLeXg_8_4"/>
      <w:bookmarkStart w:id="1589" w:name="Tc_rZfbr8rNFEKACRlzOHYCCw_8_0"/>
      <w:bookmarkStart w:id="1590" w:name="Tc_DmO16WelXEGeEVtVL4f78g_7_4"/>
      <w:bookmarkStart w:id="1591" w:name="Tc_GA4-Y2MPpEagc_TS-9961g_7_0"/>
      <w:bookmarkStart w:id="1592" w:name="Tc_aIV2N2DZ9E61PmhoFbhgsQ_6_4"/>
      <w:bookmarkStart w:id="1593" w:name="Tc_7ReY6MzgNUmtnsljKHPSHQ_6_0"/>
      <w:bookmarkStart w:id="1594" w:name="Tc_2M8t8nrofEihXmKb48_L8Q_5_2"/>
      <w:bookmarkStart w:id="1595" w:name="Tc_Yf3b68Tp7kus4ZKiTCBMjw_5_0"/>
      <w:bookmarkStart w:id="1596" w:name="Tc_ZyqJc7GfoES65Y1IBSiKgg_4_2"/>
      <w:bookmarkStart w:id="1597" w:name="Tc_frOfGOsGRU2lu5EDANNnsQ_4_0"/>
      <w:bookmarkStart w:id="1598" w:name="Tc_GoNK54U_U0ypWUstlv3P6w_3_2"/>
      <w:bookmarkStart w:id="1599" w:name="Tc_z2U_-RhowU6o0ok8qtop5w_3_0"/>
      <w:bookmarkStart w:id="1600" w:name="Tc_-XfCLfBpDkyy2EJjgBpZYw_2_4"/>
      <w:bookmarkStart w:id="1601" w:name="Tc_tSKs2hgjKU-Nveu6rmgb8A_2_2"/>
      <w:bookmarkStart w:id="1602" w:name="Tc__lxCts5DV0qWLh9w8QAsKQ_1_4"/>
      <w:bookmarkStart w:id="1603" w:name="Tc_n_Sccyb8U0WRqmIEK2oy8g_1_2"/>
      <w:bookmarkStart w:id="1604" w:name="Tc_J4QXf8NwDEWktNIqj4x8FQ_14_0"/>
      <w:bookmarkStart w:id="1605" w:name="Tc_00QjT9SZ5U2szuhX4yRbfA_13_4"/>
      <w:bookmarkStart w:id="1606" w:name="Tc_JW411dzfHUKSDps6w39iQg_13_0"/>
      <w:bookmarkStart w:id="1607" w:name="Tc_nJ4gLBa3nEiqTjWeSjfI4g_12_4"/>
      <w:bookmarkStart w:id="1608" w:name="Tc_aISKOnFIa0CeqSfWNc9J3g_12_0"/>
      <w:bookmarkStart w:id="1609" w:name="Tc_nRg8Mv3QX0irVOXCbkcM-g_11_4"/>
      <w:bookmarkStart w:id="1610" w:name="Tc_zMJuQ-ZB-EujZQermuCgiw_11_0"/>
      <w:bookmarkStart w:id="1611" w:name="Tc_QSU15o-dOkSYuxzOR-JYoA_10_4"/>
      <w:bookmarkStart w:id="1612" w:name="Tc_Emo6O7ppSkafR6a3PxA0Qg_10_0"/>
      <w:bookmarkStart w:id="1613" w:name="Tc_SnYaft5D0k2GlLwIOMPMtg_9_4"/>
      <w:bookmarkStart w:id="1614" w:name="Tc_TcWlhySADECu7TKtfU9SVw_9_0"/>
      <w:bookmarkStart w:id="1615" w:name="Tc_jMDeQUEThUWP8k68_dLeXg_8_4"/>
      <w:bookmarkStart w:id="1616" w:name="Tc_rZfbr8rNFEKACRlzOHYCCw_8_0"/>
      <w:bookmarkStart w:id="1617" w:name="Tc_DmO16WelXEGeEVtVL4f78g_7_4"/>
      <w:bookmarkStart w:id="1618" w:name="Tc_GA4-Y2MPpEagc_TS-9961g_7_0"/>
      <w:bookmarkStart w:id="1619" w:name="Tc_aIV2N2DZ9E61PmhoFbhgsQ_6_4"/>
      <w:bookmarkStart w:id="1620" w:name="Tc_7ReY6MzgNUmtnsljKHPSHQ_6_0"/>
      <w:bookmarkStart w:id="1621" w:name="Tc_2M8t8nrofEihXmKb48_L8Q_5_2"/>
      <w:bookmarkStart w:id="1622" w:name="Tc_Yf3b68Tp7kus4ZKiTCBMjw_5_0"/>
      <w:bookmarkStart w:id="1623" w:name="Tc_ZyqJc7GfoES65Y1IBSiKgg_4_2"/>
      <w:bookmarkStart w:id="1624" w:name="Tc_frOfGOsGRU2lu5EDANNnsQ_4_0"/>
      <w:bookmarkStart w:id="1625" w:name="Tc_GoNK54U_U0ypWUstlv3P6w_3_2"/>
      <w:bookmarkStart w:id="1626" w:name="Tc_z2U_-RhowU6o0ok8qtop5w_3_0"/>
      <w:bookmarkStart w:id="1627" w:name="Tc_-XfCLfBpDkyy2EJjgBpZYw_2_4"/>
      <w:bookmarkStart w:id="1628" w:name="Tc_tSKs2hgjKU-Nveu6rmgb8A_2_2"/>
      <w:bookmarkStart w:id="1629" w:name="Tc__lxCts5DV0qWLh9w8QAsKQ_1_4"/>
      <w:bookmarkStart w:id="1630" w:name="Tc_n_Sccyb8U0WRqmIEK2oy8g_1_2"/>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p>
    <w:tbl>
      <w:tblPr>
        <w:tblW w:w="10205" w:type="dxa"/>
        <w:jc w:val="left"/>
        <w:tblInd w:w="0" w:type="dxa"/>
        <w:tblLayout w:type="fixed"/>
        <w:tblCellMar>
          <w:top w:w="0" w:type="dxa"/>
          <w:left w:w="0" w:type="dxa"/>
          <w:bottom w:w="0" w:type="dxa"/>
          <w:right w:w="0" w:type="dxa"/>
        </w:tblCellMar>
      </w:tblPr>
      <w:tblGrid>
        <w:gridCol w:w="7074"/>
        <w:gridCol w:w="109"/>
        <w:gridCol w:w="1407"/>
        <w:gridCol w:w="109"/>
        <w:gridCol w:w="1506"/>
      </w:tblGrid>
      <w:tr>
        <w:trPr/>
        <w:tc>
          <w:tcPr>
            <w:tcW w:w="707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07"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06" w:type="dxa"/>
            <w:tcBorders/>
            <w:vAlign w:val="center"/>
          </w:tcPr>
          <w:p>
            <w:pPr>
              <w:pStyle w:val="TableContents"/>
              <w:bidi w:val="0"/>
              <w:spacing w:before="0" w:after="1"/>
              <w:ind w:left="0" w:right="0" w:hanging="0"/>
              <w:jc w:val="left"/>
              <w:rPr/>
            </w:pPr>
            <w:r>
              <w:rPr/>
              <w:t>​</w:t>
            </w:r>
          </w:p>
        </w:tc>
      </w:tr>
      <w:tr>
        <w:trPr/>
        <w:tc>
          <w:tcPr>
            <w:tcW w:w="707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40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2024</w:t>
            </w:r>
          </w:p>
        </w:tc>
        <w:tc>
          <w:tcPr>
            <w:tcW w:w="109" w:type="dxa"/>
            <w:tcBorders/>
            <w:vAlign w:val="center"/>
          </w:tcPr>
          <w:p>
            <w:pPr>
              <w:pStyle w:val="TableContents"/>
              <w:bidi w:val="0"/>
              <w:spacing w:before="0" w:after="1"/>
              <w:ind w:left="0" w:right="0" w:hanging="0"/>
              <w:jc w:val="center"/>
              <w:rPr/>
            </w:pPr>
            <w:r>
              <w:rPr/>
              <w:t>​</w:t>
            </w:r>
          </w:p>
        </w:tc>
        <w:tc>
          <w:tcPr>
            <w:tcW w:w="15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2023</w:t>
            </w:r>
          </w:p>
        </w:tc>
      </w:tr>
      <w:tr>
        <w:trPr/>
        <w:tc>
          <w:tcPr>
            <w:tcW w:w="707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40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(Successor)</w:t>
            </w:r>
          </w:p>
        </w:tc>
        <w:tc>
          <w:tcPr>
            <w:tcW w:w="109" w:type="dxa"/>
            <w:tcBorders/>
            <w:vAlign w:val="center"/>
          </w:tcPr>
          <w:p>
            <w:pPr>
              <w:pStyle w:val="TableContents"/>
              <w:bidi w:val="0"/>
              <w:spacing w:before="0" w:after="1"/>
              <w:ind w:left="0" w:right="0" w:hanging="0"/>
              <w:jc w:val="center"/>
              <w:rPr/>
            </w:pPr>
            <w:r>
              <w:rPr/>
              <w:t>​</w:t>
            </w:r>
          </w:p>
        </w:tc>
        <w:tc>
          <w:tcPr>
            <w:tcW w:w="15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(Predecessor)</w:t>
            </w:r>
          </w:p>
        </w:tc>
      </w:tr>
      <w:tr>
        <w:trPr/>
        <w:tc>
          <w:tcPr>
            <w:tcW w:w="70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preferred stock</w:t>
            </w:r>
          </w:p>
        </w:tc>
        <w:tc>
          <w:tcPr>
            <w:tcW w:w="109" w:type="dxa"/>
            <w:tcBorders/>
            <w:shd w:fill="CCEEFF" w:val="clear"/>
            <w:vAlign w:val="center"/>
          </w:tcPr>
          <w:p>
            <w:pPr>
              <w:pStyle w:val="TableContents"/>
              <w:bidi w:val="0"/>
              <w:spacing w:before="0" w:after="1"/>
              <w:ind w:left="0" w:right="0" w:hanging="0"/>
              <w:jc w:val="left"/>
              <w:rPr/>
            </w:pPr>
            <w:r>
              <w:rPr/>
              <w:t>​</w:t>
            </w:r>
          </w:p>
        </w:tc>
        <w:tc>
          <w:tcPr>
            <w:tcW w:w="140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5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4,939,946</w:t>
            </w:r>
          </w:p>
        </w:tc>
      </w:tr>
      <w:tr>
        <w:trPr/>
        <w:tc>
          <w:tcPr>
            <w:tcW w:w="70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 issued and outstanding under the 2012 and 2022 Plan</w:t>
            </w:r>
          </w:p>
        </w:tc>
        <w:tc>
          <w:tcPr>
            <w:tcW w:w="109" w:type="dxa"/>
            <w:tcBorders/>
            <w:vAlign w:val="center"/>
          </w:tcPr>
          <w:p>
            <w:pPr>
              <w:pStyle w:val="TableContents"/>
              <w:bidi w:val="0"/>
              <w:spacing w:before="0" w:after="1"/>
              <w:ind w:left="0" w:right="0" w:hanging="0"/>
              <w:jc w:val="left"/>
              <w:rPr/>
            </w:pPr>
            <w:r>
              <w:rPr/>
              <w:t>​</w:t>
            </w:r>
          </w:p>
        </w:tc>
        <w:tc>
          <w:tcPr>
            <w:tcW w:w="140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5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747,001</w:t>
            </w:r>
          </w:p>
        </w:tc>
      </w:tr>
      <w:tr>
        <w:trPr/>
        <w:tc>
          <w:tcPr>
            <w:tcW w:w="70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shares available for future grant under the 2012 and 2022 Plan</w:t>
            </w:r>
          </w:p>
        </w:tc>
        <w:tc>
          <w:tcPr>
            <w:tcW w:w="109" w:type="dxa"/>
            <w:tcBorders/>
            <w:shd w:fill="CCEEFF" w:val="clear"/>
            <w:vAlign w:val="center"/>
          </w:tcPr>
          <w:p>
            <w:pPr>
              <w:pStyle w:val="TableContents"/>
              <w:bidi w:val="0"/>
              <w:spacing w:before="0" w:after="1"/>
              <w:ind w:left="0" w:right="0" w:hanging="0"/>
              <w:jc w:val="left"/>
              <w:rPr/>
            </w:pPr>
            <w:r>
              <w:rPr/>
              <w:t>​</w:t>
            </w:r>
          </w:p>
        </w:tc>
        <w:tc>
          <w:tcPr>
            <w:tcW w:w="140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5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27,012</w:t>
            </w:r>
          </w:p>
        </w:tc>
      </w:tr>
      <w:tr>
        <w:trPr/>
        <w:tc>
          <w:tcPr>
            <w:tcW w:w="70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Base Warrants</w:t>
            </w:r>
          </w:p>
        </w:tc>
        <w:tc>
          <w:tcPr>
            <w:tcW w:w="109" w:type="dxa"/>
            <w:tcBorders/>
            <w:vAlign w:val="center"/>
          </w:tcPr>
          <w:p>
            <w:pPr>
              <w:pStyle w:val="TableContents"/>
              <w:bidi w:val="0"/>
              <w:spacing w:before="0" w:after="1"/>
              <w:ind w:left="0" w:right="0" w:hanging="0"/>
              <w:jc w:val="left"/>
              <w:rPr/>
            </w:pPr>
            <w:r>
              <w:rPr/>
              <w:t>​</w:t>
            </w:r>
          </w:p>
        </w:tc>
        <w:tc>
          <w:tcPr>
            <w:tcW w:w="14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7,528,727</w:t>
            </w:r>
          </w:p>
        </w:tc>
        <w:tc>
          <w:tcPr>
            <w:tcW w:w="109" w:type="dxa"/>
            <w:tcBorders/>
            <w:vAlign w:val="center"/>
          </w:tcPr>
          <w:p>
            <w:pPr>
              <w:pStyle w:val="TableContents"/>
              <w:bidi w:val="0"/>
              <w:spacing w:before="0" w:after="1"/>
              <w:ind w:left="0" w:right="0" w:hanging="0"/>
              <w:jc w:val="left"/>
              <w:rPr/>
            </w:pPr>
            <w:r>
              <w:rPr/>
              <w:t>​</w:t>
            </w:r>
          </w:p>
        </w:tc>
        <w:tc>
          <w:tcPr>
            <w:tcW w:w="1506" w:type="dxa"/>
            <w:tcBorders/>
            <w:vAlign w:val="center"/>
          </w:tcPr>
          <w:p>
            <w:pPr>
              <w:pStyle w:val="TableContents"/>
              <w:bidi w:val="0"/>
              <w:spacing w:before="0" w:after="1"/>
              <w:ind w:left="0" w:right="0" w:hanging="0"/>
              <w:jc w:val="right"/>
              <w:rPr/>
            </w:pPr>
            <w:r>
              <w:rPr/>
              <w:t>—</w:t>
            </w:r>
          </w:p>
        </w:tc>
      </w:tr>
      <w:tr>
        <w:trPr/>
        <w:tc>
          <w:tcPr>
            <w:tcW w:w="70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PIPE Pre-funded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14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670,000</w:t>
            </w:r>
          </w:p>
        </w:tc>
        <w:tc>
          <w:tcPr>
            <w:tcW w:w="109" w:type="dxa"/>
            <w:tcBorders/>
            <w:shd w:fill="CCEEFF" w:val="clear"/>
            <w:vAlign w:val="center"/>
          </w:tcPr>
          <w:p>
            <w:pPr>
              <w:pStyle w:val="TableContents"/>
              <w:bidi w:val="0"/>
              <w:spacing w:before="0" w:after="1"/>
              <w:ind w:left="0" w:right="0" w:hanging="0"/>
              <w:jc w:val="left"/>
              <w:rPr/>
            </w:pPr>
            <w:r>
              <w:rPr/>
              <w:t>​</w:t>
            </w:r>
          </w:p>
        </w:tc>
        <w:tc>
          <w:tcPr>
            <w:tcW w:w="1506" w:type="dxa"/>
            <w:tcBorders/>
            <w:shd w:fill="CCEEFF" w:val="clear"/>
            <w:vAlign w:val="center"/>
          </w:tcPr>
          <w:p>
            <w:pPr>
              <w:pStyle w:val="TableContents"/>
              <w:bidi w:val="0"/>
              <w:spacing w:before="0" w:after="1"/>
              <w:ind w:left="0" w:right="0" w:hanging="0"/>
              <w:jc w:val="right"/>
              <w:rPr/>
            </w:pPr>
            <w:r>
              <w:rPr/>
              <w:t>—</w:t>
            </w:r>
          </w:p>
        </w:tc>
      </w:tr>
      <w:tr>
        <w:trPr/>
        <w:tc>
          <w:tcPr>
            <w:tcW w:w="70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Securities Notes</w:t>
            </w:r>
          </w:p>
        </w:tc>
        <w:tc>
          <w:tcPr>
            <w:tcW w:w="109" w:type="dxa"/>
            <w:tcBorders/>
            <w:vAlign w:val="center"/>
          </w:tcPr>
          <w:p>
            <w:pPr>
              <w:pStyle w:val="TableContents"/>
              <w:bidi w:val="0"/>
              <w:spacing w:before="0" w:after="1"/>
              <w:ind w:left="0" w:right="0" w:hanging="0"/>
              <w:jc w:val="left"/>
              <w:rPr/>
            </w:pPr>
            <w:r>
              <w:rPr/>
              <w:t>​</w:t>
            </w:r>
          </w:p>
        </w:tc>
        <w:tc>
          <w:tcPr>
            <w:tcW w:w="14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3,231,327</w:t>
            </w:r>
          </w:p>
        </w:tc>
        <w:tc>
          <w:tcPr>
            <w:tcW w:w="109" w:type="dxa"/>
            <w:tcBorders/>
            <w:vAlign w:val="center"/>
          </w:tcPr>
          <w:p>
            <w:pPr>
              <w:pStyle w:val="TableContents"/>
              <w:bidi w:val="0"/>
              <w:spacing w:before="0" w:after="1"/>
              <w:ind w:left="0" w:right="0" w:hanging="0"/>
              <w:jc w:val="left"/>
              <w:rPr/>
            </w:pPr>
            <w:r>
              <w:rPr/>
              <w:t>​</w:t>
            </w:r>
          </w:p>
        </w:tc>
        <w:tc>
          <w:tcPr>
            <w:tcW w:w="1506" w:type="dxa"/>
            <w:tcBorders/>
            <w:vAlign w:val="center"/>
          </w:tcPr>
          <w:p>
            <w:pPr>
              <w:pStyle w:val="TableContents"/>
              <w:bidi w:val="0"/>
              <w:spacing w:before="0" w:after="1"/>
              <w:ind w:left="0" w:right="0" w:hanging="0"/>
              <w:jc w:val="right"/>
              <w:rPr/>
            </w:pPr>
            <w:r>
              <w:rPr/>
              <w:t>—</w:t>
            </w:r>
          </w:p>
        </w:tc>
      </w:tr>
      <w:tr>
        <w:trPr/>
        <w:tc>
          <w:tcPr>
            <w:tcW w:w="70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14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1,500,000</w:t>
            </w:r>
          </w:p>
        </w:tc>
        <w:tc>
          <w:tcPr>
            <w:tcW w:w="109" w:type="dxa"/>
            <w:tcBorders/>
            <w:shd w:fill="CCEEFF" w:val="clear"/>
            <w:vAlign w:val="center"/>
          </w:tcPr>
          <w:p>
            <w:pPr>
              <w:pStyle w:val="TableContents"/>
              <w:bidi w:val="0"/>
              <w:spacing w:before="0" w:after="1"/>
              <w:ind w:left="0" w:right="0" w:hanging="0"/>
              <w:jc w:val="left"/>
              <w:rPr/>
            </w:pPr>
            <w:r>
              <w:rPr/>
              <w:t>​</w:t>
            </w:r>
          </w:p>
        </w:tc>
        <w:tc>
          <w:tcPr>
            <w:tcW w:w="1506" w:type="dxa"/>
            <w:tcBorders/>
            <w:shd w:fill="CCEEFF" w:val="clear"/>
            <w:vAlign w:val="center"/>
          </w:tcPr>
          <w:p>
            <w:pPr>
              <w:pStyle w:val="TableContents"/>
              <w:bidi w:val="0"/>
              <w:spacing w:before="0" w:after="1"/>
              <w:ind w:left="0" w:right="0" w:hanging="0"/>
              <w:jc w:val="right"/>
              <w:rPr/>
            </w:pPr>
            <w:r>
              <w:rPr/>
              <w:t>—</w:t>
            </w:r>
          </w:p>
        </w:tc>
      </w:tr>
      <w:tr>
        <w:trPr/>
        <w:tc>
          <w:tcPr>
            <w:tcW w:w="70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Company’s Common Stock issuable upon the exercise of outstanding options Legacy Adagio’s equity plans that were assumed in the Business Combination</w:t>
            </w:r>
          </w:p>
        </w:tc>
        <w:tc>
          <w:tcPr>
            <w:tcW w:w="109" w:type="dxa"/>
            <w:tcBorders/>
            <w:vAlign w:val="center"/>
          </w:tcPr>
          <w:p>
            <w:pPr>
              <w:pStyle w:val="TableContents"/>
              <w:bidi w:val="0"/>
              <w:spacing w:before="0" w:after="1"/>
              <w:ind w:left="0" w:right="0" w:hanging="0"/>
              <w:jc w:val="left"/>
              <w:rPr/>
            </w:pPr>
            <w:r>
              <w:rPr/>
              <w:t>​</w:t>
            </w:r>
          </w:p>
        </w:tc>
        <w:tc>
          <w:tcPr>
            <w:tcW w:w="14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7,587</w:t>
            </w:r>
          </w:p>
        </w:tc>
        <w:tc>
          <w:tcPr>
            <w:tcW w:w="109" w:type="dxa"/>
            <w:tcBorders/>
            <w:vAlign w:val="center"/>
          </w:tcPr>
          <w:p>
            <w:pPr>
              <w:pStyle w:val="TableContents"/>
              <w:bidi w:val="0"/>
              <w:spacing w:before="0" w:after="1"/>
              <w:ind w:left="0" w:right="0" w:hanging="0"/>
              <w:jc w:val="left"/>
              <w:rPr/>
            </w:pPr>
            <w:r>
              <w:rPr/>
              <w:t>​</w:t>
            </w:r>
          </w:p>
        </w:tc>
        <w:tc>
          <w:tcPr>
            <w:tcW w:w="1506" w:type="dxa"/>
            <w:tcBorders/>
            <w:vAlign w:val="center"/>
          </w:tcPr>
          <w:p>
            <w:pPr>
              <w:pStyle w:val="TableContents"/>
              <w:bidi w:val="0"/>
              <w:spacing w:before="0" w:after="1"/>
              <w:ind w:left="0" w:right="0" w:hanging="0"/>
              <w:jc w:val="right"/>
              <w:rPr/>
            </w:pPr>
            <w:r>
              <w:rPr/>
              <w:t>—</w:t>
            </w:r>
          </w:p>
        </w:tc>
      </w:tr>
      <w:tr>
        <w:trPr/>
        <w:tc>
          <w:tcPr>
            <w:tcW w:w="70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reserved for future issuance under the 2024 Equity Incentive Plan</w:t>
            </w:r>
          </w:p>
        </w:tc>
        <w:tc>
          <w:tcPr>
            <w:tcW w:w="109" w:type="dxa"/>
            <w:tcBorders/>
            <w:shd w:fill="CCEEFF" w:val="clear"/>
            <w:vAlign w:val="center"/>
          </w:tcPr>
          <w:p>
            <w:pPr>
              <w:pStyle w:val="TableContents"/>
              <w:bidi w:val="0"/>
              <w:spacing w:before="0" w:after="1"/>
              <w:ind w:left="0" w:right="0" w:hanging="0"/>
              <w:jc w:val="left"/>
              <w:rPr/>
            </w:pPr>
            <w:r>
              <w:rPr/>
              <w:t>​</w:t>
            </w:r>
          </w:p>
        </w:tc>
        <w:tc>
          <w:tcPr>
            <w:tcW w:w="14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4,472,592</w:t>
            </w:r>
          </w:p>
        </w:tc>
        <w:tc>
          <w:tcPr>
            <w:tcW w:w="109" w:type="dxa"/>
            <w:tcBorders/>
            <w:shd w:fill="CCEEFF" w:val="clear"/>
            <w:vAlign w:val="center"/>
          </w:tcPr>
          <w:p>
            <w:pPr>
              <w:pStyle w:val="TableContents"/>
              <w:bidi w:val="0"/>
              <w:spacing w:before="0" w:after="1"/>
              <w:ind w:left="0" w:right="0" w:hanging="0"/>
              <w:jc w:val="left"/>
              <w:rPr/>
            </w:pPr>
            <w:r>
              <w:rPr/>
              <w:t>​</w:t>
            </w:r>
          </w:p>
        </w:tc>
        <w:tc>
          <w:tcPr>
            <w:tcW w:w="1506" w:type="dxa"/>
            <w:tcBorders/>
            <w:shd w:fill="CCEEFF" w:val="clear"/>
            <w:vAlign w:val="center"/>
          </w:tcPr>
          <w:p>
            <w:pPr>
              <w:pStyle w:val="TableContents"/>
              <w:bidi w:val="0"/>
              <w:spacing w:before="0" w:after="1"/>
              <w:ind w:left="0" w:right="0" w:hanging="0"/>
              <w:jc w:val="right"/>
              <w:rPr/>
            </w:pPr>
            <w:r>
              <w:rPr/>
              <w:t>—</w:t>
            </w:r>
          </w:p>
        </w:tc>
      </w:tr>
      <w:tr>
        <w:trPr/>
        <w:tc>
          <w:tcPr>
            <w:tcW w:w="70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reserved for future issuance under the 2024 Key Employee Equity Incentive Plan</w:t>
            </w:r>
          </w:p>
        </w:tc>
        <w:tc>
          <w:tcPr>
            <w:tcW w:w="109" w:type="dxa"/>
            <w:tcBorders/>
            <w:vAlign w:val="center"/>
          </w:tcPr>
          <w:p>
            <w:pPr>
              <w:pStyle w:val="TableContents"/>
              <w:bidi w:val="0"/>
              <w:spacing w:before="0" w:after="1"/>
              <w:ind w:left="0" w:right="0" w:hanging="0"/>
              <w:jc w:val="left"/>
              <w:rPr/>
            </w:pPr>
            <w:r>
              <w:rPr/>
              <w:t>​</w:t>
            </w:r>
          </w:p>
        </w:tc>
        <w:tc>
          <w:tcPr>
            <w:tcW w:w="14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3,354,444</w:t>
            </w:r>
          </w:p>
        </w:tc>
        <w:tc>
          <w:tcPr>
            <w:tcW w:w="109" w:type="dxa"/>
            <w:tcBorders/>
            <w:vAlign w:val="center"/>
          </w:tcPr>
          <w:p>
            <w:pPr>
              <w:pStyle w:val="TableContents"/>
              <w:bidi w:val="0"/>
              <w:spacing w:before="0" w:after="1"/>
              <w:ind w:left="0" w:right="0" w:hanging="0"/>
              <w:jc w:val="left"/>
              <w:rPr/>
            </w:pPr>
            <w:r>
              <w:rPr/>
              <w:t>​</w:t>
            </w:r>
          </w:p>
        </w:tc>
        <w:tc>
          <w:tcPr>
            <w:tcW w:w="1506" w:type="dxa"/>
            <w:tcBorders/>
            <w:vAlign w:val="center"/>
          </w:tcPr>
          <w:p>
            <w:pPr>
              <w:pStyle w:val="TableContents"/>
              <w:bidi w:val="0"/>
              <w:spacing w:before="0" w:after="1"/>
              <w:ind w:left="0" w:right="0" w:hanging="0"/>
              <w:jc w:val="right"/>
              <w:rPr/>
            </w:pPr>
            <w:r>
              <w:rPr/>
              <w:t>—</w:t>
            </w:r>
          </w:p>
        </w:tc>
      </w:tr>
      <w:tr>
        <w:trPr/>
        <w:tc>
          <w:tcPr>
            <w:tcW w:w="70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reserved for future issuance under the 2024 Employee Stock Purchase Plan</w:t>
            </w:r>
          </w:p>
        </w:tc>
        <w:tc>
          <w:tcPr>
            <w:tcW w:w="109" w:type="dxa"/>
            <w:tcBorders/>
            <w:shd w:fill="CCEEFF" w:val="clear"/>
            <w:vAlign w:val="center"/>
          </w:tcPr>
          <w:p>
            <w:pPr>
              <w:pStyle w:val="TableContents"/>
              <w:bidi w:val="0"/>
              <w:spacing w:before="0" w:after="1"/>
              <w:ind w:left="0" w:right="0" w:hanging="0"/>
              <w:jc w:val="left"/>
              <w:rPr/>
            </w:pPr>
            <w:r>
              <w:rPr/>
              <w:t>​</w:t>
            </w:r>
          </w:p>
        </w:tc>
        <w:tc>
          <w:tcPr>
            <w:tcW w:w="140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441,293</w:t>
            </w:r>
          </w:p>
        </w:tc>
        <w:tc>
          <w:tcPr>
            <w:tcW w:w="109" w:type="dxa"/>
            <w:tcBorders/>
            <w:shd w:fill="CCEEFF" w:val="clear"/>
            <w:vAlign w:val="center"/>
          </w:tcPr>
          <w:p>
            <w:pPr>
              <w:pStyle w:val="TableContents"/>
              <w:bidi w:val="0"/>
              <w:spacing w:before="0" w:after="1"/>
              <w:ind w:left="0" w:right="0" w:hanging="0"/>
              <w:jc w:val="left"/>
              <w:rPr/>
            </w:pPr>
            <w:r>
              <w:rPr/>
              <w:t>​</w:t>
            </w:r>
          </w:p>
        </w:tc>
        <w:tc>
          <w:tcPr>
            <w:tcW w:w="15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707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Common stock reserved for future issuance</w:t>
            </w:r>
          </w:p>
        </w:tc>
        <w:tc>
          <w:tcPr>
            <w:tcW w:w="109" w:type="dxa"/>
            <w:tcBorders/>
            <w:vAlign w:val="center"/>
          </w:tcPr>
          <w:p>
            <w:pPr>
              <w:pStyle w:val="TableContents"/>
              <w:bidi w:val="0"/>
              <w:spacing w:before="0" w:after="1"/>
              <w:ind w:left="0" w:right="0" w:hanging="0"/>
              <w:jc w:val="left"/>
              <w:rPr/>
            </w:pPr>
            <w:r>
              <w:rPr/>
              <w:t>​</w:t>
            </w:r>
          </w:p>
        </w:tc>
        <w:tc>
          <w:tcPr>
            <w:tcW w:w="140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21,205,970</w:t>
            </w:r>
          </w:p>
        </w:tc>
        <w:tc>
          <w:tcPr>
            <w:tcW w:w="109" w:type="dxa"/>
            <w:tcBorders/>
            <w:vAlign w:val="center"/>
          </w:tcPr>
          <w:p>
            <w:pPr>
              <w:pStyle w:val="TableContents"/>
              <w:bidi w:val="0"/>
              <w:spacing w:before="0" w:after="1"/>
              <w:ind w:left="0" w:right="0" w:hanging="0"/>
              <w:jc w:val="left"/>
              <w:rPr/>
            </w:pPr>
            <w:r>
              <w:rPr/>
              <w:t>​</w:t>
            </w:r>
          </w:p>
        </w:tc>
        <w:tc>
          <w:tcPr>
            <w:tcW w:w="150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5,713,959</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14 - Stock-Based Compensation</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Predecessor Periods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2012 Stock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January 2011, Legacy Adagio’s Board approved the 2012 Stock Incentive Plan (the “2012 Plan”), which permitted grants of Incentive Stock Options (“ISOs”) and Non-statutory Stock Options (“NSOs”) to employees, directors and consultants. The maximum number of shares that can be granted under the 2012 Plan cannot exceed 1,255,000 shares. The 2012 Plan had a maximum </w:t>
      </w:r>
      <w:r>
        <w:rPr>
          <w:rFonts w:ascii="Times New Roman;Times;serif" w:hAnsi="Times New Roman;Times;serif"/>
          <w:b w:val="false"/>
          <w:i w:val="false"/>
          <w:caps w:val="false"/>
          <w:smallCaps w:val="false"/>
          <w:sz w:val="20"/>
        </w:rPr>
        <w:t>10-year</w:t>
      </w:r>
      <w:r>
        <w:rPr>
          <w:rFonts w:ascii="Times New Roman;Times;serif" w:hAnsi="Times New Roman;Times;serif"/>
          <w:sz w:val="20"/>
        </w:rPr>
        <w:t xml:space="preserve"> term and as such, terminated in January 2022.</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2022 Stock Incentive Plan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April 2022, the Legacy Adagio’s Board approved, in conjunction with the termination of the 2012 Plan, the 2022 Stock Incentive Plan (the “2022 Plan”), permitting ISOs and NSOs to employees, directors and consultants. The maximum number of shares granted under the 2022 Plan cannot exceed 203,855 plus any shares subject to stock options granted under the 2012 Plan that expired or were otherwise terminated without having been exercised in full, were forfeited, or were repurchased by the Company. The 2022 Plan is intended as the successor to and continuation of the 2012 Plan (thereafter both the 2012 and 2022 Plans are referred to as the “Stock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Stock Incentive Plan provides a means whereby participants may purchase shares of common stock pursuant to ISOs or NSOs and such persons may be granted shares of common stock for consideration consisting of cash and/or past services rendered to or on behalf of Legacy Adagio. ISOs may only be granted to employees. NSOs and stock purchase rights may be granted to employees and consultants. Generally, options awards only have service conditions that need to be met for the awards to vest, with the exception of grants to two non-employees that had performance obligations that were deemed to be immaterial.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stock options generally vest over four years and have a ten-year contractual term. The fair value of each employee and non-employee stock option grant is estimated on the date of grant using the Black-Scholes option pricing model. As Legacy Adagio lacks company-specific historical and implied volatility information required for valuation, Legacy Adagio estimates its expected stock volatility based on the historical volatility of a publicly traded set of peer companies. Due to the lack of historical exercise history, the expected life term of ISOs that were granted after 2013 was determined using the “simplified method” provided by the Securities and Exchange Commission in Staff Accounting Bulletins Number 107 and 110. The expected life term of NSOs is determined either by using the “simplified method,” or by calculating the time to expiry from the grant date. The risk-free interest rate is determined by reference to the U.S. Treasury yield curve in effect at the time of grant for time periods approximately equal to the expected term of the award. Expected dividend yield is zero as Legacy Adagio has never paid nor does it expect to pay any cash dividend in the near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bookmarkStart w:id="1631" w:name="Tc_QkdLyVcKYEGcrx8qzCnydw_7_11"/>
      <w:bookmarkStart w:id="1632" w:name="Tc_1ahaH8PXIECADd9e3Qy-hQ_7_8"/>
      <w:bookmarkStart w:id="1633" w:name="Tc__3NDfVMx00OsKTnQrNW-bw_7_5"/>
      <w:bookmarkStart w:id="1634" w:name="Tc_9IPcWFZYmkWLPdiMPlpa-g_7_2"/>
      <w:bookmarkStart w:id="1635" w:name="Tc_BhWt58S3r0G4bsRBe10jUQ_7_0"/>
      <w:bookmarkStart w:id="1636" w:name="Tc_xqHclO8-6kGBHZyrtcM5rw_6_0"/>
      <w:bookmarkStart w:id="1637" w:name="Tc_R0FZgh9qLEqnYpaWvdfLcA_5_11"/>
      <w:bookmarkStart w:id="1638" w:name="Tc_j4NzSm7X80uMOcF_B3ZeGg_5_8"/>
      <w:bookmarkStart w:id="1639" w:name="Tc_WCDO8Ivv4UOQvVVhEWx8nA_5_5"/>
      <w:bookmarkStart w:id="1640" w:name="Tc_ZdRjhCbVDUuCDqbC6MlnWQ_5_2"/>
      <w:bookmarkStart w:id="1641" w:name="Tc_N0KqRz0SeUeLKYrSy4J5Lg_5_0"/>
      <w:bookmarkStart w:id="1642" w:name="Tc_0htxU-LFV0qE3N3mqAy_1g_4_11"/>
      <w:bookmarkStart w:id="1643" w:name="Tc_HEzMC9a0YEaxVT_YoibHtg_4_8"/>
      <w:bookmarkStart w:id="1644" w:name="Tc_q58-2VzvmkyVpr5B0NFxwg_4_5"/>
      <w:bookmarkStart w:id="1645" w:name="Tc_d2gzogzc5kawGgHGAQsT6w_4_2"/>
      <w:bookmarkStart w:id="1646" w:name="Tc_eMnKUbcj3ECIw7XZ9om6-A_3_8"/>
      <w:bookmarkStart w:id="1647" w:name="Tc_IpPQpfXRMUCXsrs70vQbdg_3_2"/>
      <w:bookmarkStart w:id="1648" w:name="_86716c53_dfec_4804_99d9_db0760f54875"/>
      <w:bookmarkStart w:id="1649" w:name="Tc_KSSFeGCQxUeQ84QhRDxHvw_11_10"/>
      <w:bookmarkStart w:id="1650" w:name="Tc_r6YREPTYE06coSfzuszDUw_11_9"/>
      <w:bookmarkStart w:id="1651" w:name="Tc_CVqmiMv1wkOhgZnjy42Ttg_11_7"/>
      <w:bookmarkStart w:id="1652" w:name="Tc_auQoFe5mfkSZ3D1x2kxkXw_11_4"/>
      <w:bookmarkStart w:id="1653" w:name="Tc_YFx5m4dMuUGWcTI6TV1dtg_11_0"/>
      <w:bookmarkStart w:id="1654" w:name="Tc_Hq9VzVzeG0OGS7yNNIVgDw_10_10"/>
      <w:bookmarkStart w:id="1655" w:name="Tc_Nq3V-sAZEEGCgT5_T91MCg_10_9"/>
      <w:bookmarkStart w:id="1656" w:name="Tc_-Twek9il5kuOXeUu8yEMQA_10_7"/>
      <w:bookmarkStart w:id="1657" w:name="Tc_nEHM2Kr8HEStGGWJCJeGwQ_10_4"/>
      <w:bookmarkStart w:id="1658" w:name="Tc_q5O9AizzDkKwPlenSkQf4A_10_0"/>
      <w:bookmarkStart w:id="1659" w:name="Tc_JAvq74uV5kKOCVIHs0cU6Q_9_10"/>
      <w:bookmarkStart w:id="1660" w:name="Tc_u-LXEs1JDEixfcDj5ciWow_9_9"/>
      <w:bookmarkStart w:id="1661" w:name="Tc_vqmmZ6WCuUuwxFYL6RxmVA_9_7"/>
      <w:bookmarkStart w:id="1662" w:name="Tc_0YS0M3Rj7kqvtJU4ncXYDg_9_4"/>
      <w:bookmarkStart w:id="1663" w:name="Tc_bxIJcx4enEOciepIAvjWjQ_9_0"/>
      <w:bookmarkStart w:id="1664" w:name="Tc_1D4Tu3MMM0yBNSy9b-mmBQ_8_7"/>
      <w:bookmarkStart w:id="1665" w:name="Tc_FY0aWD-y8UORFlTAgYIm-Q_8_0"/>
      <w:bookmarkStart w:id="1666" w:name="Tc_eWPmN7rWUE-ijxx0ns_8ig_7_10"/>
      <w:bookmarkStart w:id="1667" w:name="Tc_waOQHaHm4U6kBeiOjMXChQ_7_7"/>
      <w:bookmarkStart w:id="1668" w:name="Tc_5qDmGFHa502fp0T-GR8-JA_7_0"/>
      <w:bookmarkStart w:id="1669" w:name="Tc_Y25FKuMVNEKM6YQNGLKpUg_6_9"/>
      <w:bookmarkStart w:id="1670" w:name="Tc_owLVrAuFzUS_tRidx5Q0Mg_6_4"/>
      <w:bookmarkStart w:id="1671" w:name="Tc_5u3z5M74wkWYIaW_WFf3Gg_6_0"/>
      <w:bookmarkStart w:id="1672" w:name="Tc_bEdElRjc70CQdWE0Bglm0Q_5_9"/>
      <w:bookmarkStart w:id="1673" w:name="Tc_9yI8dCTBYEecgJWV3-_IwA_5_7"/>
      <w:bookmarkStart w:id="1674" w:name="Tc_-6VLThsU3k-F2AKOHQH6MA_5_4"/>
      <w:bookmarkStart w:id="1675" w:name="Tc_JcFZRzTxbE6-x0ZhhA0Z1Q_5_2"/>
      <w:bookmarkStart w:id="1676" w:name="Tc_QyngP60d4Ea5jROyH-S-yA_4_9"/>
      <w:bookmarkStart w:id="1677" w:name="Tc_hyV72wn0K0G_M5t1sU_5IQ_4_7"/>
      <w:bookmarkStart w:id="1678" w:name="Tc_zcwtg8jqckOnz-9U-icTMQ_4_4"/>
      <w:bookmarkStart w:id="1679" w:name="Tc_LuBMdpJa20GgSwZSC3lAWg_3_9"/>
      <w:bookmarkStart w:id="1680" w:name="Tc_w7ptzS05OUOtF1-4KLO3HQ_3_7"/>
      <w:bookmarkStart w:id="1681" w:name="Tc_t78i4ZUMS0Kim_LYwA8yeg_3_4"/>
      <w:bookmarkStart w:id="1682" w:name="Tc_Yo4hntgDg0ax4pgf_tcWdQ_2_9"/>
      <w:bookmarkStart w:id="1683" w:name="Tc_qobb5-H6KU-dXYrp3TxqtA_2_7"/>
      <w:bookmarkStart w:id="1684" w:name="Tc_CEZX3tN0rEC-IBtYZFcX9g_2_4"/>
      <w:bookmarkStart w:id="1685" w:name="Tc_FPyk5YdLtkmrm-N4h9hpPg_1_7"/>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stock option activity during the periods from January 1, 2024 to July 30, 2024 (Predecessor):</w:t>
      </w:r>
    </w:p>
    <w:p>
      <w:pPr>
        <w:pStyle w:val="TextBody"/>
        <w:bidi w:val="0"/>
        <w:spacing w:before="0" w:after="0"/>
        <w:ind w:left="0" w:right="0" w:firstLine="360"/>
        <w:jc w:val="both"/>
        <w:rPr/>
      </w:pPr>
      <w:r>
        <w:rPr/>
        <w:t>​</w:t>
      </w:r>
    </w:p>
    <w:tbl>
      <w:tblPr>
        <w:tblW w:w="10203" w:type="dxa"/>
        <w:jc w:val="left"/>
        <w:tblInd w:w="0" w:type="dxa"/>
        <w:tblLayout w:type="fixed"/>
        <w:tblCellMar>
          <w:top w:w="0" w:type="dxa"/>
          <w:left w:w="0" w:type="dxa"/>
          <w:bottom w:w="0" w:type="dxa"/>
          <w:right w:w="0" w:type="dxa"/>
        </w:tblCellMar>
      </w:tblPr>
      <w:tblGrid>
        <w:gridCol w:w="5266"/>
        <w:gridCol w:w="326"/>
        <w:gridCol w:w="781"/>
        <w:gridCol w:w="326"/>
        <w:gridCol w:w="350"/>
        <w:gridCol w:w="775"/>
        <w:gridCol w:w="109"/>
        <w:gridCol w:w="991"/>
        <w:gridCol w:w="109"/>
        <w:gridCol w:w="366"/>
        <w:gridCol w:w="804"/>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343910" cy="175260"/>
                      <wp:effectExtent l="0" t="0" r="0" b="0"/>
                      <wp:wrapNone/>
                      <wp:docPr id="189" name="Frame189"/>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95935" cy="175260"/>
                      <wp:effectExtent l="0" t="0" r="0" b="0"/>
                      <wp:wrapNone/>
                      <wp:docPr id="191" name="Frame1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22250" cy="175260"/>
                      <wp:effectExtent l="0" t="0" r="0" b="0"/>
                      <wp:wrapNone/>
                      <wp:docPr id="193" name="Frame193"/>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92125" cy="175260"/>
                      <wp:effectExtent l="0" t="0" r="0" b="0"/>
                      <wp:wrapNone/>
                      <wp:docPr id="194" name="Frame194"/>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29285" cy="175260"/>
                      <wp:effectExtent l="0" t="0" r="0" b="0"/>
                      <wp:wrapNone/>
                      <wp:docPr id="196" name="Frame19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7"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32410" cy="175260"/>
                      <wp:effectExtent l="0" t="0" r="0" b="0"/>
                      <wp:wrapNone/>
                      <wp:docPr id="198" name="Frame198"/>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10540" cy="175260"/>
                      <wp:effectExtent l="0" t="0" r="0" b="0"/>
                      <wp:wrapNone/>
                      <wp:docPr id="199" name="Frame199"/>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366" w:type="dxa"/>
            <w:tcBorders/>
            <w:vAlign w:val="center"/>
          </w:tcPr>
          <w:p>
            <w:pPr>
              <w:pStyle w:val="TableContents"/>
              <w:bidi w:val="0"/>
              <w:spacing w:before="0" w:after="0"/>
              <w:ind w:left="0" w:right="0" w:hanging="0"/>
              <w:jc w:val="center"/>
              <w:rPr/>
            </w:pPr>
            <w:r>
              <w:rPr/>
              <w:t>​</w:t>
            </w:r>
          </w:p>
        </w:tc>
        <w:tc>
          <w:tcPr>
            <w:tcW w:w="804" w:type="dxa"/>
            <w:tcBorders/>
            <w:vAlign w:val="center"/>
          </w:tcPr>
          <w:p>
            <w:pPr>
              <w:pStyle w:val="TableContents"/>
              <w:bidi w:val="0"/>
              <w:spacing w:before="0" w:after="0"/>
              <w:ind w:left="0" w:right="0" w:hanging="0"/>
              <w:jc w:val="center"/>
              <w:rPr/>
            </w:pPr>
            <w:r>
              <w:rPr/>
              <w:t>​</w:t>
            </w:r>
          </w:p>
        </w:tc>
      </w:tr>
      <w:tr>
        <w:trPr/>
        <w:tc>
          <w:tcPr>
            <w:tcW w:w="5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5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5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Value </w:t>
            </w:r>
          </w:p>
        </w:tc>
      </w:tr>
      <w:tr>
        <w:trPr/>
        <w:tc>
          <w:tcPr>
            <w:tcW w:w="5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sz w:val="16"/>
              </w:rPr>
              <w:t xml:space="preserve"> </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109"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December 31, 2023 (Predecessor)</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747,001</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(6,592)</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forfeited in connection with the Business Combination</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July 30, 2024 (Predecessor)</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740,409</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vAlign w:val="center"/>
          </w:tcPr>
          <w:p>
            <w:pPr>
              <w:pStyle w:val="TableContents"/>
              <w:bidi w:val="0"/>
              <w:spacing w:before="0" w:after="0"/>
              <w:ind w:left="0" w:right="0" w:hanging="0"/>
              <w:jc w:val="right"/>
              <w:rPr/>
            </w:pPr>
            <w:r>
              <w:rPr/>
              <w:t>—</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 and expected to vest, July 30, 2024 (Predecessor)</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0"/>
              <w:ind w:left="0" w:right="0" w:hanging="0"/>
              <w:jc w:val="right"/>
              <w:rPr/>
            </w:pPr>
            <w:r>
              <w:rPr/>
              <w:t>—</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Vested and exercisable, July 30, 2024 (Predecessor)</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vAlign w:val="center"/>
          </w:tcPr>
          <w:p>
            <w:pPr>
              <w:pStyle w:val="TableContents"/>
              <w:bidi w:val="0"/>
              <w:spacing w:before="0" w:after="0"/>
              <w:ind w:left="0" w:right="70" w:hanging="0"/>
              <w:jc w:val="right"/>
              <w:rPr/>
            </w:pPr>
            <w:r>
              <w:rPr/>
              <w:t>—</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were no stock options exercised during the periods from January 1, 2024 to July 30, 2024 (Predecessor). Certain stock option grants under the Stock Incentive Plan allow the recipient to exercise the options prior to the options becoming fully vested. Under the Stock Incentive Plan, the Company retains the right to repurchase common shares that have been issued upon early exercise of options at the original issue price. Cash received for the early exercise of unvested stock options is initially recorded as a liability. At each reporting date, the vested shares are released to equity.</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fair value of awards vested was $0.3 million during the periods from January 1, 2024 to July 30, 2024 (Predecessor). As of July 30, 2024 prior to the Closing (Predecessor), the total unrecognized compensation cost of $0.4 million was accelerated at the Closing, which was recognized and expensed in accordance with the terms of the 2012 Stock Incentive Plan and the 2022 Stock Incentive Plan.</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45,544 In-the-Money Adagio Options were canceled and extinguished in exchange for 7,587 options to purchase the Company’s Common Stock.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Stock-Based Compensation Expense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following table summarizes the total stock-based compensation expense for the stock options expense recorded in the unaudited condensed consolidated statements of operations and comprehensive income/(loss) for the periods from January 1, 2024 to July 30, 2024 (Predecessor), July 1 to July 30 (Predecessor), and the three and nine months ended September 30, 2023 (Predecessor) (in thousands): </w:t>
      </w:r>
    </w:p>
    <w:tbl>
      <w:tblPr>
        <w:tblW w:w="10205" w:type="dxa"/>
        <w:jc w:val="left"/>
        <w:tblInd w:w="0" w:type="dxa"/>
        <w:tblLayout w:type="fixed"/>
        <w:tblCellMar>
          <w:top w:w="0" w:type="dxa"/>
          <w:left w:w="0" w:type="dxa"/>
          <w:bottom w:w="0" w:type="dxa"/>
          <w:right w:w="0" w:type="dxa"/>
        </w:tblCellMar>
      </w:tblPr>
      <w:tblGrid>
        <w:gridCol w:w="2868"/>
        <w:gridCol w:w="109"/>
        <w:gridCol w:w="411"/>
        <w:gridCol w:w="820"/>
        <w:gridCol w:w="109"/>
        <w:gridCol w:w="488"/>
        <w:gridCol w:w="978"/>
        <w:gridCol w:w="109"/>
        <w:gridCol w:w="699"/>
        <w:gridCol w:w="1401"/>
        <w:gridCol w:w="109"/>
        <w:gridCol w:w="592"/>
        <w:gridCol w:w="1512"/>
      </w:tblGrid>
      <w:tr>
        <w:trPr/>
        <w:tc>
          <w:tcPr>
            <w:tcW w:w="2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821180" cy="175260"/>
                      <wp:effectExtent l="0" t="0" r="0" b="0"/>
                      <wp:wrapNone/>
                      <wp:docPr id="200" name="Frame200"/>
                      <a:graphic xmlns:a="http://schemas.openxmlformats.org/drawingml/2006/main">
                        <a:graphicData uri="http://schemas.microsoft.com/office/word/2010/wordprocessingShape">
                          <wps:wsp>
                            <wps:cNvSpPr txBox="1"/>
                            <wps:spPr>
                              <a:xfrm>
                                <a:off x="0" y="0"/>
                                <a:ext cx="182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60985" cy="175260"/>
                      <wp:effectExtent l="0" t="0" r="0" b="0"/>
                      <wp:wrapNone/>
                      <wp:docPr id="202" name="Frame202"/>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20700" cy="175260"/>
                      <wp:effectExtent l="0" t="0" r="0" b="0"/>
                      <wp:wrapNone/>
                      <wp:docPr id="203" name="Frame203"/>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09880" cy="175260"/>
                      <wp:effectExtent l="0" t="0" r="0" b="0"/>
                      <wp:wrapNone/>
                      <wp:docPr id="205" name="Frame205"/>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21030" cy="175260"/>
                      <wp:effectExtent l="0" t="0" r="0" b="0"/>
                      <wp:wrapNone/>
                      <wp:docPr id="206" name="Frame206"/>
                      <a:graphic xmlns:a="http://schemas.openxmlformats.org/drawingml/2006/main">
                        <a:graphicData uri="http://schemas.microsoft.com/office/word/2010/wordprocessingShape">
                          <wps:wsp>
                            <wps:cNvSpPr txBox="1"/>
                            <wps:spPr>
                              <a:xfrm>
                                <a:off x="0" y="0"/>
                                <a:ext cx="621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43865" cy="175260"/>
                      <wp:effectExtent l="0" t="0" r="0" b="0"/>
                      <wp:wrapNone/>
                      <wp:docPr id="208" name="Frame208"/>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889635" cy="175260"/>
                      <wp:effectExtent l="0" t="0" r="0" b="0"/>
                      <wp:wrapNone/>
                      <wp:docPr id="209" name="Frame209"/>
                      <a:graphic xmlns:a="http://schemas.openxmlformats.org/drawingml/2006/main">
                        <a:graphicData uri="http://schemas.microsoft.com/office/word/2010/wordprocessingShape">
                          <wps:wsp>
                            <wps:cNvSpPr txBox="1"/>
                            <wps:spPr>
                              <a:xfrm>
                                <a:off x="0" y="0"/>
                                <a:ext cx="889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10"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375920" cy="175260"/>
                      <wp:effectExtent l="0" t="0" r="0" b="0"/>
                      <wp:wrapNone/>
                      <wp:docPr id="211" name="Frame211"/>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960120" cy="175260"/>
                      <wp:effectExtent l="0" t="0" r="0" b="0"/>
                      <wp:wrapNone/>
                      <wp:docPr id="212" name="Frame212"/>
                      <a:graphic xmlns:a="http://schemas.openxmlformats.org/drawingml/2006/main">
                        <a:graphicData uri="http://schemas.microsoft.com/office/word/2010/wordprocessingShape">
                          <wps:wsp>
                            <wps:cNvSpPr txBox="1"/>
                            <wps:spPr>
                              <a:xfrm>
                                <a:off x="0" y="0"/>
                                <a:ext cx="960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6" w:type="dxa"/>
            <w:gridSpan w:val="5"/>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13" w:type="dxa"/>
            <w:gridSpan w:val="5"/>
            <w:tcBorders/>
            <w:vAlign w:val="center"/>
          </w:tcPr>
          <w:p>
            <w:pPr>
              <w:pStyle w:val="TableContents"/>
              <w:bidi w:val="0"/>
              <w:spacing w:before="0" w:after="0"/>
              <w:ind w:left="0" w:right="0" w:hanging="0"/>
              <w:jc w:val="center"/>
              <w:rPr/>
            </w:pPr>
            <w:r>
              <w:rPr/>
              <w:t>​</w:t>
            </w:r>
          </w:p>
        </w:tc>
      </w:tr>
      <w:tr>
        <w:trPr/>
        <w:tc>
          <w:tcPr>
            <w:tcW w:w="28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6" w:type="dxa"/>
            <w:gridSpan w:val="5"/>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4313" w:type="dxa"/>
            <w:gridSpan w:val="5"/>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286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43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6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both"/>
              <w:rPr/>
            </w:pPr>
            <w:r>
              <w:rPr/>
              <w:t>​</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1 to July 30</w:t>
            </w:r>
          </w:p>
        </w:tc>
        <w:tc>
          <w:tcPr>
            <w:tcW w:w="109" w:type="dxa"/>
            <w:tcBorders/>
            <w:vAlign w:val="center"/>
          </w:tcPr>
          <w:p>
            <w:pPr>
              <w:pStyle w:val="TableContents"/>
              <w:bidi w:val="0"/>
              <w:spacing w:before="0" w:after="0"/>
              <w:ind w:left="0" w:right="0" w:hanging="0"/>
              <w:jc w:val="center"/>
              <w:rPr/>
            </w:pPr>
            <w:r>
              <w:rPr/>
              <w:t>​</w:t>
            </w:r>
          </w:p>
        </w:tc>
        <w:tc>
          <w:tcPr>
            <w:tcW w:w="14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 to July 30</w:t>
            </w:r>
          </w:p>
        </w:tc>
        <w:tc>
          <w:tcPr>
            <w:tcW w:w="109" w:type="dxa"/>
            <w:tcBorders/>
            <w:vAlign w:val="center"/>
          </w:tcPr>
          <w:p>
            <w:pPr>
              <w:pStyle w:val="TableContents"/>
              <w:bidi w:val="0"/>
              <w:spacing w:before="0" w:after="0"/>
              <w:ind w:left="0" w:right="0" w:hanging="0"/>
              <w:jc w:val="center"/>
              <w:rPr/>
            </w:pPr>
            <w:r>
              <w:rPr/>
              <w:t>​</w:t>
            </w:r>
          </w:p>
        </w:tc>
        <w:tc>
          <w:tcPr>
            <w:tcW w:w="2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Three months ended September 30</w:t>
            </w:r>
          </w:p>
        </w:tc>
        <w:tc>
          <w:tcPr>
            <w:tcW w:w="109" w:type="dxa"/>
            <w:tcBorders/>
            <w:vAlign w:val="center"/>
          </w:tcPr>
          <w:p>
            <w:pPr>
              <w:pStyle w:val="TableContents"/>
              <w:bidi w:val="0"/>
              <w:spacing w:before="0" w:after="0"/>
              <w:ind w:left="0" w:right="0" w:hanging="0"/>
              <w:jc w:val="left"/>
              <w:rPr/>
            </w:pPr>
            <w:r>
              <w:rPr/>
              <w:t>​</w:t>
            </w:r>
          </w:p>
        </w:tc>
        <w:tc>
          <w:tcPr>
            <w:tcW w:w="2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Nine months ended September 30</w:t>
            </w:r>
          </w:p>
        </w:tc>
      </w:tr>
      <w:tr>
        <w:trPr/>
        <w:tc>
          <w:tcPr>
            <w:tcW w:w="2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administration</w:t>
            </w:r>
          </w:p>
        </w:tc>
        <w:tc>
          <w:tcPr>
            <w:tcW w:w="109" w:type="dxa"/>
            <w:tcBorders/>
            <w:shd w:fill="CCEEFF" w:val="clear"/>
            <w:vAlign w:val="center"/>
          </w:tcPr>
          <w:p>
            <w:pPr>
              <w:pStyle w:val="TableContents"/>
              <w:bidi w:val="0"/>
              <w:spacing w:before="0" w:after="0"/>
              <w:ind w:left="0" w:right="0" w:hanging="0"/>
              <w:jc w:val="center"/>
              <w:rPr/>
            </w:pPr>
            <w:r>
              <w:rPr/>
              <w:t>​</w:t>
            </w:r>
          </w:p>
        </w:tc>
        <w:tc>
          <w:tcPr>
            <w:tcW w:w="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109" w:type="dxa"/>
            <w:tcBorders/>
            <w:shd w:fill="CCEEFF" w:val="clear"/>
            <w:vAlign w:val="center"/>
          </w:tcPr>
          <w:p>
            <w:pPr>
              <w:pStyle w:val="TableContents"/>
              <w:bidi w:val="0"/>
              <w:spacing w:before="0" w:after="0"/>
              <w:ind w:left="0" w:right="0" w:hanging="0"/>
              <w:jc w:val="left"/>
              <w:rPr/>
            </w:pPr>
            <w:r>
              <w:rPr/>
              <w:t>​</w:t>
            </w:r>
          </w:p>
        </w:tc>
        <w:tc>
          <w:tcPr>
            <w:tcW w:w="4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109"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109" w:type="dxa"/>
            <w:tcBorders/>
            <w:shd w:fill="CCEEFF" w:val="clear"/>
            <w:vAlign w:val="center"/>
          </w:tcPr>
          <w:p>
            <w:pPr>
              <w:pStyle w:val="TableContents"/>
              <w:bidi w:val="0"/>
              <w:spacing w:before="0" w:after="0"/>
              <w:ind w:left="0" w:right="0" w:hanging="0"/>
              <w:jc w:val="left"/>
              <w:rPr/>
            </w:pPr>
            <w:r>
              <w:rPr/>
              <w:t>​</w:t>
            </w:r>
          </w:p>
        </w:tc>
        <w:tc>
          <w:tcPr>
            <w:tcW w:w="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2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0"/>
              <w:ind w:left="0" w:right="0" w:hanging="0"/>
              <w:jc w:val="left"/>
              <w:rPr/>
            </w:pPr>
            <w:r>
              <w:rPr/>
              <w:t>​</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109" w:type="dxa"/>
            <w:tcBorders/>
            <w:vAlign w:val="center"/>
          </w:tcPr>
          <w:p>
            <w:pPr>
              <w:pStyle w:val="TableContents"/>
              <w:bidi w:val="0"/>
              <w:spacing w:before="0" w:after="0"/>
              <w:ind w:left="0" w:right="0" w:hanging="0"/>
              <w:jc w:val="left"/>
              <w:rPr/>
            </w:pPr>
            <w:r>
              <w:rPr/>
              <w:t>​</w:t>
            </w:r>
          </w:p>
        </w:tc>
        <w:tc>
          <w:tcPr>
            <w:tcW w:w="4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109" w:type="dxa"/>
            <w:tcBorders/>
            <w:vAlign w:val="center"/>
          </w:tcPr>
          <w:p>
            <w:pPr>
              <w:pStyle w:val="TableContents"/>
              <w:bidi w:val="0"/>
              <w:spacing w:before="0" w:after="0"/>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09" w:type="dxa"/>
            <w:tcBorders/>
            <w:vAlign w:val="center"/>
          </w:tcPr>
          <w:p>
            <w:pPr>
              <w:pStyle w:val="TableContents"/>
              <w:bidi w:val="0"/>
              <w:spacing w:before="0" w:after="0"/>
              <w:ind w:left="0" w:right="0" w:hanging="0"/>
              <w:jc w:val="left"/>
              <w:rPr/>
            </w:pPr>
            <w:r>
              <w:rPr/>
              <w:t>​</w:t>
            </w:r>
          </w:p>
        </w:tc>
        <w:tc>
          <w:tcPr>
            <w:tcW w:w="5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r>
      <w:tr>
        <w:trPr/>
        <w:tc>
          <w:tcPr>
            <w:tcW w:w="28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w:t>
            </w:r>
          </w:p>
        </w:tc>
        <w:tc>
          <w:tcPr>
            <w:tcW w:w="109" w:type="dxa"/>
            <w:tcBorders/>
            <w:shd w:fill="CCEEFF" w:val="clear"/>
            <w:vAlign w:val="center"/>
          </w:tcPr>
          <w:p>
            <w:pPr>
              <w:pStyle w:val="TableContents"/>
              <w:bidi w:val="0"/>
              <w:spacing w:before="0" w:after="0"/>
              <w:ind w:left="0" w:right="0" w:hanging="0"/>
              <w:jc w:val="left"/>
              <w:rPr/>
            </w:pPr>
            <w:r>
              <w:rPr/>
              <w:t>​</w:t>
            </w:r>
          </w:p>
        </w:tc>
        <w:tc>
          <w:tcPr>
            <w:tcW w:w="4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w:t>
            </w:r>
          </w:p>
        </w:tc>
        <w:tc>
          <w:tcPr>
            <w:tcW w:w="109" w:type="dxa"/>
            <w:tcBorders/>
            <w:shd w:fill="CCEEFF" w:val="clear"/>
            <w:vAlign w:val="center"/>
          </w:tcPr>
          <w:p>
            <w:pPr>
              <w:pStyle w:val="TableContents"/>
              <w:bidi w:val="0"/>
              <w:spacing w:before="0" w:after="0"/>
              <w:ind w:left="0" w:right="0" w:hanging="0"/>
              <w:jc w:val="left"/>
              <w:rPr/>
            </w:pPr>
            <w:r>
              <w:rPr/>
              <w:t>​</w:t>
            </w:r>
          </w:p>
        </w:tc>
        <w:tc>
          <w:tcPr>
            <w:tcW w:w="6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109" w:type="dxa"/>
            <w:tcBorders/>
            <w:shd w:fill="CCEEFF" w:val="clear"/>
            <w:vAlign w:val="center"/>
          </w:tcPr>
          <w:p>
            <w:pPr>
              <w:pStyle w:val="TableContents"/>
              <w:bidi w:val="0"/>
              <w:spacing w:before="0" w:after="0"/>
              <w:ind w:left="0" w:right="0" w:hanging="0"/>
              <w:jc w:val="left"/>
              <w:rPr/>
            </w:pPr>
            <w:r>
              <w:rPr/>
              <w:t>​</w:t>
            </w:r>
          </w:p>
        </w:tc>
        <w:tc>
          <w:tcPr>
            <w:tcW w:w="5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12"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329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val="false"/>
          <w:caps w:val="false"/>
          <w:smallCaps w:val="false"/>
          <w:sz w:val="20"/>
        </w:rPr>
        <w:t xml:space="preserve">Successor </w:t>
      </w:r>
      <w:r>
        <w:rPr>
          <w:rFonts w:ascii="Times New Roman;Times;serif" w:hAnsi="Times New Roman;Times;serif"/>
          <w:b/>
          <w:i/>
          <w:sz w:val="20"/>
        </w:rPr>
        <w:t>Periods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2024 Equity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of the Company adopted the 2024 Equity Incentive Plan on July 26, 2024. The purpose of the plan is to promote the success and enhance the value of the Company by linking the individual interests of the members of the Board, Employees, and Consultants to those of Company stockholders and by providing such individuals with an incentive for outstanding performance to generate superior returns to Company stockholders. The 2024 Equity Incentive Plan authorizes the issuance of up to 4,472,593 shares of the Company’s Common Stock, plus an annual increase on the first day of each year beginning in 2025 and ending in (and including) 2034 equal to the lesser of (A) five percent (5%) of the shares of Common Stock outstanding on a fully diluted basis on the last day of the immediately preceding fiscal year and (B) such smaller number of shares of Company’s Common Stock as determined by the Board or the compensation committee thereof. The Company may grant an option, a stock appreciation right, a restricted stock award, a restricted stock unit award, a performance stock award, a performance stock unit award, or other stock- or cash-based award, or a dividend equivalent award, which may be awarded or granted under the Plan. The awards can be issued to any person who is an employee, a consultant, or a non-employee director.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not granted any awards under this plan as of September 30, 2024.</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2024 Key Employee Equity Incentive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of the Company adopted the 2024 Key Employee Equity Incentive Plan on July 26, 2024. The purpose of the Plan is to promote the success and enhance the value of the Company by linking the individual interests of key employees of the Company to those of Company stockholders and by providing such individuals with an incentive for outstanding performance to generate superior returns to Company stockholders. The 2024 Key Employee Equity Incentive Plan authorizes the issuance of up to 3,354,444 shares of the Company’s Common Stock. The Company may grant option, a stock appreciation right, a restricted stock award, a restricted stock unit award, a performance stock award, a performance stock unit award, other stock- or cash-based award, or a dividend equivalent award, which may be awarded or granted under the plan. The awards can only be issued to certain individuals as identified in the plan who are an employee, a consultant, or a non-employee director.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not granted any awards under this plan as of September 30, 2024.</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2024 Employee Stock Purchase Plan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Board of Directors of the Company adopted the 2024 Equity Incentive Plan on July 26, 2024. The 2024 Employee Stock Purchase Plan provides a means by which eligible employees of the Company and certain designated related corporations may be given an opportunity to purchase shares of the Company’s Common Stock. The plan permits the Company to grant a series of purchase rights to eligible employees under an Employee Stock Purchase Plan. The 2024 Employee Stock Purchase Plan authorizes the issuance of up to 441,293 shares of the Company’s Common Stock, plus an annual increase on the first day of each year beginning in 2025 and ending in (and including) 2034 equal to one percent (1%) of the share of common stock outstanding on a fully diluted basis on the last day of the immediately preceding fiscal year, provided that the Board or its compensation committee may reduce the amount of the increase in any particular year.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has not granted any purchase rights under this plan as of September 30, 2024.</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686" w:name="Tc_uku8MTU7TkyDr8N_K0ZWyQ_10_9"/>
      <w:bookmarkStart w:id="1687" w:name="Tc_N6OM5c8LJ0iYfmB1JloDbQ_10_7"/>
      <w:bookmarkStart w:id="1688" w:name="Tc_Nrosfm0J0EeuImDytVpdPA_10_4"/>
      <w:bookmarkStart w:id="1689" w:name="Tc_bM5f55TPD02Rw6VOa7zFww_10_0"/>
      <w:bookmarkStart w:id="1690" w:name="Tc_bS9f4sZq00eNDoaRzpl7gA_9_9"/>
      <w:bookmarkStart w:id="1691" w:name="Tc_jgi8rTplc0iBsaQrU61qbw_9_7"/>
      <w:bookmarkStart w:id="1692" w:name="Tc__t76W30Tj0W0-I_lmJpYEQ_9_4"/>
      <w:bookmarkStart w:id="1693" w:name="Tc_yIWgCtVdqUyYm9dyQ85Hyg_9_0"/>
      <w:bookmarkStart w:id="1694" w:name="Tc_T9vyAaLO1UGUacZUH-eNrw_8_9"/>
      <w:bookmarkStart w:id="1695" w:name="Tc_Fq0FVKJG4kaPZPLYjS8ySw_8_7"/>
      <w:bookmarkStart w:id="1696" w:name="Tc_p6ICrtWppkGreae-NgZJcw_8_4"/>
      <w:bookmarkStart w:id="1697" w:name="Tc_a86rM81jf06tSKnmBcj59A_8_0"/>
      <w:bookmarkStart w:id="1698" w:name="Tc_Po81O8pWg0OarPrcVzipiw_7_7"/>
      <w:bookmarkStart w:id="1699" w:name="Tc_PwU6SgW1-0usndpdeFd1ew_7_0"/>
      <w:bookmarkStart w:id="1700" w:name="Tc_ZWL9Jwh21ES9VEY4v-Ej9g_6_9"/>
      <w:bookmarkStart w:id="1701" w:name="Tc_cbUzgENl70S0FQg0Ulm5kw_6_7"/>
      <w:bookmarkStart w:id="1702" w:name="Tc_8ZoE-46CHkmAeZ530SMuxQ_6_4"/>
      <w:bookmarkStart w:id="1703" w:name="Tc_MqFS_uqRdkKF05ugF-e5pQ_6_0"/>
      <w:bookmarkStart w:id="1704" w:name="Tc_kUyVf0Vyh0iEvnbpbYVv6A_5_9"/>
      <w:bookmarkStart w:id="1705" w:name="Tc_zITb9Wx80kG9ysj_yKAr6Q_5_7"/>
      <w:bookmarkStart w:id="1706" w:name="Tc_bTxcIifFTE-hT78th8_6pw_5_4"/>
      <w:bookmarkStart w:id="1707" w:name="Tc_MHgVBY-M1EKUo6bAN3b2dw_5_2"/>
      <w:bookmarkStart w:id="1708" w:name="Tc_dIi4Ebgy1Um6T5Qx00CVTg_4_9"/>
      <w:bookmarkStart w:id="1709" w:name="Tc_1Qa5FfKfwUGRrBj4_liWEg_4_7"/>
      <w:bookmarkStart w:id="1710" w:name="Tc_Xd5q-S2rpUWYeoKxctMiYA_4_4"/>
      <w:bookmarkStart w:id="1711" w:name="Tc_6BDFXn5Zw0i6TOwwlMOSBQ_3_9"/>
      <w:bookmarkStart w:id="1712" w:name="Tc_GypZTUeockS3eD_pTtj1lQ_3_7"/>
      <w:bookmarkStart w:id="1713" w:name="Tc_cgHtpWzYc0qqCq1JOeC3Ng_3_4"/>
      <w:bookmarkStart w:id="1714" w:name="Tc_awTgHzlCO02lDiowYQZvZg_2_9"/>
      <w:bookmarkStart w:id="1715" w:name="Tc_EY8nxBJ39k27Wyn8f_l5hA_2_7"/>
      <w:bookmarkStart w:id="1716" w:name="Tc_pClVaShaY0u1N1qBLI90bw_2_4"/>
      <w:bookmarkStart w:id="1717" w:name="Tc_GeUb9gBWt0y6cMqlmeGjtQ_1_7"/>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r>
        <w:rPr>
          <w:rFonts w:ascii="Times New Roman;Times;serif" w:hAnsi="Times New Roman;Times;serif"/>
          <w:sz w:val="20"/>
        </w:rPr>
        <w:t>The following table summarizes stock option activity during the periods from July 31, 2024 to September 30, 2024 (Successor):</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5423"/>
        <w:gridCol w:w="326"/>
        <w:gridCol w:w="630"/>
        <w:gridCol w:w="326"/>
        <w:gridCol w:w="349"/>
        <w:gridCol w:w="773"/>
        <w:gridCol w:w="109"/>
        <w:gridCol w:w="991"/>
        <w:gridCol w:w="109"/>
        <w:gridCol w:w="383"/>
        <w:gridCol w:w="786"/>
      </w:tblGrid>
      <w:tr>
        <w:trPr/>
        <w:tc>
          <w:tcPr>
            <w:tcW w:w="5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443605" cy="175260"/>
                      <wp:effectExtent l="0" t="0" r="0" b="0"/>
                      <wp:wrapNone/>
                      <wp:docPr id="213" name="Frame213"/>
                      <a:graphic xmlns:a="http://schemas.openxmlformats.org/drawingml/2006/main">
                        <a:graphicData uri="http://schemas.microsoft.com/office/word/2010/wordprocessingShape">
                          <wps:wsp>
                            <wps:cNvSpPr txBox="1"/>
                            <wps:spPr>
                              <a:xfrm>
                                <a:off x="0" y="0"/>
                                <a:ext cx="3443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00050" cy="175260"/>
                      <wp:effectExtent l="0" t="0" r="0" b="0"/>
                      <wp:wrapNone/>
                      <wp:docPr id="215" name="Frame215"/>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21615" cy="175260"/>
                      <wp:effectExtent l="0" t="0" r="0" b="0"/>
                      <wp:wrapNone/>
                      <wp:docPr id="217" name="Frame217"/>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90855" cy="175260"/>
                      <wp:effectExtent l="0" t="0" r="0" b="0"/>
                      <wp:wrapNone/>
                      <wp:docPr id="218" name="Frame218"/>
                      <a:graphic xmlns:a="http://schemas.openxmlformats.org/drawingml/2006/main">
                        <a:graphicData uri="http://schemas.microsoft.com/office/word/2010/wordprocessingShape">
                          <wps:wsp>
                            <wps:cNvSpPr txBox="1"/>
                            <wps:spPr>
                              <a:xfrm>
                                <a:off x="0" y="0"/>
                                <a:ext cx="490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29285" cy="175260"/>
                      <wp:effectExtent l="0" t="0" r="0" b="0"/>
                      <wp:wrapNone/>
                      <wp:docPr id="220" name="Frame22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215" cy="175260"/>
                      <wp:effectExtent l="0" t="0" r="0" b="0"/>
                      <wp:wrapNone/>
                      <wp:docPr id="221" name="Frame2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43205" cy="175260"/>
                      <wp:effectExtent l="0" t="0" r="0" b="0"/>
                      <wp:wrapNone/>
                      <wp:docPr id="222" name="Frame222"/>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99110" cy="175260"/>
                      <wp:effectExtent l="0" t="0" r="0" b="0"/>
                      <wp:wrapNone/>
                      <wp:docPr id="223" name="Frame223"/>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383" w:type="dxa"/>
            <w:tcBorders/>
            <w:vAlign w:val="center"/>
          </w:tcPr>
          <w:p>
            <w:pPr>
              <w:pStyle w:val="TableContents"/>
              <w:bidi w:val="0"/>
              <w:spacing w:before="0" w:after="0"/>
              <w:ind w:left="0" w:right="0" w:hanging="0"/>
              <w:jc w:val="center"/>
              <w:rPr/>
            </w:pPr>
            <w:r>
              <w:rPr/>
              <w:t>​</w:t>
            </w:r>
          </w:p>
        </w:tc>
        <w:tc>
          <w:tcPr>
            <w:tcW w:w="786" w:type="dxa"/>
            <w:tcBorders/>
            <w:vAlign w:val="center"/>
          </w:tcPr>
          <w:p>
            <w:pPr>
              <w:pStyle w:val="TableContents"/>
              <w:bidi w:val="0"/>
              <w:spacing w:before="0" w:after="0"/>
              <w:ind w:left="0" w:right="0" w:hanging="0"/>
              <w:jc w:val="center"/>
              <w:rPr/>
            </w:pPr>
            <w:r>
              <w:rPr/>
              <w:t>​</w:t>
            </w:r>
          </w:p>
        </w:tc>
      </w:tr>
      <w:tr>
        <w:trPr/>
        <w:tc>
          <w:tcPr>
            <w:tcW w:w="54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vAlign w:val="center"/>
          </w:tcPr>
          <w:p>
            <w:pPr>
              <w:pStyle w:val="TableContents"/>
              <w:bidi w:val="0"/>
              <w:spacing w:before="0" w:after="0"/>
              <w:ind w:left="0" w:right="0" w:hanging="0"/>
              <w:jc w:val="left"/>
              <w:rPr/>
            </w:pPr>
            <w:r>
              <w:rPr/>
              <w:t>​</w:t>
            </w:r>
          </w:p>
        </w:tc>
        <w:tc>
          <w:tcPr>
            <w:tcW w:w="11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54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vAlign w:val="center"/>
          </w:tcPr>
          <w:p>
            <w:pPr>
              <w:pStyle w:val="TableContents"/>
              <w:bidi w:val="0"/>
              <w:spacing w:before="0" w:after="0"/>
              <w:ind w:left="0" w:right="0" w:hanging="0"/>
              <w:jc w:val="left"/>
              <w:rPr/>
            </w:pPr>
            <w:r>
              <w:rPr/>
              <w:t>​</w:t>
            </w:r>
          </w:p>
        </w:tc>
        <w:tc>
          <w:tcPr>
            <w:tcW w:w="11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54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1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109"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vAlign w:val="center"/>
          </w:tcPr>
          <w:p>
            <w:pPr>
              <w:pStyle w:val="TableContents"/>
              <w:bidi w:val="0"/>
              <w:spacing w:before="0" w:after="0"/>
              <w:ind w:left="0" w:right="0" w:hanging="0"/>
              <w:jc w:val="left"/>
              <w:rPr/>
            </w:pPr>
            <w:r>
              <w:rPr/>
              <w:t>​</w:t>
            </w:r>
          </w:p>
        </w:tc>
        <w:tc>
          <w:tcPr>
            <w:tcW w:w="116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Value </w:t>
            </w:r>
          </w:p>
        </w:tc>
      </w:tr>
      <w:tr>
        <w:trPr/>
        <w:tc>
          <w:tcPr>
            <w:tcW w:w="542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30"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Shares</w:t>
            </w:r>
            <w:r>
              <w:rPr>
                <w:rFonts w:ascii="Times New Roman;Times;serif" w:hAnsi="Times New Roman;Times;serif"/>
                <w:sz w:val="16"/>
              </w:rPr>
              <w:t xml:space="preserve"> </w:t>
            </w:r>
          </w:p>
        </w:tc>
        <w:tc>
          <w:tcPr>
            <w:tcW w:w="326" w:type="dxa"/>
            <w:tcBorders/>
            <w:vAlign w:val="center"/>
          </w:tcPr>
          <w:p>
            <w:pPr>
              <w:pStyle w:val="TableContents"/>
              <w:bidi w:val="0"/>
              <w:spacing w:before="0" w:after="0"/>
              <w:ind w:left="0" w:right="0" w:hanging="0"/>
              <w:jc w:val="center"/>
              <w:rPr/>
            </w:pPr>
            <w:r>
              <w:rPr/>
              <w:t>​</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109" w:type="dxa"/>
            <w:tcBorders/>
            <w:vAlign w:val="center"/>
          </w:tcPr>
          <w:p>
            <w:pPr>
              <w:pStyle w:val="TableContents"/>
              <w:bidi w:val="0"/>
              <w:spacing w:before="0" w:after="0"/>
              <w:ind w:left="0" w:right="0" w:hanging="0"/>
              <w:jc w:val="center"/>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vAlign w:val="center"/>
          </w:tcPr>
          <w:p>
            <w:pPr>
              <w:pStyle w:val="TableContents"/>
              <w:bidi w:val="0"/>
              <w:spacing w:before="0" w:after="0"/>
              <w:ind w:left="0" w:right="0" w:hanging="0"/>
              <w:jc w:val="left"/>
              <w:rPr/>
            </w:pPr>
            <w:r>
              <w:rPr/>
              <w:t>​</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July 31, 2024 (Successor)</w:t>
            </w:r>
          </w:p>
        </w:tc>
        <w:tc>
          <w:tcPr>
            <w:tcW w:w="326" w:type="dxa"/>
            <w:tcBorders/>
            <w:shd w:fill="CCEEFF" w:val="clear"/>
            <w:vAlign w:val="center"/>
          </w:tcPr>
          <w:p>
            <w:pPr>
              <w:pStyle w:val="TableContents"/>
              <w:bidi w:val="0"/>
              <w:spacing w:before="0" w:after="0"/>
              <w:ind w:left="0" w:right="0" w:hanging="0"/>
              <w:jc w:val="left"/>
              <w:rPr/>
            </w:pPr>
            <w:r>
              <w:rPr/>
              <w:t> </w:t>
            </w:r>
          </w:p>
        </w:tc>
        <w:tc>
          <w:tcPr>
            <w:tcW w:w="6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pPr>
            <w:r>
              <w:rPr/>
              <w:t>—</w:t>
            </w:r>
          </w:p>
        </w:tc>
      </w:tr>
      <w:tr>
        <w:trPr/>
        <w:tc>
          <w:tcPr>
            <w:tcW w:w="54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issued as part of the Business Combination</w:t>
            </w:r>
          </w:p>
        </w:tc>
        <w:tc>
          <w:tcPr>
            <w:tcW w:w="326" w:type="dxa"/>
            <w:tcBorders/>
            <w:vAlign w:val="center"/>
          </w:tcPr>
          <w:p>
            <w:pPr>
              <w:pStyle w:val="TableContents"/>
              <w:bidi w:val="0"/>
              <w:spacing w:before="0" w:after="0"/>
              <w:ind w:left="0" w:right="0" w:hanging="0"/>
              <w:jc w:val="left"/>
              <w:rPr/>
            </w:pPr>
            <w:r>
              <w:rPr/>
              <w:t> </w:t>
            </w:r>
          </w:p>
        </w:tc>
        <w:tc>
          <w:tcPr>
            <w:tcW w:w="6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pPr>
            <w:r>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5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September 30, 2024 (Successor)</w:t>
            </w:r>
          </w:p>
        </w:tc>
        <w:tc>
          <w:tcPr>
            <w:tcW w:w="326" w:type="dxa"/>
            <w:tcBorders/>
            <w:shd w:fill="CCEEFF" w:val="clear"/>
            <w:vAlign w:val="center"/>
          </w:tcPr>
          <w:p>
            <w:pPr>
              <w:pStyle w:val="TableContents"/>
              <w:bidi w:val="0"/>
              <w:spacing w:before="0" w:after="0"/>
              <w:ind w:left="0" w:right="0" w:hanging="0"/>
              <w:jc w:val="left"/>
              <w:rPr/>
            </w:pPr>
            <w:r>
              <w:rPr/>
              <w:t> </w:t>
            </w:r>
          </w:p>
        </w:tc>
        <w:tc>
          <w:tcPr>
            <w:tcW w:w="6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542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vested, September 30, 2024 (Successor)</w:t>
            </w:r>
          </w:p>
        </w:tc>
        <w:tc>
          <w:tcPr>
            <w:tcW w:w="326" w:type="dxa"/>
            <w:tcBorders/>
            <w:vAlign w:val="center"/>
          </w:tcPr>
          <w:p>
            <w:pPr>
              <w:pStyle w:val="TableContents"/>
              <w:bidi w:val="0"/>
              <w:spacing w:before="0" w:after="0"/>
              <w:ind w:left="0" w:right="0" w:hanging="0"/>
              <w:jc w:val="left"/>
              <w:rPr/>
            </w:pPr>
            <w:r>
              <w:rPr/>
              <w:t>​</w:t>
            </w:r>
          </w:p>
        </w:tc>
        <w:tc>
          <w:tcPr>
            <w:tcW w:w="6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c>
          <w:tcPr>
            <w:tcW w:w="326" w:type="dxa"/>
            <w:tcBorders/>
            <w:vAlign w:val="center"/>
          </w:tcPr>
          <w:p>
            <w:pPr>
              <w:pStyle w:val="TableContents"/>
              <w:bidi w:val="0"/>
              <w:spacing w:before="0" w:after="0"/>
              <w:ind w:left="0" w:right="0" w:hanging="0"/>
              <w:jc w:val="left"/>
              <w:rPr/>
            </w:pPr>
            <w:r>
              <w:rPr/>
              <w:t>​</w:t>
            </w:r>
          </w:p>
        </w:tc>
        <w:tc>
          <w:tcPr>
            <w:tcW w:w="3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c>
          <w:tcPr>
            <w:tcW w:w="109"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542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vested and exercisable, September 30, 2024 (Successor)</w:t>
            </w:r>
          </w:p>
        </w:tc>
        <w:tc>
          <w:tcPr>
            <w:tcW w:w="326" w:type="dxa"/>
            <w:tcBorders/>
            <w:shd w:fill="CCEEFF" w:val="clear"/>
            <w:vAlign w:val="center"/>
          </w:tcPr>
          <w:p>
            <w:pPr>
              <w:pStyle w:val="TableContents"/>
              <w:bidi w:val="0"/>
              <w:spacing w:before="0" w:after="0"/>
              <w:ind w:left="0" w:right="0" w:hanging="0"/>
              <w:jc w:val="left"/>
              <w:rPr/>
            </w:pPr>
            <w:r>
              <w:rPr/>
              <w:t>​</w:t>
            </w:r>
          </w:p>
        </w:tc>
        <w:tc>
          <w:tcPr>
            <w:tcW w:w="6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c>
          <w:tcPr>
            <w:tcW w:w="109"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68</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discussed above, the Company has not granted any options under the 2024 Equity Incentive Plan, the 2024 Key Employee Equity Incentive Plan and the 2024 Employee Stock Purchase Plan.</w:t>
      </w:r>
    </w:p>
    <w:p>
      <w:pPr>
        <w:pStyle w:val="TextBody"/>
        <w:bidi w:val="0"/>
        <w:spacing w:before="0" w:after="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718" w:name="Tc_FeHw6wTHV06NhVjqWpN70Q_6_0"/>
      <w:bookmarkStart w:id="1719" w:name="Tc_bNFo5wTfT024SG7mFnZjMA_5_1"/>
      <w:bookmarkStart w:id="1720" w:name="Tc_FcinQszdlE20_33gRYB6Wg_5_0"/>
      <w:bookmarkStart w:id="1721" w:name="Tc_MIV8btjNgUqwN_E4kyvDfg_4_0"/>
      <w:bookmarkStart w:id="1722" w:name="Tc_vwCh4E9Vd0yQLAztXYOPKQ_3_0"/>
      <w:bookmarkStart w:id="1723" w:name="Tc_WzBxSlpjkEeWAOiRuXGj6A_2_2"/>
      <w:bookmarkStart w:id="1724" w:name="Tc_6bjk-EkvKUqsGth0PgAxeg_2_1"/>
      <w:bookmarkStart w:id="1725" w:name="Tc_uI8Y1PLiO06JNPm8JSrrJw_1_1"/>
      <w:bookmarkStart w:id="1726" w:name="Tc_iAOdmi061U6HFf9VT88RAg_7_7"/>
      <w:bookmarkStart w:id="1727" w:name="Tc_F_Ie_ni87UWlGyHrxLsxBA_7_5"/>
      <w:bookmarkStart w:id="1728" w:name="Tc_Hy20z6cV_UmRIqTeCoLTlg_7_3"/>
      <w:bookmarkStart w:id="1729" w:name="Tc_42MZYl_Z8UW1csc3TskhYg_7_1"/>
      <w:bookmarkStart w:id="1730" w:name="Tc_zlKrtlT0s0C_ADq9iL9ZHw_7_0"/>
      <w:bookmarkStart w:id="1731" w:name="Tc_d65MQBpDFkuxR49TN4T-Yg_6_0"/>
      <w:bookmarkStart w:id="1732" w:name="Tc_8r2tBdzL00O7pGtzmx3tSQ_5_0"/>
      <w:bookmarkStart w:id="1733" w:name="Tc_ExcL0J4SqEmXugiYaooe6g_4_7"/>
      <w:bookmarkStart w:id="1734" w:name="Tc_ei5r64u9tEasSOWAqy_61g_4_5"/>
      <w:bookmarkStart w:id="1735" w:name="Tc_dmla_tPjfU2zg0cZE2Es-A_4_3"/>
      <w:bookmarkStart w:id="1736" w:name="Tc_OPC09lAhzkSCVKEZhM5OCg_4_1"/>
      <w:bookmarkStart w:id="1737" w:name="Tc_4h8ZfzEEHEa9e1Iu0P3_vg_4_0"/>
      <w:bookmarkStart w:id="1738" w:name="Tc_b2Qhz90YKkuHu0HB1mVARA_3_0"/>
      <w:bookmarkStart w:id="1739" w:name="Tc_u6sLd9R-aEGCwMWZh1ICMQ_2_8"/>
      <w:bookmarkStart w:id="1740" w:name="Tc_M7DnqyLek0yNVh3Tb2iqSg_2_6"/>
      <w:bookmarkStart w:id="1741" w:name="Tc_0ciiqei8xUq6DeDSEqbmhQ_2_4"/>
      <w:bookmarkStart w:id="1742" w:name="Tc_JsAw72l6BU2RZT8vej4o2g_2_2"/>
      <w:bookmarkStart w:id="1743" w:name="Tc_yM9FWuoCx0uh45ZmTmqy9g_1_2"/>
      <w:bookmarkStart w:id="1744" w:name="_953f3f6d_e638_4f48_9b2f_47b2aba32933"/>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r>
        <w:rPr>
          <w:rFonts w:ascii="Times New Roman;Times;serif" w:hAnsi="Times New Roman;Times;serif"/>
          <w:b/>
          <w:sz w:val="20"/>
        </w:rPr>
        <w:t>Note 15 – Earnings Per Share (“EPS”)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Predecessor</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Basic net loss per common share is computed by dividing net loss attributable to common stockholders by the weighted-average number of shares of common stock outstanding for the period. Diluted net loss per common share excludes the potential impact of the Company’s convertible preferred stock, common stock warrants, and common stock options because the Company's net losses would cause such shares to be anti-dilutive. Therefore, as the Company recorded net losses in the periods presented, basic and diluted net loss per common share are the same.</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879"/>
        <w:gridCol w:w="211"/>
        <w:gridCol w:w="1281"/>
        <w:gridCol w:w="211"/>
        <w:gridCol w:w="1281"/>
        <w:gridCol w:w="211"/>
        <w:gridCol w:w="1346"/>
        <w:gridCol w:w="211"/>
        <w:gridCol w:w="1574"/>
      </w:tblGrid>
      <w:tr>
        <w:trPr/>
        <w:tc>
          <w:tcPr>
            <w:tcW w:w="3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463165" cy="175260"/>
                      <wp:effectExtent l="0" t="0" r="0" b="0"/>
                      <wp:wrapNone/>
                      <wp:docPr id="224" name="Frame224"/>
                      <a:graphic xmlns:a="http://schemas.openxmlformats.org/drawingml/2006/main">
                        <a:graphicData uri="http://schemas.microsoft.com/office/word/2010/wordprocessingShape">
                          <wps:wsp>
                            <wps:cNvSpPr txBox="1"/>
                            <wps:spPr>
                              <a:xfrm>
                                <a:off x="0" y="0"/>
                                <a:ext cx="2463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128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8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574" w:type="dxa"/>
            <w:tcBorders/>
            <w:vAlign w:val="center"/>
          </w:tcPr>
          <w:p>
            <w:pPr>
              <w:pStyle w:val="TableContents"/>
              <w:bidi w:val="0"/>
              <w:spacing w:before="0" w:after="0"/>
              <w:ind w:left="0" w:right="0" w:hanging="0"/>
              <w:jc w:val="left"/>
              <w:rPr/>
            </w:pPr>
            <w:r>
              <w:rPr/>
              <w:t>​</w:t>
            </w:r>
          </w:p>
        </w:tc>
      </w:tr>
      <w:tr>
        <w:trPr/>
        <w:tc>
          <w:tcPr>
            <w:tcW w:w="3879"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right"/>
              <w:rPr/>
            </w:pPr>
            <w:r>
              <w:rPr/>
              <w:t>​</w:t>
            </w:r>
          </w:p>
        </w:tc>
        <w:tc>
          <w:tcPr>
            <w:tcW w:w="6115"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(Predecessor)</w:t>
            </w:r>
          </w:p>
        </w:tc>
      </w:tr>
      <w:tr>
        <w:trPr/>
        <w:tc>
          <w:tcPr>
            <w:tcW w:w="3879"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right"/>
              <w:rPr/>
            </w:pPr>
            <w:r>
              <w:rPr/>
              <w:t>​</w:t>
            </w:r>
          </w:p>
        </w:tc>
        <w:tc>
          <w:tcPr>
            <w:tcW w:w="12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Period from July 1 to July 30, 2024</w:t>
            </w:r>
          </w:p>
        </w:tc>
        <w:tc>
          <w:tcPr>
            <w:tcW w:w="211" w:type="dxa"/>
            <w:tcBorders/>
            <w:vAlign w:val="center"/>
          </w:tcPr>
          <w:p>
            <w:pPr>
              <w:pStyle w:val="TableContents"/>
              <w:bidi w:val="0"/>
              <w:spacing w:before="0" w:after="0"/>
              <w:ind w:left="0" w:right="0" w:hanging="0"/>
              <w:jc w:val="right"/>
              <w:rPr/>
            </w:pPr>
            <w:r>
              <w:rPr/>
              <w:t>​</w:t>
            </w:r>
          </w:p>
        </w:tc>
        <w:tc>
          <w:tcPr>
            <w:tcW w:w="12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Period from July 1 to July 30, 2023</w:t>
            </w:r>
          </w:p>
        </w:tc>
        <w:tc>
          <w:tcPr>
            <w:tcW w:w="211" w:type="dxa"/>
            <w:tcBorders/>
            <w:vAlign w:val="center"/>
          </w:tcPr>
          <w:p>
            <w:pPr>
              <w:pStyle w:val="TableContents"/>
              <w:bidi w:val="0"/>
              <w:spacing w:before="0" w:after="0"/>
              <w:ind w:left="0" w:right="0" w:hanging="0"/>
              <w:jc w:val="right"/>
              <w:rPr/>
            </w:pPr>
            <w:r>
              <w:rPr/>
              <w:t>​</w:t>
            </w:r>
          </w:p>
        </w:tc>
        <w:tc>
          <w:tcPr>
            <w:tcW w:w="13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Period from January 1 to July 30, 2024</w:t>
            </w:r>
          </w:p>
        </w:tc>
        <w:tc>
          <w:tcPr>
            <w:tcW w:w="211" w:type="dxa"/>
            <w:tcBorders/>
            <w:vAlign w:val="center"/>
          </w:tcPr>
          <w:p>
            <w:pPr>
              <w:pStyle w:val="TableContents"/>
              <w:bidi w:val="0"/>
              <w:spacing w:before="0" w:after="0"/>
              <w:ind w:left="0" w:right="0" w:hanging="0"/>
              <w:jc w:val="right"/>
              <w:rPr/>
            </w:pPr>
            <w:r>
              <w:rPr/>
              <w:t>​</w:t>
            </w:r>
          </w:p>
        </w:tc>
        <w:tc>
          <w:tcPr>
            <w:tcW w:w="15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 months ending September 30, 2023</w:t>
            </w:r>
          </w:p>
        </w:tc>
      </w:tr>
      <w:tr>
        <w:trPr/>
        <w:tc>
          <w:tcPr>
            <w:tcW w:w="3879"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211" w:type="dxa"/>
            <w:tcBorders/>
            <w:shd w:fill="CCEEFF" w:val="clear"/>
            <w:vAlign w:val="center"/>
          </w:tcPr>
          <w:p>
            <w:pPr>
              <w:pStyle w:val="TableContents"/>
              <w:bidi w:val="0"/>
              <w:spacing w:before="0" w:after="0"/>
              <w:ind w:left="0" w:right="0" w:hanging="0"/>
              <w:jc w:val="right"/>
              <w:rPr/>
            </w:pPr>
            <w:r>
              <w:rPr/>
              <w:t>​</w:t>
            </w:r>
          </w:p>
        </w:tc>
        <w:tc>
          <w:tcPr>
            <w:tcW w:w="1281"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281"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346"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574" w:type="dxa"/>
            <w:tcBorders/>
            <w:shd w:fill="CCEEFF" w:val="clear"/>
            <w:vAlign w:val="center"/>
          </w:tcPr>
          <w:p>
            <w:pPr>
              <w:pStyle w:val="TableContents"/>
              <w:bidi w:val="0"/>
              <w:spacing w:before="0" w:after="0"/>
              <w:ind w:left="0" w:right="0" w:hanging="0"/>
              <w:jc w:val="both"/>
              <w:rPr/>
            </w:pPr>
            <w:r>
              <w:rPr/>
              <w:t>​</w:t>
            </w:r>
          </w:p>
        </w:tc>
      </w:tr>
      <w:tr>
        <w:trPr/>
        <w:tc>
          <w:tcPr>
            <w:tcW w:w="3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(8,235)</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(10,761)</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(21,278)</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(27,969)</w:t>
            </w:r>
          </w:p>
        </w:tc>
      </w:tr>
      <w:tr>
        <w:trPr/>
        <w:tc>
          <w:tcPr>
            <w:tcW w:w="387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211" w:type="dxa"/>
            <w:tcBorders/>
            <w:shd w:fill="CCEEFF" w:val="clear"/>
            <w:vAlign w:val="center"/>
          </w:tcPr>
          <w:p>
            <w:pPr>
              <w:pStyle w:val="TableContents"/>
              <w:bidi w:val="0"/>
              <w:spacing w:before="0" w:after="0"/>
              <w:ind w:left="0" w:right="0" w:hanging="0"/>
              <w:jc w:val="right"/>
              <w:rPr/>
            </w:pPr>
            <w:r>
              <w:rPr/>
              <w:t>​</w:t>
            </w:r>
          </w:p>
        </w:tc>
        <w:tc>
          <w:tcPr>
            <w:tcW w:w="128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281"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574" w:type="dxa"/>
            <w:tcBorders/>
            <w:shd w:fill="CCEEFF" w:val="clear"/>
            <w:vAlign w:val="center"/>
          </w:tcPr>
          <w:p>
            <w:pPr>
              <w:pStyle w:val="TableContents"/>
              <w:bidi w:val="0"/>
              <w:spacing w:before="0" w:after="0"/>
              <w:ind w:left="0" w:right="0" w:hanging="0"/>
              <w:jc w:val="right"/>
              <w:rPr/>
            </w:pPr>
            <w:r>
              <w:rPr/>
              <w:t>​</w:t>
            </w:r>
          </w:p>
        </w:tc>
      </w:tr>
      <w:tr>
        <w:trPr/>
        <w:tc>
          <w:tcPr>
            <w:tcW w:w="38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used in computing net income (loss) per share attributable to common stockholders - basic and diluted</w:t>
            </w:r>
          </w:p>
        </w:tc>
        <w:tc>
          <w:tcPr>
            <w:tcW w:w="211" w:type="dxa"/>
            <w:tcBorders/>
            <w:vAlign w:val="center"/>
          </w:tcPr>
          <w:p>
            <w:pPr>
              <w:pStyle w:val="TableContents"/>
              <w:bidi w:val="0"/>
              <w:spacing w:before="0" w:after="0"/>
              <w:ind w:left="0" w:right="0" w:hanging="0"/>
              <w:jc w:val="right"/>
              <w:rPr/>
            </w:pPr>
            <w:r>
              <w:rPr/>
              <w:t>​</w:t>
            </w:r>
          </w:p>
        </w:tc>
        <w:tc>
          <w:tcPr>
            <w:tcW w:w="12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987,810</w:t>
            </w:r>
          </w:p>
        </w:tc>
        <w:tc>
          <w:tcPr>
            <w:tcW w:w="211" w:type="dxa"/>
            <w:tcBorders/>
            <w:vAlign w:val="center"/>
          </w:tcPr>
          <w:p>
            <w:pPr>
              <w:pStyle w:val="TableContents"/>
              <w:bidi w:val="0"/>
              <w:spacing w:before="0" w:after="0"/>
              <w:ind w:left="0" w:right="0" w:hanging="0"/>
              <w:jc w:val="right"/>
              <w:rPr/>
            </w:pPr>
            <w:r>
              <w:rPr/>
              <w:t>​</w:t>
            </w:r>
          </w:p>
        </w:tc>
        <w:tc>
          <w:tcPr>
            <w:tcW w:w="12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760,572</w:t>
            </w:r>
          </w:p>
        </w:tc>
        <w:tc>
          <w:tcPr>
            <w:tcW w:w="211" w:type="dxa"/>
            <w:tcBorders/>
            <w:vAlign w:val="center"/>
          </w:tcPr>
          <w:p>
            <w:pPr>
              <w:pStyle w:val="TableContents"/>
              <w:bidi w:val="0"/>
              <w:spacing w:before="0" w:after="0"/>
              <w:ind w:left="0" w:right="0" w:hanging="0"/>
              <w:jc w:val="right"/>
              <w:rPr/>
            </w:pPr>
            <w:r>
              <w:rPr/>
              <w:t>​</w:t>
            </w:r>
          </w:p>
        </w:tc>
        <w:tc>
          <w:tcPr>
            <w:tcW w:w="13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815,854</w:t>
            </w:r>
          </w:p>
        </w:tc>
        <w:tc>
          <w:tcPr>
            <w:tcW w:w="211" w:type="dxa"/>
            <w:tcBorders/>
            <w:vAlign w:val="center"/>
          </w:tcPr>
          <w:p>
            <w:pPr>
              <w:pStyle w:val="TableContents"/>
              <w:bidi w:val="0"/>
              <w:spacing w:before="0" w:after="0"/>
              <w:ind w:left="0" w:right="0" w:hanging="0"/>
              <w:jc w:val="right"/>
              <w:rPr/>
            </w:pPr>
            <w:r>
              <w:rPr/>
              <w:t>​</w:t>
            </w:r>
          </w:p>
        </w:tc>
        <w:tc>
          <w:tcPr>
            <w:tcW w:w="15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759,489</w:t>
            </w:r>
          </w:p>
        </w:tc>
      </w:tr>
      <w:tr>
        <w:trPr/>
        <w:tc>
          <w:tcPr>
            <w:tcW w:w="38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per share attributable to common stockholders - basic and diluted</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(26.08)</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5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(36.83)</w:t>
            </w:r>
          </w:p>
        </w:tc>
      </w:tr>
    </w:tbl>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potentially dilutive securities were excluded from the computation of diluted net loss per share calculations for the periods presented because the impact of including them would be anti-dilutive:</w:t>
      </w:r>
    </w:p>
    <w:p>
      <w:pPr>
        <w:pStyle w:val="TextBody"/>
        <w:bidi w:val="0"/>
        <w:spacing w:before="0" w:after="0"/>
        <w:ind w:left="0" w:right="0" w:firstLine="360"/>
        <w:jc w:val="both"/>
        <w:rPr>
          <w:shd w:fill="FFFF00" w:val="clear"/>
        </w:rPr>
      </w:pPr>
      <w:r>
        <w:rPr>
          <w:shd w:fill="FFFF00" w:val="clear"/>
        </w:rPr>
        <w:t>​</w:t>
      </w:r>
    </w:p>
    <w:tbl>
      <w:tblPr>
        <w:tblW w:w="6993" w:type="dxa"/>
        <w:jc w:val="left"/>
        <w:tblInd w:w="0" w:type="dxa"/>
        <w:tblLayout w:type="fixed"/>
        <w:tblCellMar>
          <w:top w:w="0" w:type="dxa"/>
          <w:left w:w="0" w:type="dxa"/>
          <w:bottom w:w="0" w:type="dxa"/>
          <w:right w:w="0" w:type="dxa"/>
        </w:tblCellMar>
      </w:tblPr>
      <w:tblGrid>
        <w:gridCol w:w="3076"/>
        <w:gridCol w:w="1681"/>
        <w:gridCol w:w="2236"/>
      </w:tblGrid>
      <w:tr>
        <w:trPr/>
        <w:tc>
          <w:tcPr>
            <w:tcW w:w="307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c>
          <w:tcPr>
            <w:tcW w:w="2236"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both"/>
              <w:rPr/>
            </w:pPr>
            <w:r>
              <w:rPr/>
              <w:t>​</w:t>
            </w:r>
          </w:p>
        </w:tc>
        <w:tc>
          <w:tcPr>
            <w:tcW w:w="3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(Predecessor)</w:t>
            </w:r>
          </w:p>
        </w:tc>
      </w:tr>
      <w:tr>
        <w:trPr/>
        <w:tc>
          <w:tcPr>
            <w:tcW w:w="3076" w:type="dxa"/>
            <w:tcBorders/>
            <w:vAlign w:val="center"/>
          </w:tcPr>
          <w:p>
            <w:pPr>
              <w:pStyle w:val="TableContents"/>
              <w:bidi w:val="0"/>
              <w:spacing w:before="0" w:after="0"/>
              <w:ind w:left="0" w:right="0" w:hanging="0"/>
              <w:jc w:val="both"/>
              <w:rPr/>
            </w:pPr>
            <w:r>
              <w:rPr/>
              <w:t>​</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of July 30, 2024</w:t>
            </w:r>
          </w:p>
        </w:tc>
        <w:tc>
          <w:tcPr>
            <w:tcW w:w="22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of September 30, 2023</w:t>
            </w:r>
          </w:p>
        </w:tc>
      </w:tr>
      <w:tr>
        <w:trPr/>
        <w:tc>
          <w:tcPr>
            <w:tcW w:w="307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Convertible preferred stock</w:t>
            </w:r>
          </w:p>
        </w:tc>
        <w:tc>
          <w:tcPr>
            <w:tcW w:w="1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4,732,044</w:t>
            </w:r>
          </w:p>
        </w:tc>
        <w:tc>
          <w:tcPr>
            <w:tcW w:w="2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4,939,946</w:t>
            </w:r>
          </w:p>
        </w:tc>
      </w:tr>
      <w:tr>
        <w:trPr/>
        <w:tc>
          <w:tcPr>
            <w:tcW w:w="30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w:t>
            </w:r>
          </w:p>
        </w:tc>
        <w:tc>
          <w:tcPr>
            <w:tcW w:w="1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740,409</w:t>
            </w:r>
          </w:p>
        </w:tc>
        <w:tc>
          <w:tcPr>
            <w:tcW w:w="2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755,559</w:t>
            </w:r>
          </w:p>
        </w:tc>
      </w:tr>
      <w:tr>
        <w:trPr/>
        <w:tc>
          <w:tcPr>
            <w:tcW w:w="307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SVB Warrants</w:t>
            </w:r>
          </w:p>
        </w:tc>
        <w:tc>
          <w:tcPr>
            <w:tcW w:w="1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2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49,080</w:t>
            </w:r>
          </w:p>
        </w:tc>
      </w:tr>
      <w:tr>
        <w:trPr/>
        <w:tc>
          <w:tcPr>
            <w:tcW w:w="307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potentially dilutive securities</w:t>
            </w:r>
          </w:p>
        </w:tc>
        <w:tc>
          <w:tcPr>
            <w:tcW w:w="1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5,472,453</w:t>
            </w:r>
          </w:p>
        </w:tc>
        <w:tc>
          <w:tcPr>
            <w:tcW w:w="223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5,744,585</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shd w:fill="FFFF00" w:val="clear"/>
        </w:rPr>
      </w:pPr>
      <w:bookmarkStart w:id="1745" w:name="Tc_d1XziZ2PrUWEYtQOv368yg_11_7"/>
      <w:bookmarkStart w:id="1746" w:name="Tc_rAx5NI_ICkapV7K2lFrOtg_11_4"/>
      <w:bookmarkStart w:id="1747" w:name="Tc_3gXUSNExK0OG3Y_dZD9UpA_11_1"/>
      <w:bookmarkStart w:id="1748" w:name="Tc_BFaCARuP3Uivi2Z_v8fULw_11_0"/>
      <w:bookmarkStart w:id="1749" w:name="Tc_6cG1o7-nsU-BtJiTcXWTkw_9_5"/>
      <w:bookmarkStart w:id="1750" w:name="Tc_6u-EzUTfS0CTxhNTbWJ4FQ_9_2"/>
      <w:bookmarkStart w:id="1751" w:name="Tc_HFdJCMS93EGI06zlSiIRCw_9_0"/>
      <w:bookmarkStart w:id="1752" w:name="Tc_R3SrPPdPK0i1PdG4dSGmQA_8_8"/>
      <w:bookmarkStart w:id="1753" w:name="Tc_jpSNMgsNMk2ZezTleW-2Aw_8_2"/>
      <w:bookmarkStart w:id="1754" w:name="Tc_vGasLcKj50qgzEqu4C_SwQ_8_0"/>
      <w:bookmarkStart w:id="1755" w:name="Tc_Pb54luGghkeu66JHu7Bmag_7_8"/>
      <w:bookmarkStart w:id="1756" w:name="Tc_yyR2PoVbgEWqUaAD8R_QDQ_7_5"/>
      <w:bookmarkStart w:id="1757" w:name="Tc_2yHG_AxBEkq9dCKbIk9njA_7_0"/>
      <w:bookmarkStart w:id="1758" w:name="Tc_hgso6DqVRke1blKlr8QVwQ_6_0"/>
      <w:bookmarkStart w:id="1759" w:name="Tc_-5R33nyXw0SnhakNaguxpw_5_7"/>
      <w:bookmarkStart w:id="1760" w:name="Tc_Mkw-USDViEeGsLxaC6eSLQ_5_4"/>
      <w:bookmarkStart w:id="1761" w:name="Tc_ofh-eD9i1kKfPks0QB00eg_5_1"/>
      <w:bookmarkStart w:id="1762" w:name="Tc_8RIka4tAD0eMHi1hxaZHVA_5_0"/>
      <w:bookmarkStart w:id="1763" w:name="Tc_0Id9kdK_ok-aSBopMd3OhQ_4_0"/>
      <w:bookmarkStart w:id="1764" w:name="Tc_FmTMT7ShSUSoubNdZn6YZw_3_0"/>
      <w:bookmarkStart w:id="1765" w:name="Tc_QWadgrDj40usj1L3un_JQg_2_7"/>
      <w:bookmarkStart w:id="1766" w:name="Tc_WS9qtnJmSEWgdCi_lObwOA_2_4"/>
      <w:bookmarkStart w:id="1767" w:name="Tc_OtlgGUKuCEOoEUGsyTFMLA_2_1"/>
      <w:bookmarkStart w:id="1768" w:name="Tc_LuPlriyAp0S6_XrCV3D5tw_1_1"/>
      <w:bookmarkStart w:id="1769" w:name="_5729bb4e_6839_447f_a56e_036ace7ef3dc"/>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r>
        <w:rPr>
          <w:shd w:fill="FFFF00" w:val="clea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After the Business Combination, the Successor calculated basic EPS and diluted EPS to common stockholders in conformity with the two-class method required for companies with participating securities. The Company considered (i) the Convertible Securities Notes and (ii) the earnout shares subject to vesting conditions to be participating securities as they participate in any distributions declared by the Company. The Company’s Base Warrants and Convert Warrants are considered as non-participating securities, as the holders are not entitled to any shareholder right prior to the exercise of the Base Warrants and the Convert Warrants. As of the reporting date, none of the Base Warrants or the Convert Warrants were exercised to receive the Company’s Common Stock.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Under the two-class method, undistributed earnings allocated to these participating securities were subtracted from net income in determining net income attributable to common stockholders. Net income attributable to common stockholders was not allocated to Convertible Securities Notes as the holders of Convertible Securities Notes did not have a contractual obligation to share in income.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Further, Basic EPS under the two-class method includes the impact of the Company’s PIPE Pre-funded Warrants as the PIPE Pre-funded Warrants are exercisable for only $0.01 per share (i.e., de minimis cash consideration) without an expiration date and not subject to exercise contingencies.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discloses the Diluted EPS under the if-converted method as such diluted EPS is lower than the diluted EPS calculated under the two-class method. The Earn-out shares subject to vesting conditions are not considered in the denominator for the calculation of diluted EPS as the vesting conditions for the Earn-out shares were not met during the successor reporting period.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sets forth the computation of basic earnings per share attributable to common stockholders and the participating securities for the periods presented (in thousands, except share and per share data):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EPS:</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5146"/>
        <w:gridCol w:w="231"/>
        <w:gridCol w:w="1140"/>
        <w:gridCol w:w="114"/>
        <w:gridCol w:w="377"/>
        <w:gridCol w:w="1672"/>
        <w:gridCol w:w="114"/>
        <w:gridCol w:w="249"/>
        <w:gridCol w:w="1162"/>
      </w:tblGrid>
      <w:tr>
        <w:trPr/>
        <w:tc>
          <w:tcPr>
            <w:tcW w:w="5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3267710" cy="175260"/>
                      <wp:effectExtent l="0" t="0" r="0" b="0"/>
                      <wp:wrapNone/>
                      <wp:docPr id="225" name="Frame225"/>
                      <a:graphic xmlns:a="http://schemas.openxmlformats.org/drawingml/2006/main">
                        <a:graphicData uri="http://schemas.microsoft.com/office/word/2010/wordprocessingShape">
                          <wps:wsp>
                            <wps:cNvSpPr txBox="1"/>
                            <wps:spPr>
                              <a:xfrm>
                                <a:off x="0" y="0"/>
                                <a:ext cx="326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46685" cy="175260"/>
                      <wp:effectExtent l="0" t="0" r="0" b="0"/>
                      <wp:wrapNone/>
                      <wp:docPr id="226" name="Frame22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0"/>
              <w:ind w:left="0" w:right="0" w:hanging="0"/>
              <w:jc w:val="left"/>
              <w:rPr/>
            </w:pPr>
            <w:r>
              <w:rPr/>
              <w:t>​</w:t>
            </w:r>
          </w:p>
        </w:tc>
        <w:tc>
          <w:tcPr>
            <w:tcW w:w="114"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39395" cy="175260"/>
                      <wp:effectExtent l="0" t="0" r="0" b="0"/>
                      <wp:wrapNone/>
                      <wp:docPr id="227" name="Frame227"/>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72" w:type="dxa"/>
            <w:tcBorders/>
            <w:vAlign w:val="center"/>
          </w:tcPr>
          <w:p>
            <w:pPr>
              <w:pStyle w:val="TableContents"/>
              <w:bidi w:val="0"/>
              <w:spacing w:before="0" w:after="0"/>
              <w:ind w:left="0" w:right="0" w:hanging="0"/>
              <w:jc w:val="left"/>
              <w:rPr/>
            </w:pPr>
            <w:r>
              <w:rPr/>
              <w:t>​</w:t>
            </w:r>
          </w:p>
        </w:tc>
        <w:tc>
          <w:tcPr>
            <w:tcW w:w="114"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58115" cy="175260"/>
                      <wp:effectExtent l="0" t="0" r="0" b="0"/>
                      <wp:wrapNone/>
                      <wp:docPr id="228" name="Frame22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2" w:type="dxa"/>
            <w:tcBorders/>
            <w:vAlign w:val="center"/>
          </w:tcPr>
          <w:p>
            <w:pPr>
              <w:pStyle w:val="TableContents"/>
              <w:bidi w:val="0"/>
              <w:spacing w:before="0" w:after="0"/>
              <w:ind w:left="0" w:right="0" w:hanging="0"/>
              <w:jc w:val="left"/>
              <w:rPr/>
            </w:pPr>
            <w:r>
              <w:rPr/>
              <w:t>​</w:t>
            </w:r>
          </w:p>
        </w:tc>
      </w:tr>
      <w:tr>
        <w:trPr/>
        <w:tc>
          <w:tcPr>
            <w:tcW w:w="5146" w:type="dxa"/>
            <w:tcBorders/>
            <w:vAlign w:val="center"/>
          </w:tcPr>
          <w:p>
            <w:pPr>
              <w:pStyle w:val="TableContents"/>
              <w:bidi w:val="0"/>
              <w:spacing w:before="0" w:after="0"/>
              <w:ind w:left="0" w:right="0" w:hanging="0"/>
              <w:jc w:val="left"/>
              <w:rPr/>
            </w:pPr>
            <w:r>
              <w:rPr/>
              <w:t>​</w:t>
            </w:r>
          </w:p>
        </w:tc>
        <w:tc>
          <w:tcPr>
            <w:tcW w:w="5059"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31, 2024 to September 30, 2024 (Successor)</w:t>
            </w:r>
          </w:p>
        </w:tc>
      </w:tr>
      <w:tr>
        <w:trPr/>
        <w:tc>
          <w:tcPr>
            <w:tcW w:w="5146" w:type="dxa"/>
            <w:tcBorders/>
            <w:vAlign w:val="center"/>
          </w:tcPr>
          <w:p>
            <w:pPr>
              <w:pStyle w:val="TableContents"/>
              <w:bidi w:val="0"/>
              <w:spacing w:before="0" w:after="0"/>
              <w:ind w:left="0" w:right="0" w:hanging="0"/>
              <w:jc w:val="both"/>
              <w:rPr/>
            </w:pPr>
            <w:r>
              <w:rPr/>
              <w:t>​</w:t>
            </w:r>
          </w:p>
        </w:tc>
        <w:tc>
          <w:tcPr>
            <w:tcW w:w="137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Shares</w:t>
            </w:r>
          </w:p>
        </w:tc>
        <w:tc>
          <w:tcPr>
            <w:tcW w:w="114" w:type="dxa"/>
            <w:tcBorders/>
            <w:vAlign w:val="center"/>
          </w:tcPr>
          <w:p>
            <w:pPr>
              <w:pStyle w:val="TableContents"/>
              <w:bidi w:val="0"/>
              <w:spacing w:before="0" w:after="0"/>
              <w:ind w:left="0" w:right="0" w:hanging="0"/>
              <w:jc w:val="center"/>
              <w:rPr/>
            </w:pPr>
            <w:r>
              <w:rPr/>
              <w:t>​</w:t>
            </w:r>
          </w:p>
        </w:tc>
        <w:tc>
          <w:tcPr>
            <w:tcW w:w="204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Convertible Securities Notes</w:t>
            </w:r>
          </w:p>
        </w:tc>
        <w:tc>
          <w:tcPr>
            <w:tcW w:w="114" w:type="dxa"/>
            <w:tcBorders/>
            <w:vAlign w:val="center"/>
          </w:tcPr>
          <w:p>
            <w:pPr>
              <w:pStyle w:val="TableContents"/>
              <w:bidi w:val="0"/>
              <w:spacing w:before="0" w:after="0"/>
              <w:ind w:left="0" w:right="0" w:hanging="0"/>
              <w:jc w:val="center"/>
              <w:rPr/>
            </w:pPr>
            <w:r>
              <w:rPr/>
              <w:t>​</w:t>
            </w:r>
          </w:p>
        </w:tc>
        <w:tc>
          <w:tcPr>
            <w:tcW w:w="141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Sponsor Earnout</w:t>
            </w:r>
          </w:p>
        </w:tc>
      </w:tr>
      <w:tr>
        <w:trPr/>
        <w:tc>
          <w:tcPr>
            <w:tcW w:w="51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(amounts in thousands, except the per share information)</w:t>
            </w:r>
          </w:p>
        </w:tc>
        <w:tc>
          <w:tcPr>
            <w:tcW w:w="231" w:type="dxa"/>
            <w:tcBorders/>
            <w:vAlign w:val="center"/>
          </w:tcPr>
          <w:p>
            <w:pPr>
              <w:pStyle w:val="TableContents"/>
              <w:bidi w:val="0"/>
              <w:spacing w:before="0" w:after="0"/>
              <w:ind w:left="0" w:right="0" w:hanging="0"/>
              <w:jc w:val="right"/>
              <w:rPr/>
            </w:pPr>
            <w:r>
              <w:rPr/>
              <w:t>​</w:t>
            </w:r>
          </w:p>
        </w:tc>
        <w:tc>
          <w:tcPr>
            <w:tcW w:w="1140" w:type="dxa"/>
            <w:tcBorders/>
            <w:vAlign w:val="center"/>
          </w:tcPr>
          <w:p>
            <w:pPr>
              <w:pStyle w:val="TableContents"/>
              <w:bidi w:val="0"/>
              <w:spacing w:before="0" w:after="0"/>
              <w:ind w:left="0" w:right="0" w:hanging="0"/>
              <w:jc w:val="both"/>
              <w:rPr/>
            </w:pPr>
            <w:r>
              <w:rPr/>
              <w:t>​</w:t>
            </w:r>
          </w:p>
        </w:tc>
        <w:tc>
          <w:tcPr>
            <w:tcW w:w="114" w:type="dxa"/>
            <w:tcBorders/>
            <w:vAlign w:val="center"/>
          </w:tcPr>
          <w:p>
            <w:pPr>
              <w:pStyle w:val="TableContents"/>
              <w:bidi w:val="0"/>
              <w:spacing w:before="0" w:after="0"/>
              <w:ind w:left="0" w:right="0" w:hanging="0"/>
              <w:jc w:val="both"/>
              <w:rPr/>
            </w:pPr>
            <w:r>
              <w:rPr/>
              <w:t>​</w:t>
            </w:r>
          </w:p>
        </w:tc>
        <w:tc>
          <w:tcPr>
            <w:tcW w:w="377" w:type="dxa"/>
            <w:tcBorders/>
            <w:vAlign w:val="center"/>
          </w:tcPr>
          <w:p>
            <w:pPr>
              <w:pStyle w:val="TableContents"/>
              <w:bidi w:val="0"/>
              <w:spacing w:before="0" w:after="0"/>
              <w:ind w:left="0" w:right="0" w:hanging="0"/>
              <w:jc w:val="right"/>
              <w:rPr/>
            </w:pPr>
            <w:r>
              <w:rPr/>
              <w:t>​</w:t>
            </w:r>
          </w:p>
        </w:tc>
        <w:tc>
          <w:tcPr>
            <w:tcW w:w="1672" w:type="dxa"/>
            <w:tcBorders/>
            <w:vAlign w:val="center"/>
          </w:tcPr>
          <w:p>
            <w:pPr>
              <w:pStyle w:val="TableContents"/>
              <w:bidi w:val="0"/>
              <w:spacing w:before="0" w:after="0"/>
              <w:ind w:left="0" w:right="0" w:hanging="0"/>
              <w:jc w:val="both"/>
              <w:rPr/>
            </w:pPr>
            <w:r>
              <w:rPr/>
              <w:t>​</w:t>
            </w:r>
          </w:p>
        </w:tc>
        <w:tc>
          <w:tcPr>
            <w:tcW w:w="114" w:type="dxa"/>
            <w:tcBorders/>
            <w:vAlign w:val="center"/>
          </w:tcPr>
          <w:p>
            <w:pPr>
              <w:pStyle w:val="TableContents"/>
              <w:bidi w:val="0"/>
              <w:spacing w:before="0" w:after="0"/>
              <w:ind w:left="0" w:right="0" w:hanging="0"/>
              <w:jc w:val="both"/>
              <w:rPr/>
            </w:pPr>
            <w:r>
              <w:rPr/>
              <w:t>​</w:t>
            </w:r>
          </w:p>
        </w:tc>
        <w:tc>
          <w:tcPr>
            <w:tcW w:w="249" w:type="dxa"/>
            <w:tcBorders/>
            <w:vAlign w:val="center"/>
          </w:tcPr>
          <w:p>
            <w:pPr>
              <w:pStyle w:val="TableContents"/>
              <w:bidi w:val="0"/>
              <w:spacing w:before="0" w:after="0"/>
              <w:ind w:left="0" w:right="0" w:hanging="0"/>
              <w:jc w:val="right"/>
              <w:rPr/>
            </w:pPr>
            <w:r>
              <w:rPr/>
              <w:t>​</w:t>
            </w:r>
          </w:p>
        </w:tc>
        <w:tc>
          <w:tcPr>
            <w:tcW w:w="1162" w:type="dxa"/>
            <w:tcBorders/>
            <w:vAlign w:val="center"/>
          </w:tcPr>
          <w:p>
            <w:pPr>
              <w:pStyle w:val="TableContents"/>
              <w:bidi w:val="0"/>
              <w:spacing w:before="0" w:after="0"/>
              <w:ind w:left="0" w:right="0" w:hanging="0"/>
              <w:jc w:val="both"/>
              <w:rPr/>
            </w:pPr>
            <w:r>
              <w:rPr/>
              <w:t>​</w:t>
            </w:r>
          </w:p>
        </w:tc>
      </w:tr>
      <w:tr>
        <w:trPr/>
        <w:tc>
          <w:tcPr>
            <w:tcW w:w="514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231" w:type="dxa"/>
            <w:tcBorders/>
            <w:shd w:fill="CCEEFF" w:val="clear"/>
            <w:vAlign w:val="center"/>
          </w:tcPr>
          <w:p>
            <w:pPr>
              <w:pStyle w:val="TableContents"/>
              <w:bidi w:val="0"/>
              <w:spacing w:before="0" w:after="0"/>
              <w:ind w:left="0" w:right="0" w:hanging="0"/>
              <w:jc w:val="right"/>
              <w:rPr/>
            </w:pPr>
            <w:r>
              <w:rPr/>
              <w:t>​</w:t>
            </w:r>
          </w:p>
        </w:tc>
        <w:tc>
          <w:tcPr>
            <w:tcW w:w="1140"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right"/>
              <w:rPr/>
            </w:pPr>
            <w:r>
              <w:rPr/>
              <w:t>​</w:t>
            </w:r>
          </w:p>
        </w:tc>
        <w:tc>
          <w:tcPr>
            <w:tcW w:w="1672"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1162" w:type="dxa"/>
            <w:tcBorders/>
            <w:shd w:fill="CCEEFF" w:val="clear"/>
            <w:vAlign w:val="center"/>
          </w:tcPr>
          <w:p>
            <w:pPr>
              <w:pStyle w:val="TableContents"/>
              <w:bidi w:val="0"/>
              <w:spacing w:before="0" w:after="0"/>
              <w:ind w:left="0" w:right="0" w:hanging="0"/>
              <w:jc w:val="both"/>
              <w:rPr/>
            </w:pPr>
            <w:r>
              <w:rPr/>
              <w:t>​</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allocated to each class of participating securities</w:t>
            </w:r>
          </w:p>
        </w:tc>
        <w:tc>
          <w:tcPr>
            <w:tcW w:w="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2,522</w:t>
            </w:r>
          </w:p>
        </w:tc>
        <w:tc>
          <w:tcPr>
            <w:tcW w:w="114" w:type="dxa"/>
            <w:tcBorders/>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114" w:type="dxa"/>
            <w:tcBorders/>
            <w:vAlign w:val="center"/>
          </w:tcPr>
          <w:p>
            <w:pPr>
              <w:pStyle w:val="TableContents"/>
              <w:bidi w:val="0"/>
              <w:spacing w:before="0" w:after="0"/>
              <w:ind w:left="0" w:right="0" w:hanging="0"/>
              <w:jc w:val="right"/>
              <w:rPr/>
            </w:pPr>
            <w:r>
              <w:rPr/>
              <w:t>​</w:t>
            </w:r>
          </w:p>
        </w:tc>
        <w:tc>
          <w:tcPr>
            <w:tcW w:w="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231" w:type="dxa"/>
            <w:tcBorders/>
            <w:shd w:fill="CCEEFF" w:val="clear"/>
            <w:vAlign w:val="center"/>
          </w:tcPr>
          <w:p>
            <w:pPr>
              <w:pStyle w:val="TableContents"/>
              <w:bidi w:val="0"/>
              <w:spacing w:before="0" w:after="0"/>
              <w:ind w:left="0" w:right="0" w:hanging="0"/>
              <w:jc w:val="right"/>
              <w:rPr/>
            </w:pPr>
            <w:r>
              <w:rPr/>
              <w:t>​</w:t>
            </w:r>
          </w:p>
        </w:tc>
        <w:tc>
          <w:tcPr>
            <w:tcW w:w="1140"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right"/>
              <w:rPr/>
            </w:pPr>
            <w:r>
              <w:rPr/>
              <w:t>​</w:t>
            </w:r>
          </w:p>
        </w:tc>
        <w:tc>
          <w:tcPr>
            <w:tcW w:w="1672"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1162" w:type="dxa"/>
            <w:tcBorders/>
            <w:shd w:fill="CCEEFF" w:val="clear"/>
            <w:vAlign w:val="center"/>
          </w:tcPr>
          <w:p>
            <w:pPr>
              <w:pStyle w:val="TableContents"/>
              <w:bidi w:val="0"/>
              <w:spacing w:before="0" w:after="0"/>
              <w:ind w:left="0" w:right="0" w:hanging="0"/>
              <w:jc w:val="right"/>
              <w:rPr/>
            </w:pPr>
            <w:r>
              <w:rPr/>
              <w:t>​</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231" w:type="dxa"/>
            <w:tcBorders/>
            <w:vAlign w:val="center"/>
          </w:tcPr>
          <w:p>
            <w:pPr>
              <w:pStyle w:val="TableContents"/>
              <w:bidi w:val="0"/>
              <w:spacing w:before="0" w:after="0"/>
              <w:ind w:left="0" w:right="0" w:hanging="0"/>
              <w:jc w:val="right"/>
              <w:rPr/>
            </w:pPr>
            <w:r>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14,057,636</w:t>
            </w:r>
          </w:p>
        </w:tc>
        <w:tc>
          <w:tcPr>
            <w:tcW w:w="114" w:type="dxa"/>
            <w:tcBorders/>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right"/>
              <w:rPr/>
            </w:pPr>
            <w:r>
              <w:rPr/>
              <w:t>​</w:t>
            </w:r>
          </w:p>
        </w:tc>
        <w:tc>
          <w:tcPr>
            <w:tcW w:w="1672"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right"/>
              <w:rPr/>
            </w:pPr>
            <w:r>
              <w:rPr/>
              <w:t>​</w:t>
            </w:r>
          </w:p>
        </w:tc>
        <w:tc>
          <w:tcPr>
            <w:tcW w:w="249" w:type="dxa"/>
            <w:tcBorders/>
            <w:vAlign w:val="center"/>
          </w:tcPr>
          <w:p>
            <w:pPr>
              <w:pStyle w:val="TableContents"/>
              <w:bidi w:val="0"/>
              <w:spacing w:before="0" w:after="0"/>
              <w:ind w:left="0" w:right="0" w:hanging="0"/>
              <w:jc w:val="right"/>
              <w:rPr/>
            </w:pPr>
            <w:r>
              <w:rPr/>
              <w:t>​</w:t>
            </w:r>
          </w:p>
        </w:tc>
        <w:tc>
          <w:tcPr>
            <w:tcW w:w="1162" w:type="dxa"/>
            <w:tcBorders/>
            <w:vAlign w:val="center"/>
          </w:tcPr>
          <w:p>
            <w:pPr>
              <w:pStyle w:val="TableContents"/>
              <w:bidi w:val="0"/>
              <w:spacing w:before="0" w:after="0"/>
              <w:ind w:left="0" w:right="0" w:hanging="0"/>
              <w:jc w:val="right"/>
              <w:rPr/>
            </w:pPr>
            <w:r>
              <w:rPr/>
              <w:t>—</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issuable to Convertible Securities Notes</w:t>
            </w:r>
          </w:p>
        </w:tc>
        <w:tc>
          <w:tcPr>
            <w:tcW w:w="231" w:type="dxa"/>
            <w:tcBorders/>
            <w:shd w:fill="CCEEFF" w:val="clear"/>
            <w:vAlign w:val="center"/>
          </w:tcPr>
          <w:p>
            <w:pPr>
              <w:pStyle w:val="TableContents"/>
              <w:bidi w:val="0"/>
              <w:spacing w:before="0" w:after="0"/>
              <w:ind w:left="0" w:right="0" w:hanging="0"/>
              <w:jc w:val="right"/>
              <w:rPr/>
            </w:pPr>
            <w:r>
              <w:rPr/>
              <w:t>​</w:t>
            </w:r>
          </w:p>
        </w:tc>
        <w:tc>
          <w:tcPr>
            <w:tcW w:w="1140"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right"/>
              <w:rPr/>
            </w:pPr>
            <w:r>
              <w:rPr/>
              <w:t>​</w:t>
            </w:r>
          </w:p>
        </w:tc>
        <w:tc>
          <w:tcPr>
            <w:tcW w:w="1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4,896,978</w:t>
            </w:r>
          </w:p>
        </w:tc>
        <w:tc>
          <w:tcPr>
            <w:tcW w:w="114" w:type="dxa"/>
            <w:tcBorders/>
            <w:shd w:fill="CCEEFF" w:val="clear"/>
            <w:vAlign w:val="center"/>
          </w:tcPr>
          <w:p>
            <w:pPr>
              <w:pStyle w:val="TableContents"/>
              <w:bidi w:val="0"/>
              <w:spacing w:before="0" w:after="0"/>
              <w:ind w:left="0" w:right="0" w:hanging="0"/>
              <w:jc w:val="righ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1162" w:type="dxa"/>
            <w:tcBorders/>
            <w:shd w:fill="CCEEFF" w:val="clear"/>
            <w:vAlign w:val="center"/>
          </w:tcPr>
          <w:p>
            <w:pPr>
              <w:pStyle w:val="TableContents"/>
              <w:bidi w:val="0"/>
              <w:spacing w:before="0" w:after="0"/>
              <w:ind w:left="0" w:right="0" w:hanging="0"/>
              <w:jc w:val="right"/>
              <w:rPr/>
            </w:pPr>
            <w:r>
              <w:rPr/>
              <w:t>—</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Sponsor Earnout</w:t>
            </w:r>
          </w:p>
        </w:tc>
        <w:tc>
          <w:tcPr>
            <w:tcW w:w="231" w:type="dxa"/>
            <w:tcBorders/>
            <w:vAlign w:val="center"/>
          </w:tcPr>
          <w:p>
            <w:pPr>
              <w:pStyle w:val="TableContents"/>
              <w:bidi w:val="0"/>
              <w:spacing w:before="0" w:after="0"/>
              <w:ind w:left="0" w:right="0" w:hanging="0"/>
              <w:jc w:val="right"/>
              <w:rPr/>
            </w:pPr>
            <w:r>
              <w:rPr/>
              <w:t>​</w:t>
            </w:r>
          </w:p>
        </w:tc>
        <w:tc>
          <w:tcPr>
            <w:tcW w:w="1140"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right"/>
              <w:rPr/>
            </w:pPr>
            <w:r>
              <w:rPr/>
              <w:t>​</w:t>
            </w:r>
          </w:p>
        </w:tc>
        <w:tc>
          <w:tcPr>
            <w:tcW w:w="1672"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right"/>
              <w:rPr/>
            </w:pPr>
            <w:r>
              <w:rPr/>
              <w:t>​</w:t>
            </w:r>
          </w:p>
        </w:tc>
        <w:tc>
          <w:tcPr>
            <w:tcW w:w="249" w:type="dxa"/>
            <w:tcBorders/>
            <w:vAlign w:val="center"/>
          </w:tcPr>
          <w:p>
            <w:pPr>
              <w:pStyle w:val="TableContents"/>
              <w:bidi w:val="0"/>
              <w:spacing w:before="0" w:after="0"/>
              <w:ind w:left="0" w:right="0" w:hanging="0"/>
              <w:jc w:val="right"/>
              <w:rPr/>
            </w:pPr>
            <w:r>
              <w:rPr/>
              <w:t>​</w:t>
            </w:r>
          </w:p>
        </w:tc>
        <w:tc>
          <w:tcPr>
            <w:tcW w:w="11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1,147,500</w:t>
            </w:r>
          </w:p>
        </w:tc>
      </w:tr>
      <w:tr>
        <w:trPr/>
        <w:tc>
          <w:tcPr>
            <w:tcW w:w="51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right"/>
              <w:rPr/>
            </w:pPr>
            <w:r>
              <w:rPr/>
              <w:t>​</w:t>
            </w:r>
          </w:p>
        </w:tc>
        <w:tc>
          <w:tcPr>
            <w:tcW w:w="1140"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right"/>
              <w:rPr/>
            </w:pPr>
            <w:r>
              <w:rPr/>
              <w:t>​</w:t>
            </w:r>
          </w:p>
        </w:tc>
        <w:tc>
          <w:tcPr>
            <w:tcW w:w="1672"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0"/>
              <w:ind w:left="0" w:right="0" w:hanging="0"/>
              <w:jc w:val="righ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1162" w:type="dxa"/>
            <w:tcBorders/>
            <w:shd w:fill="CCEEFF" w:val="clear"/>
            <w:vAlign w:val="center"/>
          </w:tcPr>
          <w:p>
            <w:pPr>
              <w:pStyle w:val="TableContents"/>
              <w:bidi w:val="0"/>
              <w:spacing w:before="0" w:after="0"/>
              <w:ind w:left="0" w:right="0" w:hanging="0"/>
              <w:jc w:val="right"/>
              <w:rPr/>
            </w:pPr>
            <w:r>
              <w:rPr/>
              <w:t>​</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attributable to each class of participating securities – Basic</w:t>
            </w:r>
          </w:p>
        </w:tc>
        <w:tc>
          <w:tcPr>
            <w:tcW w:w="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114" w:type="dxa"/>
            <w:tcBorders/>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114" w:type="dxa"/>
            <w:tcBorders/>
            <w:vAlign w:val="center"/>
          </w:tcPr>
          <w:p>
            <w:pPr>
              <w:pStyle w:val="TableContents"/>
              <w:bidi w:val="0"/>
              <w:spacing w:before="0" w:after="0"/>
              <w:ind w:left="0" w:right="0" w:hanging="0"/>
              <w:jc w:val="right"/>
              <w:rPr/>
            </w:pPr>
            <w:r>
              <w:rPr/>
              <w:t>​</w:t>
            </w:r>
          </w:p>
        </w:tc>
        <w:tc>
          <w:tcPr>
            <w:tcW w:w="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62"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0.18</w:t>
            </w:r>
          </w:p>
        </w:tc>
      </w:tr>
    </w:tbl>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bookmarkStart w:id="1770" w:name="Tc_WH5eUipjJESky0Mb3etCqQ_6_0"/>
      <w:bookmarkStart w:id="1771" w:name="Tc_TGaL7gC2X0md9BRBYKarhQ_5_0"/>
      <w:bookmarkStart w:id="1772" w:name="Tc__ex0DwdPcE6lKw47dUf0eA_4_0"/>
      <w:bookmarkStart w:id="1773" w:name="Tc__4LRn_czRESHVMhNK8-xCg_3_0"/>
      <w:bookmarkStart w:id="1774" w:name="Tc_xL2mEELY0Uu-tofN8DrVOg_2_0"/>
      <w:bookmarkStart w:id="1775" w:name="Tc_DrQ_4fLrz0mBSDuXwl1F1g_1_2"/>
      <w:bookmarkStart w:id="1776" w:name="Tc_JKSZNWu5JkmeCso5a9v8AQ_13_2"/>
      <w:bookmarkStart w:id="1777" w:name="Tc_wvzpEQaE6kmMj4K2bYvYWw_13_0"/>
      <w:bookmarkStart w:id="1778" w:name="Tc_r6KJK1vAOEauL_XkLln9VA_11_0"/>
      <w:bookmarkStart w:id="1779" w:name="Tc_RVedzI-ia0OokLN1kKJtIw_10_0"/>
      <w:bookmarkStart w:id="1780" w:name="Tc_uR2WyCkB5EKZXq3tZPlTtQ_9_0"/>
      <w:bookmarkStart w:id="1781" w:name="Tc_P3qc7vqKM02YCz67y9zfpQ_8_0"/>
      <w:bookmarkStart w:id="1782" w:name="Tc_TDQSoI8O2kOs1Rz4PthHBw_6_2"/>
      <w:bookmarkStart w:id="1783" w:name="Tc_1hyTdVH1b0OvU2ZVmT1NPw_6_0"/>
      <w:bookmarkStart w:id="1784" w:name="Tc_jIN8hivOUki6JDmm-qXi3Q_5_0"/>
      <w:bookmarkStart w:id="1785" w:name="Tc_AUDbaXIu3Emk0jqMXmJyPg_4_2"/>
      <w:bookmarkStart w:id="1786" w:name="Tc_Fn6yXzJ85Ueq6cDmJkYbxQ_4_0"/>
      <w:bookmarkStart w:id="1787" w:name="Tc_Szul0J1-lku0ZumUOMR5wQ_3_0"/>
      <w:bookmarkStart w:id="1788" w:name="Tc_VJ3gkkUwLki_SiPmy7PMXg_1_3"/>
      <w:bookmarkStart w:id="1789" w:name="Tc_i5NNN29l30mABkttPNpzvA_1_0"/>
      <w:bookmarkStart w:id="1790" w:name="_6e3b4d98_ada9_4555_be0e_f0c1446c7578"/>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r>
        <w:rPr>
          <w:rFonts w:ascii="Times New Roman;Times;serif" w:hAnsi="Times New Roman;Times;serif"/>
          <w:sz w:val="20"/>
        </w:rPr>
        <w:t>The following table sets forth the computation of diluted earnings per share attributable to common stockholders for the periods presented (in thousands, except share and per share data):</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EPS:</w:t>
      </w:r>
    </w:p>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6485"/>
        <w:gridCol w:w="109"/>
        <w:gridCol w:w="211"/>
        <w:gridCol w:w="3400"/>
      </w:tblGrid>
      <w:tr>
        <w:trPr/>
        <w:tc>
          <w:tcPr>
            <w:tcW w:w="6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117975" cy="175260"/>
                      <wp:effectExtent l="0" t="0" r="0" b="0"/>
                      <wp:wrapNone/>
                      <wp:docPr id="229" name="Frame229"/>
                      <a:graphic xmlns:a="http://schemas.openxmlformats.org/drawingml/2006/main">
                        <a:graphicData uri="http://schemas.microsoft.com/office/word/2010/wordprocessingShape">
                          <wps:wsp>
                            <wps:cNvSpPr txBox="1"/>
                            <wps:spPr>
                              <a:xfrm>
                                <a:off x="0" y="0"/>
                                <a:ext cx="411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00" w:type="dxa"/>
            <w:tcBorders/>
            <w:vAlign w:val="center"/>
          </w:tcPr>
          <w:p>
            <w:pPr>
              <w:pStyle w:val="TableContents"/>
              <w:bidi w:val="0"/>
              <w:spacing w:before="0" w:after="0"/>
              <w:ind w:left="0" w:right="0" w:hanging="0"/>
              <w:jc w:val="left"/>
              <w:rPr/>
            </w:pPr>
            <w:r>
              <w:rPr/>
              <w:t>​</w:t>
            </w:r>
          </w:p>
        </w:tc>
      </w:tr>
      <w:tr>
        <w:trPr/>
        <w:tc>
          <w:tcPr>
            <w:tcW w:w="64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i/>
                <w:sz w:val="20"/>
              </w:rPr>
            </w:pPr>
            <w:r>
              <w:rPr>
                <w:rFonts w:ascii="Times New Roman;Times;serif" w:hAnsi="Times New Roman;Times;serif"/>
                <w:i/>
                <w:sz w:val="20"/>
              </w:rPr>
              <w:t>(amounts in thousands, except the per share information)</w:t>
            </w:r>
          </w:p>
        </w:tc>
        <w:tc>
          <w:tcPr>
            <w:tcW w:w="109"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31, 2024 to September 30, 2024 (Successor)</w:t>
            </w:r>
          </w:p>
        </w:tc>
      </w:tr>
      <w:tr>
        <w:trPr/>
        <w:tc>
          <w:tcPr>
            <w:tcW w:w="648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3400" w:type="dxa"/>
            <w:tcBorders/>
            <w:vAlign w:val="center"/>
          </w:tcPr>
          <w:p>
            <w:pPr>
              <w:pStyle w:val="TableContents"/>
              <w:bidi w:val="0"/>
              <w:spacing w:before="0" w:after="0"/>
              <w:ind w:left="0" w:right="0" w:hanging="0"/>
              <w:jc w:val="right"/>
              <w:rPr/>
            </w:pPr>
            <w:r>
              <w:rPr/>
              <w:t>​</w:t>
            </w:r>
          </w:p>
        </w:tc>
      </w:tr>
      <w:tr>
        <w:trPr/>
        <w:tc>
          <w:tcPr>
            <w:tcW w:w="6485"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Numerator:</w:t>
            </w:r>
          </w:p>
        </w:tc>
        <w:tc>
          <w:tcPr>
            <w:tcW w:w="109"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3400" w:type="dxa"/>
            <w:tcBorders/>
            <w:shd w:fill="CCEEFF" w:val="clear"/>
            <w:vAlign w:val="center"/>
          </w:tcPr>
          <w:p>
            <w:pPr>
              <w:pStyle w:val="TableContents"/>
              <w:bidi w:val="0"/>
              <w:spacing w:before="0" w:after="0"/>
              <w:ind w:left="0" w:right="0" w:hanging="0"/>
              <w:jc w:val="right"/>
              <w:rPr/>
            </w:pPr>
            <w:r>
              <w:rPr/>
              <w:t>​</w:t>
            </w:r>
          </w:p>
        </w:tc>
      </w:tr>
      <w:tr>
        <w:trPr/>
        <w:tc>
          <w:tcPr>
            <w:tcW w:w="64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income – Basic</w:t>
            </w:r>
          </w:p>
        </w:tc>
        <w:tc>
          <w:tcPr>
            <w:tcW w:w="109"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3,606</w:t>
            </w:r>
          </w:p>
        </w:tc>
      </w:tr>
      <w:tr>
        <w:trPr/>
        <w:tc>
          <w:tcPr>
            <w:tcW w:w="6485"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Less: Adjustment for fair value changes to convertible securities notes</w:t>
            </w:r>
          </w:p>
        </w:tc>
        <w:tc>
          <w:tcPr>
            <w:tcW w:w="109"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(3,255)</w:t>
            </w:r>
          </w:p>
        </w:tc>
      </w:tr>
      <w:tr>
        <w:trPr/>
        <w:tc>
          <w:tcPr>
            <w:tcW w:w="64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income attributable to common stockholders – Diluted</w:t>
            </w:r>
          </w:p>
        </w:tc>
        <w:tc>
          <w:tcPr>
            <w:tcW w:w="109"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6485" w:type="dxa"/>
            <w:tcBorders/>
            <w:shd w:fill="CCEEFF" w:val="clear"/>
            <w:vAlign w:val="center"/>
          </w:tcPr>
          <w:p>
            <w:pPr>
              <w:pStyle w:val="TableContents"/>
              <w:bidi w:val="0"/>
              <w:spacing w:before="0" w:after="0"/>
              <w:ind w:left="0" w:right="0" w:hanging="0"/>
              <w:jc w:val="both"/>
              <w:rPr/>
            </w:pPr>
            <w:r>
              <w:rPr/>
              <w:t>​</w:t>
            </w:r>
          </w:p>
        </w:tc>
        <w:tc>
          <w:tcPr>
            <w:tcW w:w="109"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3400" w:type="dxa"/>
            <w:tcBorders/>
            <w:shd w:fill="CCEEFF" w:val="clear"/>
            <w:vAlign w:val="center"/>
          </w:tcPr>
          <w:p>
            <w:pPr>
              <w:pStyle w:val="TableContents"/>
              <w:bidi w:val="0"/>
              <w:spacing w:before="0" w:after="0"/>
              <w:ind w:left="0" w:right="0" w:hanging="0"/>
              <w:jc w:val="right"/>
              <w:rPr/>
            </w:pPr>
            <w:r>
              <w:rPr/>
              <w:t>​</w:t>
            </w:r>
          </w:p>
        </w:tc>
      </w:tr>
      <w:tr>
        <w:trPr/>
        <w:tc>
          <w:tcPr>
            <w:tcW w:w="64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Denominator:</w:t>
            </w:r>
          </w:p>
        </w:tc>
        <w:tc>
          <w:tcPr>
            <w:tcW w:w="109"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center"/>
              <w:rPr/>
            </w:pPr>
            <w:r>
              <w:rPr/>
              <w:t>​</w:t>
            </w:r>
          </w:p>
        </w:tc>
        <w:tc>
          <w:tcPr>
            <w:tcW w:w="3400" w:type="dxa"/>
            <w:tcBorders/>
            <w:vAlign w:val="center"/>
          </w:tcPr>
          <w:p>
            <w:pPr>
              <w:pStyle w:val="TableContents"/>
              <w:bidi w:val="0"/>
              <w:spacing w:before="0" w:after="0"/>
              <w:ind w:left="0" w:right="0" w:hanging="0"/>
              <w:jc w:val="right"/>
              <w:rPr/>
            </w:pPr>
            <w:r>
              <w:rPr/>
              <w:t>​</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34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14,057,636</w:t>
            </w:r>
          </w:p>
        </w:tc>
      </w:tr>
      <w:tr>
        <w:trPr/>
        <w:tc>
          <w:tcPr>
            <w:tcW w:w="64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effect of shares issuable to Convertible Securities Notes (if-converted method)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34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2,000,000</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34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16,057,636</w:t>
            </w:r>
          </w:p>
        </w:tc>
      </w:tr>
      <w:tr>
        <w:trPr/>
        <w:tc>
          <w:tcPr>
            <w:tcW w:w="64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3400" w:type="dxa"/>
            <w:tcBorders/>
            <w:vAlign w:val="center"/>
          </w:tcPr>
          <w:p>
            <w:pPr>
              <w:pStyle w:val="TableContents"/>
              <w:bidi w:val="0"/>
              <w:spacing w:before="0" w:after="0"/>
              <w:ind w:left="0" w:right="0" w:hanging="0"/>
              <w:jc w:val="right"/>
              <w:rPr/>
            </w:pPr>
            <w:r>
              <w:rPr/>
              <w:t>​</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share attributable to common shares – Diluted (if-converted method)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00" w:type="dxa"/>
            <w:tcBorders>
              <w:bottom w:val="single" w:sz="2"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0.02</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firstLine="360"/>
        <w:jc w:val="both"/>
        <w:rPr>
          <w:shd w:fill="FFFF00" w:val="clear"/>
        </w:rPr>
      </w:pPr>
      <w:r>
        <w:rPr>
          <w:shd w:fill="FFFF00" w:val="clea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potentially dilutive securities were excluded from the computation of diluted net loss per share calculations for the periods presented because the impact of including them would be anti-dilutive:</w:t>
      </w:r>
    </w:p>
    <w:p>
      <w:pPr>
        <w:pStyle w:val="TextBody"/>
        <w:bidi w:val="0"/>
        <w:spacing w:before="0" w:after="0"/>
        <w:ind w:left="0" w:right="0" w:firstLine="360"/>
        <w:jc w:val="both"/>
        <w:rPr/>
      </w:pPr>
      <w:r>
        <w:rPr/>
        <w:t>​</w:t>
      </w:r>
    </w:p>
    <w:tbl>
      <w:tblPr>
        <w:tblW w:w="8406" w:type="dxa"/>
        <w:jc w:val="left"/>
        <w:tblInd w:w="0" w:type="dxa"/>
        <w:tblLayout w:type="fixed"/>
        <w:tblCellMar>
          <w:top w:w="0" w:type="dxa"/>
          <w:left w:w="0" w:type="dxa"/>
          <w:bottom w:w="0" w:type="dxa"/>
          <w:right w:w="0" w:type="dxa"/>
        </w:tblCellMar>
      </w:tblPr>
      <w:tblGrid>
        <w:gridCol w:w="5566"/>
        <w:gridCol w:w="109"/>
        <w:gridCol w:w="2731"/>
      </w:tblGrid>
      <w:tr>
        <w:trPr/>
        <w:tc>
          <w:tcPr>
            <w:tcW w:w="55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31" w:type="dxa"/>
            <w:tcBorders/>
            <w:vAlign w:val="center"/>
          </w:tcPr>
          <w:p>
            <w:pPr>
              <w:pStyle w:val="TableContents"/>
              <w:bidi w:val="0"/>
              <w:spacing w:before="0" w:after="0"/>
              <w:ind w:left="0" w:right="0" w:hanging="0"/>
              <w:jc w:val="left"/>
              <w:rPr/>
            </w:pPr>
            <w:r>
              <w:rPr/>
              <w:t>​</w:t>
            </w:r>
          </w:p>
        </w:tc>
      </w:tr>
      <w:tr>
        <w:trPr/>
        <w:tc>
          <w:tcPr>
            <w:tcW w:w="5566"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center"/>
              <w:rPr/>
            </w:pPr>
            <w:r>
              <w:rPr/>
              <w:t>​</w:t>
            </w:r>
          </w:p>
        </w:tc>
        <w:tc>
          <w:tcPr>
            <w:tcW w:w="273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2024 (Successor)</w:t>
            </w:r>
          </w:p>
        </w:tc>
      </w:tr>
      <w:tr>
        <w:trPr/>
        <w:tc>
          <w:tcPr>
            <w:tcW w:w="55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 Warrants</w:t>
            </w:r>
          </w:p>
        </w:tc>
        <w:tc>
          <w:tcPr>
            <w:tcW w:w="109" w:type="dxa"/>
            <w:tcBorders/>
            <w:shd w:fill="CCEEFF" w:val="clear"/>
            <w:vAlign w:val="center"/>
          </w:tcPr>
          <w:p>
            <w:pPr>
              <w:pStyle w:val="TableContents"/>
              <w:bidi w:val="0"/>
              <w:spacing w:before="0" w:after="0"/>
              <w:ind w:left="0" w:right="0" w:hanging="0"/>
              <w:jc w:val="center"/>
              <w:rPr/>
            </w:pPr>
            <w:r>
              <w:rPr/>
              <w:t>​</w:t>
            </w:r>
          </w:p>
        </w:tc>
        <w:tc>
          <w:tcPr>
            <w:tcW w:w="2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7,528,727</w:t>
            </w:r>
          </w:p>
        </w:tc>
      </w:tr>
      <w:tr>
        <w:trPr/>
        <w:tc>
          <w:tcPr>
            <w:tcW w:w="55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 Warrants</w:t>
            </w:r>
          </w:p>
        </w:tc>
        <w:tc>
          <w:tcPr>
            <w:tcW w:w="109" w:type="dxa"/>
            <w:tcBorders/>
            <w:vAlign w:val="center"/>
          </w:tcPr>
          <w:p>
            <w:pPr>
              <w:pStyle w:val="TableContents"/>
              <w:bidi w:val="0"/>
              <w:spacing w:before="0" w:after="0"/>
              <w:ind w:left="0" w:right="0" w:hanging="0"/>
              <w:jc w:val="center"/>
              <w:rPr/>
            </w:pPr>
            <w:r>
              <w:rPr/>
              <w:t>​</w:t>
            </w:r>
          </w:p>
        </w:tc>
        <w:tc>
          <w:tcPr>
            <w:tcW w:w="2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r>
      <w:tr>
        <w:trPr/>
        <w:tc>
          <w:tcPr>
            <w:tcW w:w="556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Earn-out Shares, subject to vesting conditions</w:t>
            </w:r>
          </w:p>
        </w:tc>
        <w:tc>
          <w:tcPr>
            <w:tcW w:w="109" w:type="dxa"/>
            <w:tcBorders/>
            <w:shd w:fill="CCEEFF" w:val="clear"/>
            <w:vAlign w:val="center"/>
          </w:tcPr>
          <w:p>
            <w:pPr>
              <w:pStyle w:val="TableContents"/>
              <w:bidi w:val="0"/>
              <w:spacing w:before="0" w:after="0"/>
              <w:ind w:left="0" w:right="0" w:hanging="0"/>
              <w:jc w:val="center"/>
              <w:rPr/>
            </w:pPr>
            <w:r>
              <w:rPr/>
              <w:t>​</w:t>
            </w:r>
          </w:p>
        </w:tc>
        <w:tc>
          <w:tcPr>
            <w:tcW w:w="2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1,147,500</w:t>
            </w:r>
          </w:p>
        </w:tc>
      </w:tr>
      <w:tr>
        <w:trPr/>
        <w:tc>
          <w:tcPr>
            <w:tcW w:w="55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Stock options issued in connection with the Business Combination</w:t>
            </w:r>
          </w:p>
        </w:tc>
        <w:tc>
          <w:tcPr>
            <w:tcW w:w="109" w:type="dxa"/>
            <w:tcBorders/>
            <w:vAlign w:val="center"/>
          </w:tcPr>
          <w:p>
            <w:pPr>
              <w:pStyle w:val="TableContents"/>
              <w:bidi w:val="0"/>
              <w:spacing w:before="0" w:after="0"/>
              <w:ind w:left="0" w:right="0" w:hanging="0"/>
              <w:jc w:val="center"/>
              <w:rPr/>
            </w:pPr>
            <w:r>
              <w:rPr/>
              <w:t>​</w:t>
            </w:r>
          </w:p>
        </w:tc>
        <w:tc>
          <w:tcPr>
            <w:tcW w:w="2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7,587</w:t>
            </w:r>
          </w:p>
        </w:tc>
      </w:tr>
      <w:tr>
        <w:trPr/>
        <w:tc>
          <w:tcPr>
            <w:tcW w:w="5566"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potentially dilutive securities</w:t>
            </w:r>
          </w:p>
        </w:tc>
        <w:tc>
          <w:tcPr>
            <w:tcW w:w="109" w:type="dxa"/>
            <w:tcBorders/>
            <w:shd w:fill="CCEEFF" w:val="clear"/>
            <w:vAlign w:val="center"/>
          </w:tcPr>
          <w:p>
            <w:pPr>
              <w:pStyle w:val="TableContents"/>
              <w:bidi w:val="0"/>
              <w:spacing w:before="0" w:after="0"/>
              <w:ind w:left="0" w:right="0" w:hanging="0"/>
              <w:jc w:val="both"/>
              <w:rPr/>
            </w:pPr>
            <w:r>
              <w:rPr/>
              <w:t>​</w:t>
            </w:r>
          </w:p>
        </w:tc>
        <w:tc>
          <w:tcPr>
            <w:tcW w:w="273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10,183,814</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16 - Income Taxes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accounts for income taxes in accordance with ASC 740. Under the provisions of ASC 740, management is required to evaluate whether a valuation allowance should be established against its deferred tax assets. The Company currently has a full valuation allowance against our deferred tax assets. As of each reporting date, the Company’s management considers new evidence, both positive and negative, that could impact management’s view with regard to future realization of deferred tax assets. For the periods from January 1, 2024 to July 30, 2024 (Predecessor) and July 31, 2024 to September 30, 2024 (Successor), there was no material change from fiscal year ended December 31, 2023 (Predecessor) in the amount of the Company's deferred tax assets that are not considered to be more likely than not to be realized in future 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periods from January 1, 2024 to July 30, 2024 (Predecessor) and July 31, 2024 to September 30, 2024 (Successor), the effective tax rate for the Company’s operations was 0.0%. The effective tax rate differed from the U.S. federal statutory rate primarily due to state income taxes, losses from the German subsidiary that is subject to different effective tax rates, stock-based compensation, fair value adjustments for convertible notes and warrant liabilities, and a change in the valuation allowance that offset the tax benefit on the current period pre-tax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nine months ended September 30, 2023 (Predecessor), the effective tax rate for the Company’s operations was 0.0%.The effective tax rate differed from the U.S. federal statutory rate primarily due to state income taxes, losses from the German subsidiary that is subject to different effective tax rates, stock-based compensation and a change in the valuation allowance that offset the tax benefit on the current period pre-tax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is subject to U.S. federal income tax as well as income tax of foreign and state tax jurisdictions. The tax years 2019-2023 remain open to examination by the major taxing jurisdictions to which the Company is subject, except the Internal Revenue Service for which the tax years 2020-2023 remain open.</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17 - Related Party Transactions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Shared Services Agreement</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periods from January 1, 2024 to July 30, 2024 (Predecessor), from July 31, 2024 to September 30, 2024 (Successor), from July 1, 2024 to July 30, 2024 (Predecessor), and the three and nine months ended September 30, 2023 (Predecessor), the Company incurred $0.9 million, $0.2 million, $0.1 million, $0.4 million and $1.0 million, respectively, for finance and accounting services and other general and administrative support services (“Shared Services Agreement”) to Fjord Ventures (“Fjord”), a company owned and operated by the Company’s CEO. The transactions are recorded as selling, general and administrative expenses on the condensed consolidated statements of operations and comprehensive income (loss).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Laguna Hills Sublease (Predecessor)</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to the Shared Services Agreement, Legacy Adagio also sub-leases approximately 4,992 square feet of office and manufacturing space in Laguna Hills, California from Fjord. On March 31, 2024, the sub-lease with Fjord is expired.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the periods from January 1, 2024 to July 30, 2024 (Predecessor), and the three and nine months ended September 30, 2023, Legacy Adagio incurred $25.5 thousand, $25.5 thousand, $76.4 thousand of lease expense, respectively, under the sub-lease agreement. </w:t>
      </w:r>
    </w:p>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Refer to </w:t>
      </w:r>
      <w:r>
        <w:rPr>
          <w:rFonts w:ascii="Times New Roman;Times;serif" w:hAnsi="Times New Roman;Times;serif"/>
          <w:i/>
          <w:sz w:val="20"/>
        </w:rPr>
        <w:t>Note 11-Operating Leases</w:t>
      </w:r>
      <w:r>
        <w:rPr>
          <w:rFonts w:ascii="Times New Roman;Times;serif" w:hAnsi="Times New Roman;Times;serif"/>
          <w:sz w:val="20"/>
        </w:rPr>
        <w:t xml:space="preserve"> for further detail.</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October 2022 Convertible Notes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October 27, 2022, Legacy Adagio issued a $0.5 million convertible promissory note to Fjordinvest, LLC (“Fjordinvest”), a company owned and operated by the Legacy Adagio’s CEO. On April 4, 2023, November 28, 2023 and February 13, 2024, the October 2022 Convertible Notes were amended. Refer to </w:t>
      </w:r>
      <w:r>
        <w:rPr>
          <w:rFonts w:ascii="Times New Roman;Times;serif" w:hAnsi="Times New Roman;Times;serif"/>
          <w:i/>
          <w:sz w:val="20"/>
        </w:rPr>
        <w:t>Note 9-Debt</w:t>
      </w:r>
      <w:r>
        <w:rPr>
          <w:rFonts w:ascii="Times New Roman;Times;serif" w:hAnsi="Times New Roman;Times;serif"/>
          <w:sz w:val="20"/>
        </w:rPr>
        <w:t xml:space="preserve"> for additional information regarding the October 2022 Convertible Notes.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Securities Notes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Business Combination and the Convertible Securities Notes agreement, the Company issued a $7.0 million Convertible Securities Notes to Perceptive PIPE Investor, the controlling party of the Company, in exchange for Perceptive PIPE Investor’s investment in Legacy Adagio in the form of the February 2024 Convertible Notes. Refer to </w:t>
      </w:r>
      <w:r>
        <w:rPr>
          <w:rFonts w:ascii="Times New Roman;Times;serif" w:hAnsi="Times New Roman;Times;serif"/>
          <w:i/>
          <w:sz w:val="20"/>
        </w:rPr>
        <w:t xml:space="preserve">Note 9-Debt </w:t>
      </w:r>
      <w:r>
        <w:rPr>
          <w:rFonts w:ascii="Times New Roman;Times;serif" w:hAnsi="Times New Roman;Times;serif"/>
          <w:sz w:val="20"/>
        </w:rPr>
        <w:t>for additional information regarding the Convertible Securities Notes.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PIPE Financing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Business Combination and the PIPE Financing, the Company issued 4,372,607 shares of the Company’s Common Stock and 3,540,000 Base Warrants to Perceptive PIPE Investor, the controlling party of the Company, in exchange for Perceptive PIPE Investor’s investment in Legacy Adagio in the form of Bridge Financing Notes. Refer to </w:t>
      </w:r>
      <w:r>
        <w:rPr>
          <w:rFonts w:ascii="Times New Roman;Times;serif" w:hAnsi="Times New Roman;Times;serif"/>
          <w:i/>
          <w:sz w:val="20"/>
        </w:rPr>
        <w:t>Note 9- Debt</w:t>
      </w:r>
      <w:r>
        <w:rPr>
          <w:rFonts w:ascii="Times New Roman;Times;serif" w:hAnsi="Times New Roman;Times;serif"/>
          <w:sz w:val="20"/>
        </w:rPr>
        <w:t xml:space="preserve"> for additional information regarding the Convertible Securities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Further, in connection with the PIPE Financing, the Company issued 2,250,352 shares of the Company’s Common Stock and 1,905,069 Base Warrants to Perceptive PIPE Investor, the controlling party of the Company, in exchange for Perceptive PIPE Investor’s additional cash investment of approximately $15.9 million in the Company.</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18 - Subsequent Events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evaluates subsequent events and transactions that occurred after the condensed consolidated balance sheet date through the date that the financial statements were issued. During this period, the Company did not identify any subsequent events that would have required adjustment in the condensed consolidated financial statements.</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791" w:name="Item2ManagementsDiscussionandAnalysis_12"/>
      <w:bookmarkStart w:id="1792" w:name="_c8a8a7e1_1a30_48e2_bfb6_6e61add47a22"/>
      <w:bookmarkEnd w:id="1791"/>
      <w:bookmarkEnd w:id="1792"/>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References in this Item 2 to “we,” “us,” “ListCo” or the “Company” refer to Adagio Medical Holdings, Inc. and its consolidated subsidiaries at and after the consummation of the Business Combination (as defined below). References to our “management” or our “management team” refer to our officers and directors. The following discussion and analysis of the Company’s financial condition and results of operations should be read in conjunction with the unaudited financial statements and the notes thereto contained elsewhere in this Quarterly Report. Certain information contained in the discussion and analysis set forth below includes forward-looking statements that involve risks and uncertainties.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the statements contained in this Quarterly Report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forward-looking statements contained in this Quarterly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(some of which are beyond our control) or other factors: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recognize the anticipated benefits of the Business Combination, which may be affected by, among other things, competition and our ability to grow and manage growth profitably and retain our key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operating history and no revenues, and you have no basis on which to evaluate our ability to achieve our business objective;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medical device company that has incurred net losses in every period to date and expects to continue to incur significant losses as it develops its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growth prospects partially depend on its ability to accelerate the commercialization of its products and to capitalize on market opportunities;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growth prospects partially depend on its ability to accelerate the commercialization of its products and to capitalize on market opportunities;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Company is able to launch its pipeline portfolio successfully, it may experience material delays in its commercialization program relative to its current expectations;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life sciences technology market is highly competitive. Competitors include new entrants and established companies, many of which have significantly greater resources than the Company. If the Company fails to compete effectively, its business and results of operation and ours will suffer;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establish manufacturing capacity by itself or with third-party partners in a timely and cost-effective manner, commercialization of its products would be delayed, which would result in lost revenue and harm its and our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commercialization of the Company’s products will require the Company to establish relationships and successfully collaborate with leading life science companies and research institutions;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establish an effective network for commercialization, including effective distribution channels and sales and marketing functions, it may adversely affect its and our business, financial condition, results of operations, and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operating results may fluctuate significantly in the future, which makes its and our future operating results difficult to predict and could cause its and our operating results to fall below expectations or any guidance the Company and/or we may provide;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be able to execute on its business model, including achieving market acceptance of its products;</w:t>
            </w:r>
          </w:p>
        </w:tc>
      </w:tr>
    </w:tbl>
    <w:tbl>
      <w:tblPr>
        <w:tblW w:w="9951" w:type="dxa"/>
        <w:jc w:val="left"/>
        <w:tblInd w:w="0" w:type="dxa"/>
        <w:tblLayout w:type="fixed"/>
        <w:tblCellMar>
          <w:top w:w="28" w:type="dxa"/>
          <w:left w:w="28" w:type="dxa"/>
          <w:bottom w:w="28" w:type="dxa"/>
          <w:right w:w="28" w:type="dxa"/>
        </w:tblCellMar>
      </w:tblPr>
      <w:tblGrid>
        <w:gridCol w:w="124"/>
        <w:gridCol w:w="256"/>
        <w:gridCol w:w="9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the Company’s products depends upon appropriate physician training, practice and patient selection;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Company’s products are commercialized and achieve broad scientific and market acceptance, if the Company fails to improve them or introduce compelling new products, its revenue and its prospects, and our revenue and our prospects, could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the markets for the Company’s products may be smaller than estimated, limiting the Company’s ability to successfully sell its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any third-party suppliers and manufacturers, or any difficulties encountered by these suppliers and manufacturers in the production of the Company’s products;</w:t>
            </w:r>
          </w:p>
        </w:tc>
      </w:tr>
    </w:tbl>
    <w:tbl>
      <w:tblPr>
        <w:tblW w:w="5556" w:type="dxa"/>
        <w:jc w:val="left"/>
        <w:tblInd w:w="0" w:type="dxa"/>
        <w:tblLayout w:type="fixed"/>
        <w:tblCellMar>
          <w:top w:w="28" w:type="dxa"/>
          <w:left w:w="28" w:type="dxa"/>
          <w:bottom w:w="28" w:type="dxa"/>
          <w:right w:w="28" w:type="dxa"/>
        </w:tblCellMar>
      </w:tblPr>
      <w:tblGrid>
        <w:gridCol w:w="124"/>
        <w:gridCol w:w="256"/>
        <w:gridCol w:w="5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protect against software or hardware vulnerabilities;</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raise additional capital to develop the business development and commercialization plans;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unfavorable U.S. or global economic conditions as a result of political instability, natural disasters, or otherwise;</w:t>
            </w:r>
          </w:p>
        </w:tc>
      </w:tr>
    </w:tbl>
    <w:tbl>
      <w:tblPr>
        <w:tblW w:w="6561" w:type="dxa"/>
        <w:jc w:val="left"/>
        <w:tblInd w:w="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one or more of our executive officers and other key employees;</w:t>
            </w:r>
          </w:p>
        </w:tc>
      </w:tr>
    </w:tbl>
    <w:tbl>
      <w:tblPr>
        <w:tblW w:w="4281" w:type="dxa"/>
        <w:jc w:val="left"/>
        <w:tblInd w:w="0" w:type="dxa"/>
        <w:tblLayout w:type="fixed"/>
        <w:tblCellMar>
          <w:top w:w="28" w:type="dxa"/>
          <w:left w:w="28" w:type="dxa"/>
          <w:bottom w:w="28" w:type="dxa"/>
          <w:right w:w="28" w:type="dxa"/>
        </w:tblCellMar>
      </w:tblPr>
      <w:tblGrid>
        <w:gridCol w:w="124"/>
        <w:gridCol w:w="256"/>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hire and retain qualified employees;</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federal state and local laws and regulations;</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Inability to maintain the listing of our Common Stock on the Nasdaq Capital Market;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risks and uncertainties discussed herein and in our filings with the U.S. Securities and Exchange Commission (the “SEC”), including the Company's Current Report on Form 8-K filed with the SEC on August 6, 2024.</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hanging="0"/>
        <w:jc w:val="left"/>
        <w:rPr/>
      </w:pPr>
      <w:r>
        <w:rPr/>
        <w:t>​</w:t>
      </w:r>
    </w:p>
    <w:p>
      <w:pPr>
        <w:pStyle w:val="TextBody"/>
        <w:bidi w:val="0"/>
        <w:spacing w:before="0" w:after="0"/>
        <w:ind w:left="0" w:right="0" w:firstLine="36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The following discussion and analysis of financial condition and results of operations should be read together with the condensed consolidated financial statements and the related notes and other financial information included elsewhere in this Report.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“Risk Factors” in this report. Unless the context otherwise requires, references in this section of the prospectus to “we,” “us,” “Adagio,” and “the Company” refer to the business and operations of Adagio Medical Holdings, Inc and its consolidated subsidiaries following the consummation of the Business Combination. References to “Legacy Adagio” refer to the business and operation of Adagio Medical, Inc. and its consolidated subsidiaries prior to the Closing. “ListCo” refers to Aja HoldCo, Inc., a Delaware corporation, prior to the Closing. ListCo changed its name to "Adagio Medical Holdings, Inc. after the Closing. References to our “management” or our “management team” refer to our officers and directors.</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 xml:space="preserve">On July 26, 2024, ARYA Sciences Acquisition Corp IV (“ARYA”) held its annual general meeting at which the ARYA shareholders considered and adopted, among other matters, the Business Combination Agreement. On July 31, 2024, the parties to the Business Combination Agreement consummated the Business Combination.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ListCo was deemed the accounting acquirer in the Business Combination based on an analysis of the criteria outlined in Accounting Standards Codification 805, Business Combinations. Legacy Adagio is the accounting acquiree and predecessor based on an analysis of the criteria outlined in the Accounting Standards Codification 805, Business Combinations. Accordingly, the historical financial statements of Legacy Adagio became the historical financial statements of the combined company upon the consummation of the Business Combination. As a result, the financial statements included in this report reflect (i) the historical operating results of Legacy Adagio prior to the Closing; and (ii) the combined results of the Company following the Closing. The accompanying financial information includes a predecessor period, which includes the periods through July 30, 2024 concurrent with the Business Combination, and the successor period from July 31, 2024 through September 30, 2024. A black-line between the Successor and Predecessor periods has been placed in the condensed consolidated financial statements and in the tables to the notes to the statements to highlight the lack of comparability between these two periods and differentiate the cut-off of these periods.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Overview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 developmental stage medical device company focused on the development and commercialization of ablation technologies for the treatment of cardiac arrhythmias, including atrial fibrillation (“AF”), atrial flutter (“AFL”), and ventricular tachycardia (“VT”). Our unique portfolio is based on Ultra-Low Temperature Cryoablation (“ULTC”) and Pulsed-Field Cryoablation (“PFCA”). Our technology is based on the hypothesis that the ability to consistently create durable, contiguous, transmural lesions is a foundation for improving the effectiveness and outcomes of cardiac ablations in both atria and ventricles.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product portfolio consists of three product families: iCLAS™ atrial ULTC catheter and accessories, vCLAS™ ventricular ULTC catheter, and Cryopulse™ atrial PFCA catheter and accessories. All of these catheters share the same ULTC cryoablation console. A standalone Pulsed-Field Ablation (PFA) console connected to a cryoablation console for PFCA treatment synchronization is used in conjunction with Cryopulse catheter, subject to future integration for maximum operational flexibility and minimum footprint. We received CE Marking in Europe for our iCLAS™ Cryoablation System in May 2020 and have commercially launched in the EU.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continually working towards reaching the next milestone in the development process for our portfolio of technologies. We received CE Marking in Europe for our VT Cryoablation System in March 2024 and have commercially launched in the EU. Key milestones include data readouts, clinical trials, and regulatory and commercialization developments in both the U.S. and European markets. The data readouts for each device are key valuation-driving milestones because investors use this data to understand the efficacy of the procedures. It is expected that favorable readouts will drive additional investment and financing for us at market terms.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have not launched commercially in the U.S. but are working towards obtaining the necessary regulatory approvals to do so. We have incurred net losses in each year since our inception in 2011. As of September 30, 2024 and December 31, 2023, we had an accumulated deficit of $13.2 million and $133.6 million, respectively. Our net income (loss) was $3.6 million for the period from July 31, 2024 to September 30, 2024 (Successor), $(21.3) million for the period from January 1, 2024 to July 30, 2024 (Predecessor), and $(28.0) million for the nine months ended September 30, 2023 (Predecessor), respectively. The net cash used in operating activities was $6.4 million, $16.0 million, and $18.6 million, respectively. Substantially all of our net losses resulted from costs incurred in connection with our research and development programs and from general and administrative costs associated with our operations. As of September 30, 2024 and December 31, 2023, we had cash of $28.3 million and $1.4 million, respectively.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accompanying condensed consolidated financial statements have been prepared on a basis that assumes we will continue as a going concern, which contemplate the realization of assets and liabilities in the normal course of business. We have limited revenue and has experienced recurring operating losses and negative cash flows from operations since its inception and anticipates that it will continue to do so for at least the next several years. These factors raise substantial doubt about the ability to continue as a going concern for the twelve-month period from the date the financial statements were made available. Additionally, management believes our current cash and cash equivalents are not sufficient to fund operations for at least the next 12 months from the issuance date of the condensed consolidated financial statements and therefore there is substantial doubt about our ability to continue as a going concern. See Note 1-Organization and Description of Business in our condensed consolidated financial statements for additional information on the going concern assessment. </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need for additional capital will depend in part on the scope and costs of our development activities. To date, we have not generated any significant revenue from the sale of commercialized products. Our ability to generate product revenue will depend on the successful development and eventual commercialization of our products in the United States and Europe. Until such time, if ever, we expect to finance our operations through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the section of the Company's Current Report on Form 8-K filed with the SEC on August 6, 2024 titled “Risk Factors” for additional information.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Description of the Merger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or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becomes effective being referred to as the “ARYA Merger Effective Time,” the time that the Adagio Merger becomes effective being referred to as the “Adagio Merger Effective Time,” the time after which both Mergers become effective being referred to as the “Closing,” and the date on which the Closing occurs being referred to as the “Closing Date”), (ii) ListCo filed with the Secretary of State of the State of Delaware an amended and restated certificate of incorporation of ListCo, and the board of directors of ListCo approved and adopt amended and restated bylaws of ListCo, and (iii) ListCo changed its name to Adagio Medical Holdings, Inc.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Prior to the annual general meeting, holders of 2,707,555 shares of ARYA’s redeemable Class A ordinary shares exercised their right to redeem such shares for cash at a redemption price of approximately $11.56 per share, for an aggregate redemption amount of approximately $31.3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Each issued and outstanding Class A ordinary share of ARYA, par value $0.0001 per share, were automatically cancelled, extinguished and converted into one share of common stock, par value $0.0001 per share, of the Company (“Company’s Common Stock”). </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issued and outstanding Class B ordinary share of ARYA, par value $0.0001 per share, are automatically cancelled, extinguished and converted into the right to receive one share of the Company’s Common Stock, other than (i) 1,000,000 Class B ordinary shares that are forfeited by the Sponsor, and issued to the PIPE Investors (as defined below), including the Perceptive PIPE Investor (as defined below); (ii) 1,147,500 shares of the Company’s Common Stock issuable to the Sponsor are subject to share trigger price vesting and will vest if, prior to the tenth anniversary of the Closing, the post-closing share price of the Company equals or exceeds $24.00 per share for any 20 trading days within any 30 trading day period (the “Share Trigger Price Vesting”).</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warrant of Legacy Adagio (other than the Series E Pre-funded Warrants) was terminated in accordance with the terms of the applicable warrant agreement.</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All issued and outstanding convertible promissory notes of Legacy Adagio (excluding the Bridge Financing Notes and the 2024 Bridge Financing Notes, as defined below), including any accrued and unpaid interest thereon, are automatically and fully converted into shares of Legacy Adagio common stock in accordance with the terms of such convertible promissory notes, and such convertible promissory notes are cancelled, satisfied, extinguished, discharged and retired in connection with such conversion.</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Each share of Legacy Adagio preferred stock, par value $0.001 per share, that is issued and outstanding are automatically converted into shares of Legacy Adagio common stock on a one-to-one basis.</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All issued and outstanding shares of Legacy Adagio common stock including Series E Pre-funded Warrants that had been issued and outstanding are automatically cancelled and extinguished and converted into shares of the Company’s Common Stock based on the exchange ratio set forth in the Business Combination Agreement.</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Each issued, outstanding and unexercised option to purchase Legacy Adagio common stock (“Legacy Adagio Option”) had been vested prior to the Closing with an aggregate value that exceeds the aggregate exercise price of such Legacy Adagio Option (each an “In-the-Money Adagio Options”) are cancelled and extinguished in exchange for options to purchase shares of the Company’s Common Stock, and each issued and outstanding Legacy Adagio equity award (other than an In-the-Money Adagio Options) are automatically cancelled and extinguished for no consideration, and each holder thereof will cease to have any rights with respect thereto.</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$7.0 million of 2024 Bridge Financing Notes is converted into Convertible Securities Notes and Convert Warrants (as defined below).</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subscription agreements, the PIPE Investors have committed financing valued at $64.5 million (the “PIPE Financing”).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PIPE Financing included:</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the Company’s Common Stock (the “Base Warrants”).</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Commitments by certain Other PIPE Investors that were shareholders of ARYA to not to redeem 247,700 Class A shares of ARYA, resulting in the issuance of 405,772 shares of Company’s Common Stock and 343,756 Base Warrants.</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Agreements to purchase 1,036,666 shares of Company’s Common Stock, 1,440,000 Base Warrants, and 670,000 PIPE Pre-funded Warrants for a cash investment of $12 million in the Company.</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Contribution of total $29.5 million in April 2023 Convertible Notes, November 2023 Convertible Notes, May 2024 Convertible Notes, June 2024 Convertible Notes, and July 2024 convertible Notes (collectively, “Bridge Financing Notes”), and accrued interest of $1.7 million by the Perceptive PIPE Investor.</w:t>
      </w:r>
    </w:p>
    <w:p>
      <w:pPr>
        <w:pStyle w:val="TextBody"/>
        <w:bidi w:val="0"/>
        <w:spacing w:before="0" w:after="0"/>
        <w:ind w:left="0" w:right="0" w:firstLine="36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An additional cash investment of $15.9 million by the Perceptive PIPE Investor.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return for the investment specified in (iv) and (v) above, the Perceptive PIPE Investor received 6,622,959 shares of Company’s Common Stock and 5,445,069 Base Warrants.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Further, 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will be convertible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2024 Bridge Financing Notes into Convertible Securities Notes and Convert Warrants at Closing, as further described in Note 9-Debt in our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Factors Affecting Our Performance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compete primarily on the basis that our products are designed to enable more physicians to treat more patients more efficiently and effectively. Our continued success depends on our ability to:</w:t>
      </w:r>
    </w:p>
    <w:p>
      <w:pPr>
        <w:pStyle w:val="TextBody"/>
        <w:bidi w:val="0"/>
        <w:spacing w:before="0" w:after="0"/>
        <w:ind w:left="0" w:right="0" w:firstLine="360"/>
        <w:jc w:val="both"/>
        <w:rPr/>
      </w:pPr>
      <w:r>
        <w:rPr/>
        <w:t>​</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continue to develop innovative, proprietary products that address significant clinical needs in a manner that is safe and effective for patients and easy-to-use for physicians;</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obtain and maintain regulatory clearances or approvals;</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demonstrate safety and effectiveness in our sponsored and third-party clinical trials;</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expand its sales force across key markets to increase physician awareness;</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obtain and maintain coverage and adequate reimbursement for procedures using its products;</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attract and retain skilled research, development, sales and clinical personnel;</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cost-effectively manufacture, market and sell its products; and</w:t>
      </w:r>
    </w:p>
    <w:p>
      <w:pPr>
        <w:pStyle w:val="TextBody"/>
        <w:bidi w:val="0"/>
        <w:spacing w:before="0" w:after="0"/>
        <w:ind w:left="0" w:right="0" w:hanging="0"/>
        <w:jc w:val="left"/>
        <w:rPr/>
      </w:pPr>
      <w:r>
        <w:rPr>
          <w:caps w:val="false"/>
          <w:smallCaps w:val="false"/>
        </w:rPr>
        <w:t>•</w:t>
      </w:r>
      <w:r>
        <w:rPr>
          <w:rFonts w:ascii="Times New Roman;Times;serif" w:hAnsi="Times New Roman;Times;serif"/>
          <w:b w:val="false"/>
          <w:i w:val="false"/>
          <w:caps w:val="false"/>
          <w:smallCaps w:val="false"/>
          <w:sz w:val="20"/>
        </w:rPr>
        <w:t>obtain, maintain, enforce and defend our intellectual property rights and operate its business without infringing, misappropriating or otherwise violating the intellectual property rights of others.</w:t>
      </w:r>
    </w:p>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Innovation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business strategy relies significantly on innovation to develop and introduce new products and to differentiate our products from our competitors. We expect our research and development expenditures to increase as we make additional investments to support our growth strategies. We plan to increase our research and development expenditures with internal initiatives, as well as potentially licensing or acquiring technology from third parties. We also expect expenditures associated with our manufacturing organization to grow over time as production volume increases and we bring new products to market. Our internal and external investments will be focused on initiatives that we believe will offer the greatest opportunity for growth and profitability. With a significant investment in research and development, a strong focus on innovation and a well-managed innovation process, we believe we can continue to innovate and grow.</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Regulatory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commercial success will depend upon a number of factors, some of which are beyond our control, including the receipt of regulatory clearances, approvals, or authorizations for existing or new product offerings by us, or product enhancements. We must complete additional clinical testing before we can seek regulatory approval in the United States and begin commercialization of our products. After our products are cleared, approved, or authorized, numerous and pervasive regulatory requirements continue to apply. As such, our ability to navigate, obtain and maintain the required regulatory clearances, approvals, or authorizations, as well as comply with other regulatory requirements, for our products will in part drive our results of operations and impact our business.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Investments in Our Growth</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order to generate future growth, we plan to continue to expand and leverage our sales and marketing infrastructure to increase our customer base and grow our business. 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ability to increase our customer base and achieve broader market acceptance of our products will also depend to a significant extent on our ability to expand our marketing efforts as our plans to dedicate significant resources to our marketing programs.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Competition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industry is intensely competitive, subject to rapid change and significantly affected by new product introductions and other market activities of industry participants. Our most significant competitors are large, well-capitalized companies. We must continue to successfully compete considering our competitors’ existing and future products and related pricing and their resources to successfully market to the physicians who could use our products. Publications of clinical results by us, our competitors and other third parties can also have a significant influence on whether, and the degree to which, we are able to gain market share and increase utilization of our products.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Reimbursement and Insurance Coverage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both U.S. and non-U.S. markets, our ability to successfully commercialize and achieve market acceptance of our products depends, in significant part, on the availability of adequate financial coverage and reimbursement from third-party payors, including governmental payors (such as the Medicare and Medicaid programs in the United States), managed care organizations and private health insurers. Third-party payors decide which treatments they will cover and establish reimbursement rates for those treatments. Our products are purchased by hospitals and other providers who will then seek reimbursement from third-party payors for the procedures performed using our products. Reimbursement systems in international markets vary significantly by country and by region within some countries, and 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In most markets there are private insurance systems as well as government-managed systems.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0"/>
        <w:ind w:left="0" w:right="0" w:hanging="0"/>
        <w:jc w:val="both"/>
        <w:rPr/>
      </w:pPr>
      <w:r>
        <w:rPr/>
        <w:t>​</w:t>
      </w:r>
    </w:p>
    <w:p>
      <w:pPr>
        <w:pStyle w:val="TextBody"/>
        <w:bidi w:val="0"/>
        <w:spacing w:before="120" w:after="0"/>
        <w:ind w:left="0" w:right="0" w:hanging="0"/>
        <w:jc w:val="left"/>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generate product revenue primarily from the sale of the catheters, stylets and warming balloons (“Consumables”) used with our consoles. We sell our products directly to hospitals and medical centers. To a lesser extent, we also generate lease revenue from the implied rental of consoles loaned to customers at no charge. We recognize revenue in accordance with ASC Topic 606, Revenue from Contracts with Customers, when we transfer promised goods or services to customers in an amount that reflects the consideration to which the entity expects to be entitled in exchange for those goods or services. Please refer to </w:t>
      </w:r>
      <w:r>
        <w:rPr>
          <w:rFonts w:ascii="Times New Roman;Times;serif" w:hAnsi="Times New Roman;Times;serif"/>
          <w:i/>
          <w:sz w:val="20"/>
        </w:rPr>
        <w:t>Note 2-Summary of Significant Accounting Policies</w:t>
      </w:r>
      <w:r>
        <w:rPr>
          <w:rFonts w:ascii="Times New Roman;Times;serif" w:hAnsi="Times New Roman;Times;serif"/>
          <w:sz w:val="20"/>
        </w:rPr>
        <w:t xml:space="preserve"> in our condensed consolidated financial statements for additional details on our revenue recognition policy. Our revenue is subject to fluctuation due to the foreign currency in which our products are sold.</w:t>
      </w:r>
    </w:p>
    <w:p>
      <w:pPr>
        <w:pStyle w:val="TextBody"/>
        <w:bidi w:val="0"/>
        <w:spacing w:before="240" w:after="0"/>
        <w:ind w:left="0" w:right="0" w:hanging="0"/>
        <w:jc w:val="left"/>
        <w:rPr>
          <w:rFonts w:ascii="Times New Roman;Times;serif" w:hAnsi="Times New Roman;Times;serif"/>
          <w:b/>
          <w:i/>
          <w:sz w:val="20"/>
        </w:rPr>
      </w:pPr>
      <w:r>
        <w:rPr>
          <w:rFonts w:ascii="Times New Roman;Times;serif" w:hAnsi="Times New Roman;Times;serif"/>
          <w:b/>
          <w:i/>
          <w:sz w:val="20"/>
        </w:rPr>
        <w:t>Costs and Operating Expenses</w:t>
      </w:r>
    </w:p>
    <w:p>
      <w:pPr>
        <w:pStyle w:val="TextBody"/>
        <w:bidi w:val="0"/>
        <w:spacing w:before="120" w:after="0"/>
        <w:ind w:left="0" w:right="0" w:hanging="0"/>
        <w:jc w:val="left"/>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includes raw materials, direct labor, manufacturing overhead, shipping and receiving costs and other less significant indirect costs related to the production of our products. Cost of revenue also includes the depreciation expense of consoles loaned to the customers.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Research and Development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are expensed when incurred and are related to the development of our product candidates which includes pre-clinical, clinical, quality assurance, and research and development operational activities. These costs consist of:</w:t>
      </w:r>
    </w:p>
    <w:p>
      <w:pPr>
        <w:pStyle w:val="TextBody"/>
        <w:bidi w:val="0"/>
        <w:spacing w:before="0" w:after="0"/>
        <w:ind w:left="0" w:right="0" w:firstLine="360"/>
        <w:jc w:val="both"/>
        <w:rPr/>
      </w:pPr>
      <w:r>
        <w:rPr/>
        <w:t>​</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salaries, benefits, and other employee-related costs, including stock-based compensation expense for personnel engaged in research and development functions;</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activities associated with clinical trials performed by third parties;</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professional fees;</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 xml:space="preserve">equipment, materials, and costs related to product manufacturing; and </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other operational costs including rent and facilities costs, and depreciation.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do not track research and development expenses by project or product, as we are at an earlier stage in our pre-clinical and clinical development. Management believes that the breakdown of research and development expenses by project or product would be arbitrary and would not provide a meaningful assessment.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Management expects the research and development expenses to increase, as we will incur incremental expenses associated with the product candidates that are currently under development and in pre-clinical and clinical trials. Product candidates in later stages of clinical development generally have higher development costs, primarily due to the increased size and duration of later-stage clinical trials.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Selling, General and Administrative Expenses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general and administrative expenses consist primarily of salaries, and employee-related costs (including stock-based compensation) for personnel in executive, finance and other administrative functions, allocated rent and facilities costs, legal fees relating to intellectual property and corporate matters, professional fees for accounting and consulting services, marketing costs and insurance costs, and transaction costs in connection with the Business Combination. We expense all selling, general and administrative costs as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Convertible notes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recorded the October 2022 Convertible Notes, the April 2023 Convertible Notes, the November 2023 Convertible Notes, the 2024 Bridge Financing Note, the May 2024 Convertible Notes, the June 2024 Convertible Notes, July 2024 Convertible Notes, and Convertible Securities Notes at fair value at issuance and subsequently remeasure them to fair value at each reporting period. The change in fair value of the convertible promissory notes, excluding amounts related to interest, is recorded in “Convertible notes fair value adjustment,” while amounts related to interest are recorded as interest expense in the consolidated statements of operations and comprehensive income (loss).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Warrant liabilities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accounted for certain common stock warrants outstanding as warrant liabilities at fair value, determined using the Black-Scholes option pricing model. The liability is subject to re-measurement at each reporting period and any change in fair value is recognized as warrant liabilities fair value adjustment in the condensed consolidated statements of operations and comprehensive income (loss).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Interest expense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is primarily incurred from our outstanding debt obligations, including those under the October 2022 Convertible Notes, the April 2023 Convertible Notes, the November 2023 Convertible Notes, the February 2024 Convertible Notes, the May 2024 Convertible Notes, June 2024 Notes, July 2024 Convertible Notes, Convertible Securities Notes , and the SVB Term Loan.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Interest Income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consists primarily of interest earned on our cash, cash equivalents, and marketable securities.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val="false"/>
          <w:i/>
          <w:sz w:val="20"/>
        </w:rPr>
      </w:pPr>
      <w:r>
        <w:rPr>
          <w:rFonts w:ascii="Times New Roman;Times;serif" w:hAnsi="Times New Roman;Times;serif"/>
          <w:b w:val="false"/>
          <w:i/>
          <w:sz w:val="20"/>
        </w:rPr>
        <w:t>Other (expense) income, net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(expense) income, net primarily consists of foreign currency unrealized and realized gain / loss, and other income related to research and development (“R&amp;D”) tax credit.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Comparison for the periods from January 1, 2024 to July 30, 2024 (Predecessor), from July 31, 2024 to September 30, 2024 (Successor), from July 1, 2024 to July 30, 2024 (Predecessor), and from July 31, 2024 to September 30, 2024 (Successor), to the three and nine months ended September 30, 2023 (Predecessor)  </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sets forth a summary of our results of operations. This information should be read together with our condensed consolidated financial statements and related notes. </w:t>
      </w:r>
    </w:p>
    <w:tbl>
      <w:tblPr>
        <w:tblW w:w="10205" w:type="dxa"/>
        <w:jc w:val="left"/>
        <w:tblInd w:w="0" w:type="dxa"/>
        <w:tblLayout w:type="fixed"/>
        <w:tblCellMar>
          <w:top w:w="0" w:type="dxa"/>
          <w:left w:w="0" w:type="dxa"/>
          <w:bottom w:w="0" w:type="dxa"/>
          <w:right w:w="0" w:type="dxa"/>
        </w:tblCellMar>
      </w:tblPr>
      <w:tblGrid>
        <w:gridCol w:w="3055"/>
        <w:gridCol w:w="109"/>
        <w:gridCol w:w="465"/>
        <w:gridCol w:w="1363"/>
        <w:gridCol w:w="109"/>
        <w:gridCol w:w="109"/>
        <w:gridCol w:w="337"/>
        <w:gridCol w:w="985"/>
        <w:gridCol w:w="109"/>
        <w:gridCol w:w="401"/>
        <w:gridCol w:w="1356"/>
        <w:gridCol w:w="109"/>
        <w:gridCol w:w="196"/>
        <w:gridCol w:w="623"/>
        <w:gridCol w:w="109"/>
        <w:gridCol w:w="196"/>
        <w:gridCol w:w="574"/>
      </w:tblGrid>
      <w:tr>
        <w:trPr/>
        <w:tc>
          <w:tcPr>
            <w:tcW w:w="30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939925" cy="175260"/>
                      <wp:effectExtent l="0" t="0" r="0" b="0"/>
                      <wp:wrapNone/>
                      <wp:docPr id="230" name="Frame230"/>
                      <a:graphic xmlns:a="http://schemas.openxmlformats.org/drawingml/2006/main">
                        <a:graphicData uri="http://schemas.microsoft.com/office/word/2010/wordprocessingShape">
                          <wps:wsp>
                            <wps:cNvSpPr txBox="1"/>
                            <wps:spPr>
                              <a:xfrm>
                                <a:off x="0" y="0"/>
                                <a:ext cx="1939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95275" cy="175260"/>
                      <wp:effectExtent l="0" t="0" r="0" b="0"/>
                      <wp:wrapNone/>
                      <wp:docPr id="232" name="Frame232"/>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865505" cy="175260"/>
                      <wp:effectExtent l="0" t="0" r="0" b="0"/>
                      <wp:wrapNone/>
                      <wp:docPr id="233" name="Frame233"/>
                      <a:graphic xmlns:a="http://schemas.openxmlformats.org/drawingml/2006/main">
                        <a:graphicData uri="http://schemas.microsoft.com/office/word/2010/wordprocessingShape">
                          <wps:wsp>
                            <wps:cNvSpPr txBox="1"/>
                            <wps:spPr>
                              <a:xfrm>
                                <a:off x="0" y="0"/>
                                <a:ext cx="865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9215" cy="175260"/>
                      <wp:effectExtent l="0" t="0" r="0" b="0"/>
                      <wp:wrapNone/>
                      <wp:docPr id="235" name="Frame2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3995" cy="175260"/>
                      <wp:effectExtent l="0" t="0" r="0" b="0"/>
                      <wp:wrapNone/>
                      <wp:docPr id="236" name="Frame236"/>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25475" cy="175260"/>
                      <wp:effectExtent l="0" t="0" r="0" b="0"/>
                      <wp:wrapNone/>
                      <wp:docPr id="237" name="Frame237"/>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54635" cy="175260"/>
                      <wp:effectExtent l="0" t="0" r="0" b="0"/>
                      <wp:wrapNone/>
                      <wp:docPr id="239" name="Frame239"/>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861060" cy="175260"/>
                      <wp:effectExtent l="0" t="0" r="0" b="0"/>
                      <wp:wrapNone/>
                      <wp:docPr id="240" name="Frame240"/>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24460" cy="175260"/>
                      <wp:effectExtent l="0" t="0" r="0" b="0"/>
                      <wp:wrapNone/>
                      <wp:docPr id="242" name="Frame2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395605" cy="175260"/>
                      <wp:effectExtent l="0" t="0" r="0" b="0"/>
                      <wp:wrapNone/>
                      <wp:docPr id="243" name="Frame243"/>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24460" cy="175260"/>
                      <wp:effectExtent l="0" t="0" r="0" b="0"/>
                      <wp:wrapNone/>
                      <wp:docPr id="245" name="Frame2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64490" cy="175260"/>
                      <wp:effectExtent l="0" t="0" r="0" b="0"/>
                      <wp:wrapNone/>
                      <wp:docPr id="246" name="Frame246"/>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41"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For the three months ended September 30,</w:t>
            </w:r>
          </w:p>
        </w:tc>
      </w:tr>
      <w:tr>
        <w:trPr/>
        <w:tc>
          <w:tcPr>
            <w:tcW w:w="30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6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0"/>
              <w:ind w:left="0" w:right="0" w:hanging="0"/>
              <w:jc w:val="left"/>
              <w:rPr/>
            </w:pPr>
            <w:r>
              <w:rPr/>
              <w:t>​</w:t>
            </w:r>
          </w:p>
        </w:tc>
        <w:tc>
          <w:tcPr>
            <w:tcW w:w="17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74" w:type="dxa"/>
            <w:tcBorders/>
            <w:vAlign w:val="center"/>
          </w:tcPr>
          <w:p>
            <w:pPr>
              <w:pStyle w:val="TableContents"/>
              <w:bidi w:val="0"/>
              <w:spacing w:before="0" w:after="0"/>
              <w:ind w:left="0" w:right="0" w:hanging="0"/>
              <w:jc w:val="center"/>
              <w:rPr/>
            </w:pPr>
            <w:r>
              <w:rPr/>
              <w:t>​</w:t>
            </w:r>
          </w:p>
        </w:tc>
      </w:tr>
      <w:tr>
        <w:trPr/>
        <w:tc>
          <w:tcPr>
            <w:tcW w:w="30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c>
          <w:tcPr>
            <w:tcW w:w="109" w:type="dxa"/>
            <w:tcBorders/>
            <w:vAlign w:val="center"/>
          </w:tcPr>
          <w:p>
            <w:pPr>
              <w:pStyle w:val="TableContents"/>
              <w:bidi w:val="0"/>
              <w:spacing w:before="0" w:after="0"/>
              <w:ind w:left="0" w:right="0" w:hanging="0"/>
              <w:jc w:val="left"/>
              <w:rPr/>
            </w:pPr>
            <w:r>
              <w:rPr/>
              <w:t>​</w:t>
            </w:r>
          </w:p>
        </w:tc>
        <w:tc>
          <w:tcPr>
            <w:tcW w:w="17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c>
          <w:tcPr>
            <w:tcW w:w="109" w:type="dxa"/>
            <w:tcBorders/>
            <w:vAlign w:val="center"/>
          </w:tcPr>
          <w:p>
            <w:pPr>
              <w:pStyle w:val="TableContents"/>
              <w:bidi w:val="0"/>
              <w:spacing w:before="0" w:after="0"/>
              <w:ind w:left="0" w:right="0" w:hanging="0"/>
              <w:jc w:val="left"/>
              <w:rPr/>
            </w:pPr>
            <w:r>
              <w:rPr/>
              <w:t>​</w:t>
            </w:r>
          </w:p>
        </w:tc>
        <w:tc>
          <w:tcPr>
            <w:tcW w:w="16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30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31 to September 30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1 to July 30</w:t>
            </w:r>
          </w:p>
        </w:tc>
        <w:tc>
          <w:tcPr>
            <w:tcW w:w="109" w:type="dxa"/>
            <w:tcBorders/>
            <w:vAlign w:val="center"/>
          </w:tcPr>
          <w:p>
            <w:pPr>
              <w:pStyle w:val="TableContents"/>
              <w:bidi w:val="0"/>
              <w:spacing w:before="0" w:after="0"/>
              <w:ind w:left="0" w:right="0" w:hanging="0"/>
              <w:jc w:val="left"/>
              <w:rPr/>
            </w:pPr>
            <w:r>
              <w:rPr/>
              <w:t>​</w:t>
            </w:r>
          </w:p>
        </w:tc>
        <w:tc>
          <w:tcPr>
            <w:tcW w:w="17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1 to September 30</w:t>
            </w:r>
          </w:p>
        </w:tc>
        <w:tc>
          <w:tcPr>
            <w:tcW w:w="109" w:type="dxa"/>
            <w:tcBorders/>
            <w:vAlign w:val="center"/>
          </w:tcPr>
          <w:p>
            <w:pPr>
              <w:pStyle w:val="TableContents"/>
              <w:bidi w:val="0"/>
              <w:spacing w:before="0" w:after="0"/>
              <w:ind w:left="0" w:right="0" w:hanging="0"/>
              <w:jc w:val="left"/>
              <w:rPr/>
            </w:pPr>
            <w:r>
              <w:rPr/>
              <w:t>​</w:t>
            </w:r>
          </w:p>
        </w:tc>
        <w:tc>
          <w:tcPr>
            <w:tcW w:w="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9" w:type="dxa"/>
            <w:tcBorders/>
            <w:vAlign w:val="center"/>
          </w:tcPr>
          <w:p>
            <w:pPr>
              <w:pStyle w:val="TableContents"/>
              <w:bidi w:val="0"/>
              <w:spacing w:before="0" w:after="0"/>
              <w:ind w:left="0" w:right="0" w:hanging="0"/>
              <w:jc w:val="left"/>
              <w:rPr/>
            </w:pPr>
            <w:r>
              <w:rPr/>
              <w:t>​</w:t>
            </w:r>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r>
      <w:tr>
        <w:trPr/>
        <w:tc>
          <w:tcPr>
            <w:tcW w:w="30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6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5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30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3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351%</w:t>
            </w:r>
          </w:p>
        </w:tc>
      </w:tr>
      <w:tr>
        <w:trPr/>
        <w:tc>
          <w:tcPr>
            <w:tcW w:w="30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 and operating expenses:</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pPr>
            <w:r>
              <w:rPr/>
              <w:t>​</w:t>
            </w:r>
          </w:p>
        </w:tc>
        <w:tc>
          <w:tcPr>
            <w:tcW w:w="1363"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right"/>
              <w:rPr/>
            </w:pPr>
            <w:r>
              <w:rPr/>
              <w:t>​</w:t>
            </w:r>
          </w:p>
        </w:tc>
        <w:tc>
          <w:tcPr>
            <w:tcW w:w="9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1" w:type="dxa"/>
            <w:tcBorders/>
            <w:vAlign w:val="center"/>
          </w:tcPr>
          <w:p>
            <w:pPr>
              <w:pStyle w:val="TableContents"/>
              <w:bidi w:val="0"/>
              <w:spacing w:before="0" w:after="0"/>
              <w:ind w:left="0" w:right="0" w:hanging="0"/>
              <w:jc w:val="right"/>
              <w:rPr/>
            </w:pPr>
            <w:r>
              <w:rPr/>
              <w:t>​</w:t>
            </w:r>
          </w:p>
        </w:tc>
        <w:tc>
          <w:tcPr>
            <w:tcW w:w="13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pPr>
            <w:r>
              <w:rPr/>
              <w:t>​</w:t>
            </w:r>
          </w:p>
        </w:tc>
      </w:tr>
      <w:tr>
        <w:trPr/>
        <w:tc>
          <w:tcPr>
            <w:tcW w:w="30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righ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shd w:fill="CCEEFF" w:val="clear"/>
            <w:vAlign w:val="center"/>
          </w:tcPr>
          <w:p>
            <w:pPr>
              <w:pStyle w:val="TableContents"/>
              <w:bidi w:val="0"/>
              <w:spacing w:before="0" w:after="0"/>
              <w:ind w:left="0" w:right="0" w:hanging="0"/>
              <w:jc w:val="right"/>
              <w:rPr/>
            </w:pPr>
            <w:r>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r>
      <w:tr>
        <w:trPr/>
        <w:tc>
          <w:tcPr>
            <w:tcW w:w="30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pPr>
            <w:r>
              <w:rPr/>
              <w:t>​</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right"/>
              <w:rPr/>
            </w:pPr>
            <w:r>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1,251</w:t>
            </w:r>
          </w:p>
        </w:tc>
        <w:tc>
          <w:tcPr>
            <w:tcW w:w="109" w:type="dxa"/>
            <w:tcBorders/>
            <w:vAlign w:val="center"/>
          </w:tcPr>
          <w:p>
            <w:pPr>
              <w:pStyle w:val="TableContents"/>
              <w:bidi w:val="0"/>
              <w:spacing w:before="0" w:after="0"/>
              <w:ind w:left="0" w:right="0" w:hanging="0"/>
              <w:jc w:val="left"/>
              <w:rPr/>
            </w:pPr>
            <w:r>
              <w:rPr/>
              <w:t>​</w:t>
            </w:r>
          </w:p>
        </w:tc>
        <w:tc>
          <w:tcPr>
            <w:tcW w:w="401" w:type="dxa"/>
            <w:tcBorders/>
            <w:vAlign w:val="center"/>
          </w:tcPr>
          <w:p>
            <w:pPr>
              <w:pStyle w:val="TableContents"/>
              <w:bidi w:val="0"/>
              <w:spacing w:before="0" w:after="0"/>
              <w:ind w:left="0" w:right="0" w:hanging="0"/>
              <w:jc w:val="righ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r>
      <w:tr>
        <w:trPr/>
        <w:tc>
          <w:tcPr>
            <w:tcW w:w="30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4,851</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r>
      <w:tr>
        <w:trPr/>
        <w:tc>
          <w:tcPr>
            <w:tcW w:w="30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 and operating expenses</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6,259</w:t>
            </w:r>
          </w:p>
        </w:tc>
        <w:tc>
          <w:tcPr>
            <w:tcW w:w="109" w:type="dxa"/>
            <w:tcBorders/>
            <w:vAlign w:val="center"/>
          </w:tcPr>
          <w:p>
            <w:pPr>
              <w:pStyle w:val="TableContents"/>
              <w:bidi w:val="0"/>
              <w:spacing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9,122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1,694</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w:t>
            </w:r>
          </w:p>
        </w:tc>
      </w:tr>
      <w:tr>
        <w:trPr/>
        <w:tc>
          <w:tcPr>
            <w:tcW w:w="30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righ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(6,206)</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shd w:fill="CCEEFF" w:val="clear"/>
            <w:vAlign w:val="center"/>
          </w:tcPr>
          <w:p>
            <w:pPr>
              <w:pStyle w:val="TableContents"/>
              <w:bidi w:val="0"/>
              <w:spacing w:before="0" w:after="0"/>
              <w:ind w:left="0" w:right="0" w:hanging="0"/>
              <w:jc w:val="right"/>
              <w:rPr/>
            </w:pPr>
            <w:r>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(9,081)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30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pPr>
            <w:r>
              <w:rPr/>
              <w:t>​</w:t>
            </w:r>
          </w:p>
        </w:tc>
        <w:tc>
          <w:tcPr>
            <w:tcW w:w="1363"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right"/>
              <w:rPr/>
            </w:pPr>
            <w:r>
              <w:rPr/>
              <w:t>​</w:t>
            </w:r>
          </w:p>
        </w:tc>
        <w:tc>
          <w:tcPr>
            <w:tcW w:w="9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1" w:type="dxa"/>
            <w:tcBorders/>
            <w:vAlign w:val="center"/>
          </w:tcPr>
          <w:p>
            <w:pPr>
              <w:pStyle w:val="TableContents"/>
              <w:bidi w:val="0"/>
              <w:spacing w:before="0" w:after="0"/>
              <w:ind w:left="0" w:right="0" w:hanging="0"/>
              <w:jc w:val="right"/>
              <w:rPr/>
            </w:pPr>
            <w:r>
              <w:rPr/>
              <w:t>​</w:t>
            </w:r>
          </w:p>
        </w:tc>
        <w:tc>
          <w:tcPr>
            <w:tcW w:w="13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pPr>
            <w:r>
              <w:rPr/>
              <w:t>​</w:t>
            </w:r>
          </w:p>
        </w:tc>
      </w:tr>
      <w:tr>
        <w:trPr/>
        <w:tc>
          <w:tcPr>
            <w:tcW w:w="30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Convertible notes fair value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righ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(1,907)</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shd w:fill="CCEEFF" w:val="clear"/>
            <w:vAlign w:val="center"/>
          </w:tcPr>
          <w:p>
            <w:pPr>
              <w:pStyle w:val="TableContents"/>
              <w:bidi w:val="0"/>
              <w:spacing w:before="0" w:after="0"/>
              <w:ind w:left="0" w:right="0" w:hanging="0"/>
              <w:jc w:val="right"/>
              <w:rPr/>
            </w:pPr>
            <w:r>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w:t>
            </w:r>
          </w:p>
        </w:tc>
      </w:tr>
      <w:tr>
        <w:trPr/>
        <w:tc>
          <w:tcPr>
            <w:tcW w:w="30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 liabilities fair value adjustment</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pPr>
            <w:r>
              <w:rPr/>
              <w:t>​</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4,973</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right"/>
              <w:rPr/>
            </w:pPr>
            <w:r>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w:t>
            </w:r>
          </w:p>
        </w:tc>
        <w:tc>
          <w:tcPr>
            <w:tcW w:w="109" w:type="dxa"/>
            <w:tcBorders/>
            <w:vAlign w:val="center"/>
          </w:tcPr>
          <w:p>
            <w:pPr>
              <w:pStyle w:val="TableContents"/>
              <w:bidi w:val="0"/>
              <w:spacing w:before="0" w:after="0"/>
              <w:ind w:left="0" w:right="0" w:hanging="0"/>
              <w:jc w:val="left"/>
              <w:rPr/>
            </w:pPr>
            <w:r>
              <w:rPr/>
              <w:t>​</w:t>
            </w:r>
          </w:p>
        </w:tc>
        <w:tc>
          <w:tcPr>
            <w:tcW w:w="401" w:type="dxa"/>
            <w:tcBorders/>
            <w:vAlign w:val="center"/>
          </w:tcPr>
          <w:p>
            <w:pPr>
              <w:pStyle w:val="TableContents"/>
              <w:bidi w:val="0"/>
              <w:spacing w:before="0" w:after="0"/>
              <w:ind w:left="0" w:right="0" w:hanging="0"/>
              <w:jc w:val="righ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5,173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r>
      <w:tr>
        <w:trPr/>
        <w:tc>
          <w:tcPr>
            <w:tcW w:w="30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right"/>
              <w:rPr/>
            </w:pPr>
            <w:r>
              <w:rPr/>
              <w:t>​</w:t>
            </w:r>
          </w:p>
        </w:tc>
        <w:tc>
          <w:tcPr>
            <w:tcW w:w="136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37" w:type="dxa"/>
            <w:tcBorders/>
            <w:shd w:fill="CCEEFF" w:val="clear"/>
            <w:vAlign w:val="center"/>
          </w:tcPr>
          <w:p>
            <w:pPr>
              <w:pStyle w:val="TableContents"/>
              <w:bidi w:val="0"/>
              <w:spacing w:before="0" w:after="0"/>
              <w:ind w:left="0" w:right="0" w:hanging="0"/>
              <w:jc w:val="righ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shd w:fill="CCEEFF" w:val="clear"/>
            <w:vAlign w:val="center"/>
          </w:tcPr>
          <w:p>
            <w:pPr>
              <w:pStyle w:val="TableContents"/>
              <w:bidi w:val="0"/>
              <w:spacing w:before="0" w:after="0"/>
              <w:ind w:left="0" w:right="0" w:hanging="0"/>
              <w:jc w:val="right"/>
              <w:rPr/>
            </w:pPr>
            <w:r>
              <w:rPr/>
              <w:t>​</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2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r>
      <w:tr>
        <w:trPr/>
        <w:tc>
          <w:tcPr>
            <w:tcW w:w="30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pPr>
            <w:r>
              <w:rPr/>
              <w:t>​</w:t>
            </w:r>
          </w:p>
        </w:tc>
        <w:tc>
          <w:tcPr>
            <w:tcW w:w="136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right"/>
              <w:rPr/>
            </w:pPr>
            <w:r>
              <w:rPr/>
              <w:t>​</w:t>
            </w:r>
          </w:p>
        </w:tc>
        <w:tc>
          <w:tcPr>
            <w:tcW w:w="9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1" w:type="dxa"/>
            <w:tcBorders/>
            <w:vAlign w:val="center"/>
          </w:tcPr>
          <w:p>
            <w:pPr>
              <w:pStyle w:val="TableContents"/>
              <w:bidi w:val="0"/>
              <w:spacing w:before="0" w:after="0"/>
              <w:ind w:left="0" w:right="0" w:hanging="0"/>
              <w:jc w:val="righ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8,200</w:t>
            </w:r>
          </w:p>
        </w:tc>
      </w:tr>
      <w:tr>
        <w:trPr/>
        <w:tc>
          <w:tcPr>
            <w:tcW w:w="30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income, net</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w:t>
            </w:r>
          </w:p>
        </w:tc>
      </w:tr>
      <w:tr>
        <w:trPr/>
        <w:tc>
          <w:tcPr>
            <w:tcW w:w="30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8,031</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(2,029)</w:t>
            </w:r>
          </w:p>
        </w:tc>
        <w:tc>
          <w:tcPr>
            <w:tcW w:w="109" w:type="dxa"/>
            <w:tcBorders/>
            <w:vAlign w:val="center"/>
          </w:tcPr>
          <w:p>
            <w:pPr>
              <w:pStyle w:val="TableContents"/>
              <w:bidi w:val="0"/>
              <w:spacing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w:t>
            </w:r>
          </w:p>
        </w:tc>
      </w:tr>
      <w:tr>
        <w:trPr/>
        <w:tc>
          <w:tcPr>
            <w:tcW w:w="30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3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(8,235)</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3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(10,761)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5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r>
      <w:tr>
        <w:trPr/>
        <w:tc>
          <w:tcPr>
            <w:tcW w:w="30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465" w:type="dxa"/>
            <w:tcBorders/>
            <w:vAlign w:val="center"/>
          </w:tcPr>
          <w:p>
            <w:pPr>
              <w:pStyle w:val="TableContents"/>
              <w:bidi w:val="0"/>
              <w:spacing w:before="0" w:after="0"/>
              <w:ind w:left="0" w:right="0" w:hanging="0"/>
              <w:jc w:val="right"/>
              <w:rPr/>
            </w:pPr>
            <w:r>
              <w:rPr/>
              <w:t>​</w:t>
            </w:r>
          </w:p>
        </w:tc>
        <w:tc>
          <w:tcPr>
            <w:tcW w:w="1363"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37" w:type="dxa"/>
            <w:tcBorders/>
            <w:vAlign w:val="center"/>
          </w:tcPr>
          <w:p>
            <w:pPr>
              <w:pStyle w:val="TableContents"/>
              <w:bidi w:val="0"/>
              <w:spacing w:before="0" w:after="0"/>
              <w:ind w:left="0" w:right="0" w:hanging="0"/>
              <w:jc w:val="right"/>
              <w:rPr/>
            </w:pPr>
            <w:r>
              <w:rPr/>
              <w:t>​</w:t>
            </w:r>
          </w:p>
        </w:tc>
        <w:tc>
          <w:tcPr>
            <w:tcW w:w="98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01" w:type="dxa"/>
            <w:tcBorders/>
            <w:vAlign w:val="center"/>
          </w:tcPr>
          <w:p>
            <w:pPr>
              <w:pStyle w:val="TableContents"/>
              <w:bidi w:val="0"/>
              <w:spacing w:before="0" w:after="0"/>
              <w:ind w:left="0" w:right="0" w:hanging="0"/>
              <w:jc w:val="right"/>
              <w:rPr/>
            </w:pPr>
            <w:r>
              <w:rPr/>
              <w:t>​</w:t>
            </w:r>
          </w:p>
        </w:tc>
        <w:tc>
          <w:tcPr>
            <w:tcW w:w="135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pPr>
            <w:r>
              <w:rPr/>
              <w:t>​</w:t>
            </w:r>
          </w:p>
        </w:tc>
      </w:tr>
      <w:tr>
        <w:trPr/>
        <w:tc>
          <w:tcPr>
            <w:tcW w:w="30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4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4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r>
      <w:tr>
        <w:trPr/>
        <w:tc>
          <w:tcPr>
            <w:tcW w:w="3055"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income (loss)</w:t>
            </w:r>
          </w:p>
        </w:tc>
        <w:tc>
          <w:tcPr>
            <w:tcW w:w="109" w:type="dxa"/>
            <w:tcBorders/>
            <w:vAlign w:val="center"/>
          </w:tcPr>
          <w:p>
            <w:pPr>
              <w:pStyle w:val="TableContents"/>
              <w:bidi w:val="0"/>
              <w:spacing w:before="0" w:after="0"/>
              <w:ind w:left="0" w:right="0" w:hanging="0"/>
              <w:jc w:val="left"/>
              <w:rPr/>
            </w:pPr>
            <w:r>
              <w:rPr/>
              <w:t>​</w:t>
            </w:r>
          </w:p>
        </w:tc>
        <w:tc>
          <w:tcPr>
            <w:tcW w:w="4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3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9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(8,237)</w:t>
            </w:r>
          </w:p>
        </w:tc>
        <w:tc>
          <w:tcPr>
            <w:tcW w:w="109" w:type="dxa"/>
            <w:tcBorders/>
            <w:vAlign w:val="center"/>
          </w:tcPr>
          <w:p>
            <w:pPr>
              <w:pStyle w:val="TableContents"/>
              <w:bidi w:val="0"/>
              <w:spacing w:before="0" w:after="0"/>
              <w:ind w:left="0" w:right="0" w:hanging="0"/>
              <w:jc w:val="left"/>
              <w:rPr/>
            </w:pPr>
            <w:r>
              <w:rPr/>
              <w:t>​</w:t>
            </w:r>
          </w:p>
        </w:tc>
        <w:tc>
          <w:tcPr>
            <w:tcW w:w="4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3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(10,757)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6,117</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5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w:t>
            </w:r>
          </w:p>
        </w:tc>
      </w:tr>
    </w:tbl>
    <w:p>
      <w:pPr>
        <w:pStyle w:val="TextBody"/>
        <w:bidi w:val="0"/>
        <w:spacing w:before="0" w:after="0"/>
        <w:ind w:left="0" w:right="0" w:firstLine="720"/>
        <w:jc w:val="both"/>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0" w:after="12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830"/>
        <w:gridCol w:w="109"/>
        <w:gridCol w:w="437"/>
        <w:gridCol w:w="1281"/>
        <w:gridCol w:w="109"/>
        <w:gridCol w:w="109"/>
        <w:gridCol w:w="348"/>
        <w:gridCol w:w="1177"/>
        <w:gridCol w:w="109"/>
        <w:gridCol w:w="436"/>
        <w:gridCol w:w="1472"/>
        <w:gridCol w:w="109"/>
        <w:gridCol w:w="196"/>
        <w:gridCol w:w="624"/>
        <w:gridCol w:w="109"/>
        <w:gridCol w:w="196"/>
        <w:gridCol w:w="554"/>
      </w:tblGrid>
      <w:tr>
        <w:trPr/>
        <w:tc>
          <w:tcPr>
            <w:tcW w:w="2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797050" cy="175260"/>
                      <wp:effectExtent l="0" t="0" r="0" b="0"/>
                      <wp:wrapNone/>
                      <wp:docPr id="247" name="Frame247"/>
                      <a:graphic xmlns:a="http://schemas.openxmlformats.org/drawingml/2006/main">
                        <a:graphicData uri="http://schemas.microsoft.com/office/word/2010/wordprocessingShape">
                          <wps:wsp>
                            <wps:cNvSpPr txBox="1"/>
                            <wps:spPr>
                              <a:xfrm>
                                <a:off x="0" y="0"/>
                                <a:ext cx="1797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8" name="Frame2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77495" cy="175260"/>
                      <wp:effectExtent l="0" t="0" r="0" b="0"/>
                      <wp:wrapNone/>
                      <wp:docPr id="249" name="Frame249"/>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813435" cy="175260"/>
                      <wp:effectExtent l="0" t="0" r="0" b="0"/>
                      <wp:wrapNone/>
                      <wp:docPr id="250" name="Frame250"/>
                      <a:graphic xmlns:a="http://schemas.openxmlformats.org/drawingml/2006/main">
                        <a:graphicData uri="http://schemas.microsoft.com/office/word/2010/wordprocessingShape">
                          <wps:wsp>
                            <wps:cNvSpPr txBox="1"/>
                            <wps:spPr>
                              <a:xfrm>
                                <a:off x="0" y="0"/>
                                <a:ext cx="81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9215" cy="175260"/>
                      <wp:effectExtent l="0" t="0" r="0" b="0"/>
                      <wp:wrapNone/>
                      <wp:docPr id="251"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9215" cy="175260"/>
                      <wp:effectExtent l="0" t="0" r="0" b="0"/>
                      <wp:wrapNone/>
                      <wp:docPr id="252" name="Frame2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20980" cy="175260"/>
                      <wp:effectExtent l="0" t="0" r="0" b="0"/>
                      <wp:wrapNone/>
                      <wp:docPr id="253" name="Frame253"/>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747395" cy="175260"/>
                      <wp:effectExtent l="0" t="0" r="0" b="0"/>
                      <wp:wrapNone/>
                      <wp:docPr id="254" name="Frame254"/>
                      <a:graphic xmlns:a="http://schemas.openxmlformats.org/drawingml/2006/main">
                        <a:graphicData uri="http://schemas.microsoft.com/office/word/2010/wordprocessingShape">
                          <wps:wsp>
                            <wps:cNvSpPr txBox="1"/>
                            <wps:spPr>
                              <a:xfrm>
                                <a:off x="0" y="0"/>
                                <a:ext cx="747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76860" cy="175260"/>
                      <wp:effectExtent l="0" t="0" r="0" b="0"/>
                      <wp:wrapNone/>
                      <wp:docPr id="256" name="Frame25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934720" cy="175260"/>
                      <wp:effectExtent l="0" t="0" r="0" b="0"/>
                      <wp:wrapNone/>
                      <wp:docPr id="257" name="Frame257"/>
                      <a:graphic xmlns:a="http://schemas.openxmlformats.org/drawingml/2006/main">
                        <a:graphicData uri="http://schemas.microsoft.com/office/word/2010/wordprocessingShape">
                          <wps:wsp>
                            <wps:cNvSpPr txBox="1"/>
                            <wps:spPr>
                              <a:xfrm>
                                <a:off x="0" y="0"/>
                                <a:ext cx="934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24460" cy="175260"/>
                      <wp:effectExtent l="0" t="0" r="0" b="0"/>
                      <wp:wrapNone/>
                      <wp:docPr id="259" name="Frame2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96240" cy="175260"/>
                      <wp:effectExtent l="0" t="0" r="0" b="0"/>
                      <wp:wrapNone/>
                      <wp:docPr id="260" name="Frame260"/>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9215" cy="175260"/>
                      <wp:effectExtent l="0" t="0" r="0" b="0"/>
                      <wp:wrapNone/>
                      <wp:docPr id="261" name="Frame2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24460" cy="175260"/>
                      <wp:effectExtent l="0" t="0" r="0" b="0"/>
                      <wp:wrapNone/>
                      <wp:docPr id="262" name="Frame2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51790" cy="175260"/>
                      <wp:effectExtent l="0" t="0" r="0" b="0"/>
                      <wp:wrapNone/>
                      <wp:docPr id="263" name="Frame263"/>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66"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sz w:val="18"/>
              </w:rPr>
            </w:pPr>
            <w:r>
              <w:rPr>
                <w:rFonts w:ascii="Times New Roman;Times;serif" w:hAnsi="Times New Roman;Times;serif"/>
                <w:b/>
                <w:i/>
                <w:sz w:val="18"/>
              </w:rPr>
              <w:t>For the nine months ended September 30,</w:t>
            </w:r>
          </w:p>
        </w:tc>
      </w:tr>
      <w:tr>
        <w:trPr/>
        <w:tc>
          <w:tcPr>
            <w:tcW w:w="283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6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0"/>
              <w:ind w:left="0" w:right="0" w:hanging="0"/>
              <w:jc w:val="left"/>
              <w:rPr/>
            </w:pPr>
            <w:r>
              <w:rPr/>
              <w:t>​</w:t>
            </w:r>
          </w:p>
        </w:tc>
        <w:tc>
          <w:tcPr>
            <w:tcW w:w="1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2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554" w:type="dxa"/>
            <w:tcBorders/>
            <w:vAlign w:val="center"/>
          </w:tcPr>
          <w:p>
            <w:pPr>
              <w:pStyle w:val="TableContents"/>
              <w:bidi w:val="0"/>
              <w:spacing w:before="0" w:after="0"/>
              <w:ind w:left="0" w:right="0" w:hanging="0"/>
              <w:jc w:val="center"/>
              <w:rPr/>
            </w:pPr>
            <w:r>
              <w:rPr/>
              <w:t>​</w:t>
            </w:r>
          </w:p>
        </w:tc>
      </w:tr>
      <w:tr>
        <w:trPr/>
        <w:tc>
          <w:tcPr>
            <w:tcW w:w="283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5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c>
          <w:tcPr>
            <w:tcW w:w="109" w:type="dxa"/>
            <w:tcBorders/>
            <w:vAlign w:val="center"/>
          </w:tcPr>
          <w:p>
            <w:pPr>
              <w:pStyle w:val="TableContents"/>
              <w:bidi w:val="0"/>
              <w:spacing w:before="0" w:after="0"/>
              <w:ind w:left="0" w:right="0" w:hanging="0"/>
              <w:jc w:val="left"/>
              <w:rPr/>
            </w:pPr>
            <w:r>
              <w:rPr/>
              <w:t>​</w:t>
            </w:r>
          </w:p>
        </w:tc>
        <w:tc>
          <w:tcPr>
            <w:tcW w:w="1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c>
          <w:tcPr>
            <w:tcW w:w="109" w:type="dxa"/>
            <w:tcBorders/>
            <w:vAlign w:val="center"/>
          </w:tcPr>
          <w:p>
            <w:pPr>
              <w:pStyle w:val="TableContents"/>
              <w:bidi w:val="0"/>
              <w:spacing w:before="0" w:after="0"/>
              <w:ind w:left="0" w:right="0" w:hanging="0"/>
              <w:jc w:val="left"/>
              <w:rPr/>
            </w:pPr>
            <w:r>
              <w:rPr/>
              <w:t>​</w:t>
            </w:r>
          </w:p>
        </w:tc>
        <w:tc>
          <w:tcPr>
            <w:tcW w:w="16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Change</w:t>
            </w:r>
          </w:p>
        </w:tc>
      </w:tr>
      <w:tr>
        <w:trPr/>
        <w:tc>
          <w:tcPr>
            <w:tcW w:w="283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31 to September 30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5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January 1 to July 30</w:t>
            </w:r>
          </w:p>
        </w:tc>
        <w:tc>
          <w:tcPr>
            <w:tcW w:w="109" w:type="dxa"/>
            <w:tcBorders/>
            <w:vAlign w:val="center"/>
          </w:tcPr>
          <w:p>
            <w:pPr>
              <w:pStyle w:val="TableContents"/>
              <w:bidi w:val="0"/>
              <w:spacing w:before="0" w:after="0"/>
              <w:ind w:left="0" w:right="0" w:hanging="0"/>
              <w:jc w:val="left"/>
              <w:rPr/>
            </w:pPr>
            <w:r>
              <w:rPr/>
              <w:t>​</w:t>
            </w:r>
          </w:p>
        </w:tc>
        <w:tc>
          <w:tcPr>
            <w:tcW w:w="19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January 1 to September 30</w:t>
            </w:r>
          </w:p>
        </w:tc>
        <w:tc>
          <w:tcPr>
            <w:tcW w:w="109" w:type="dxa"/>
            <w:tcBorders/>
            <w:vAlign w:val="center"/>
          </w:tcPr>
          <w:p>
            <w:pPr>
              <w:pStyle w:val="TableContents"/>
              <w:bidi w:val="0"/>
              <w:spacing w:before="0" w:after="0"/>
              <w:ind w:left="0" w:right="0" w:hanging="0"/>
              <w:jc w:val="left"/>
              <w:rPr/>
            </w:pPr>
            <w:r>
              <w:rPr/>
              <w:t>​</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9" w:type="dxa"/>
            <w:tcBorders/>
            <w:vAlign w:val="center"/>
          </w:tcPr>
          <w:p>
            <w:pPr>
              <w:pStyle w:val="TableContents"/>
              <w:bidi w:val="0"/>
              <w:spacing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t>
            </w:r>
          </w:p>
        </w:tc>
      </w:tr>
      <w:tr>
        <w:trPr/>
        <w:tc>
          <w:tcPr>
            <w:tcW w:w="283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7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7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28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2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1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4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w:t>
            </w:r>
          </w:p>
        </w:tc>
      </w:tr>
      <w:tr>
        <w:trPr/>
        <w:tc>
          <w:tcPr>
            <w:tcW w:w="28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 and operating expenses:</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pPr>
            <w:r>
              <w:rPr/>
              <w:t>​</w:t>
            </w:r>
          </w:p>
        </w:tc>
        <w:tc>
          <w:tcPr>
            <w:tcW w:w="1281"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right"/>
              <w:rPr/>
            </w:pPr>
            <w:r>
              <w:rPr/>
              <w:t>​</w:t>
            </w:r>
          </w:p>
        </w:tc>
        <w:tc>
          <w:tcPr>
            <w:tcW w:w="11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4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2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r>
      <w:tr>
        <w:trPr/>
        <w:tc>
          <w:tcPr>
            <w:tcW w:w="28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revenue</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pPr>
            <w:r>
              <w:rPr/>
              <w:t>​</w:t>
            </w:r>
          </w:p>
        </w:tc>
        <w:tc>
          <w:tcPr>
            <w:tcW w:w="12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414</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right"/>
              <w:rPr/>
            </w:pPr>
            <w:r>
              <w:rPr/>
              <w:t>​</w:t>
            </w:r>
          </w:p>
        </w:tc>
        <w:tc>
          <w:tcPr>
            <w:tcW w:w="11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1,381</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14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r>
      <w:tr>
        <w:trPr/>
        <w:tc>
          <w:tcPr>
            <w:tcW w:w="28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pPr>
            <w:r>
              <w:rPr/>
              <w:t>​</w:t>
            </w:r>
          </w:p>
        </w:tc>
        <w:tc>
          <w:tcPr>
            <w:tcW w:w="12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right"/>
              <w:rPr/>
            </w:pPr>
            <w:r>
              <w:rPr/>
              <w:t>​</w:t>
            </w:r>
          </w:p>
        </w:tc>
        <w:tc>
          <w:tcPr>
            <w:tcW w:w="11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7,585</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4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13,625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(4,823)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r>
      <w:tr>
        <w:trPr/>
        <w:tc>
          <w:tcPr>
            <w:tcW w:w="28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13,047</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8,234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7,739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r>
      <w:tr>
        <w:trPr/>
        <w:tc>
          <w:tcPr>
            <w:tcW w:w="28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cost of revenue and operating expenses</w:t>
            </w:r>
          </w:p>
        </w:tc>
        <w:tc>
          <w:tcPr>
            <w:tcW w:w="109"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22,013</w:t>
            </w:r>
          </w:p>
        </w:tc>
        <w:tc>
          <w:tcPr>
            <w:tcW w:w="109"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22,831</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3,739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28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pPr>
            <w:r>
              <w:rPr/>
              <w:t>​</w:t>
            </w:r>
          </w:p>
        </w:tc>
        <w:tc>
          <w:tcPr>
            <w:tcW w:w="12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(4,425)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right"/>
              <w:rPr/>
            </w:pPr>
            <w:r>
              <w:rPr/>
              <w:t>​</w:t>
            </w:r>
          </w:p>
        </w:tc>
        <w:tc>
          <w:tcPr>
            <w:tcW w:w="11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(21,680)</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14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(22,609)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w:t>
            </w:r>
          </w:p>
        </w:tc>
      </w:tr>
      <w:tr>
        <w:trPr/>
        <w:tc>
          <w:tcPr>
            <w:tcW w:w="28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pPr>
            <w:r>
              <w:rPr/>
              <w:t>​</w:t>
            </w:r>
          </w:p>
        </w:tc>
        <w:tc>
          <w:tcPr>
            <w:tcW w:w="1281"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right"/>
              <w:rPr/>
            </w:pPr>
            <w:r>
              <w:rPr/>
              <w:t>​</w:t>
            </w:r>
          </w:p>
        </w:tc>
        <w:tc>
          <w:tcPr>
            <w:tcW w:w="11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4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2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r>
      <w:tr>
        <w:trPr/>
        <w:tc>
          <w:tcPr>
            <w:tcW w:w="28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Convertible notes fair value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pPr>
            <w:r>
              <w:rPr/>
              <w:t>​</w:t>
            </w:r>
          </w:p>
        </w:tc>
        <w:tc>
          <w:tcPr>
            <w:tcW w:w="12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right"/>
              <w:rPr/>
            </w:pPr>
            <w:r>
              <w:rPr/>
              <w:t>​</w:t>
            </w:r>
          </w:p>
        </w:tc>
        <w:tc>
          <w:tcPr>
            <w:tcW w:w="11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2,059</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14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(4,084)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9,398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w:t>
            </w:r>
          </w:p>
        </w:tc>
      </w:tr>
      <w:tr>
        <w:trPr/>
        <w:tc>
          <w:tcPr>
            <w:tcW w:w="28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Warrant liabilities fair value adjustment</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pPr>
            <w:r>
              <w:rPr/>
              <w:t>​</w:t>
            </w:r>
          </w:p>
        </w:tc>
        <w:tc>
          <w:tcPr>
            <w:tcW w:w="12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4,973</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right"/>
              <w:rPr/>
            </w:pPr>
            <w:r>
              <w:rPr/>
              <w:t>​</w:t>
            </w:r>
          </w:p>
        </w:tc>
        <w:tc>
          <w:tcPr>
            <w:tcW w:w="11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4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r>
      <w:tr>
        <w:trPr/>
        <w:tc>
          <w:tcPr>
            <w:tcW w:w="28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right"/>
              <w:rPr/>
            </w:pPr>
            <w:r>
              <w:rPr/>
              <w:t>​</w:t>
            </w:r>
          </w:p>
        </w:tc>
        <w:tc>
          <w:tcPr>
            <w:tcW w:w="128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right"/>
              <w:rPr/>
            </w:pPr>
            <w:r>
              <w:rPr/>
              <w:t>​</w:t>
            </w:r>
          </w:p>
        </w:tc>
        <w:tc>
          <w:tcPr>
            <w:tcW w:w="117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(1,818)</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147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r>
      <w:tr>
        <w:trPr/>
        <w:tc>
          <w:tcPr>
            <w:tcW w:w="28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pPr>
            <w:r>
              <w:rPr/>
              <w:t>​</w:t>
            </w:r>
          </w:p>
        </w:tc>
        <w:tc>
          <w:tcPr>
            <w:tcW w:w="128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right"/>
              <w:rPr/>
            </w:pPr>
            <w:r>
              <w:rPr/>
              <w:t>​</w:t>
            </w:r>
          </w:p>
        </w:tc>
        <w:tc>
          <w:tcPr>
            <w:tcW w:w="117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47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r>
      <w:tr>
        <w:trPr/>
        <w:tc>
          <w:tcPr>
            <w:tcW w:w="28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income, net</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w:t>
            </w:r>
          </w:p>
        </w:tc>
      </w:tr>
      <w:tr>
        <w:trPr/>
        <w:tc>
          <w:tcPr>
            <w:tcW w:w="28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109"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8,031</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1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402</w:t>
            </w:r>
          </w:p>
        </w:tc>
        <w:tc>
          <w:tcPr>
            <w:tcW w:w="109" w:type="dxa"/>
            <w:tcBorders/>
            <w:vAlign w:val="center"/>
          </w:tcPr>
          <w:p>
            <w:pPr>
              <w:pStyle w:val="TableContents"/>
              <w:bidi w:val="0"/>
              <w:spacing w:before="0" w:after="0"/>
              <w:ind w:left="0" w:right="0" w:hanging="0"/>
              <w:jc w:val="left"/>
              <w:rPr/>
            </w:pPr>
            <w:r>
              <w:rPr/>
              <w:t>​</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13,793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w:t>
            </w:r>
          </w:p>
        </w:tc>
      </w:tr>
      <w:tr>
        <w:trPr/>
        <w:tc>
          <w:tcPr>
            <w:tcW w:w="28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2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3,606</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1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(21,278)</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4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(27,969)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5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r>
      <w:tr>
        <w:trPr/>
        <w:tc>
          <w:tcPr>
            <w:tcW w:w="28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right"/>
              <w:rPr/>
            </w:pPr>
            <w:r>
              <w:rPr/>
              <w:t>​</w:t>
            </w:r>
          </w:p>
        </w:tc>
        <w:tc>
          <w:tcPr>
            <w:tcW w:w="1281" w:type="dxa"/>
            <w:tcBorders/>
            <w:vAlign w:val="center"/>
          </w:tcPr>
          <w:p>
            <w:pPr>
              <w:pStyle w:val="TableContents"/>
              <w:bidi w:val="0"/>
              <w:spacing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right"/>
              <w:rPr/>
            </w:pPr>
            <w:r>
              <w:rPr/>
              <w:t>​</w:t>
            </w:r>
          </w:p>
        </w:tc>
        <w:tc>
          <w:tcPr>
            <w:tcW w:w="11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147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2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554" w:type="dxa"/>
            <w:tcBorders/>
            <w:vAlign w:val="center"/>
          </w:tcPr>
          <w:p>
            <w:pPr>
              <w:pStyle w:val="TableContents"/>
              <w:bidi w:val="0"/>
              <w:spacing w:before="0" w:after="0"/>
              <w:ind w:left="0" w:right="0" w:hanging="0"/>
              <w:jc w:val="right"/>
              <w:rPr/>
            </w:pPr>
            <w:r>
              <w:rPr/>
              <w:t>​</w:t>
            </w:r>
          </w:p>
        </w:tc>
      </w:tr>
      <w:tr>
        <w:trPr/>
        <w:tc>
          <w:tcPr>
            <w:tcW w:w="28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n.m</w:t>
            </w:r>
          </w:p>
        </w:tc>
      </w:tr>
      <w:tr>
        <w:trPr/>
        <w:tc>
          <w:tcPr>
            <w:tcW w:w="283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Comprehensive income (loss)</w:t>
            </w:r>
          </w:p>
        </w:tc>
        <w:tc>
          <w:tcPr>
            <w:tcW w:w="109" w:type="dxa"/>
            <w:tcBorders/>
            <w:vAlign w:val="center"/>
          </w:tcPr>
          <w:p>
            <w:pPr>
              <w:pStyle w:val="TableContents"/>
              <w:bidi w:val="0"/>
              <w:spacing w:before="0" w:after="0"/>
              <w:ind w:left="0" w:right="0" w:hanging="0"/>
              <w:jc w:val="left"/>
              <w:rPr/>
            </w:pPr>
            <w:r>
              <w:rPr/>
              <w:t>​</w:t>
            </w:r>
          </w:p>
        </w:tc>
        <w:tc>
          <w:tcPr>
            <w:tcW w:w="4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2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3,597</w:t>
            </w:r>
          </w:p>
        </w:tc>
        <w:tc>
          <w:tcPr>
            <w:tcW w:w="109" w:type="dxa"/>
            <w:tcBorders>
              <w:right w:val="single" w:sz="2" w:space="0" w:color="000000"/>
            </w:tcBorders>
            <w:tcMar>
              <w:right w:w="28" w:type="dxa"/>
            </w:tcMar>
            <w:vAlign w:val="center"/>
          </w:tcPr>
          <w:p>
            <w:pPr>
              <w:pStyle w:val="TableContents"/>
              <w:bidi w:val="0"/>
              <w:spacing w:before="0" w:after="0"/>
              <w:ind w:left="0" w:right="0" w:hanging="0"/>
              <w:jc w:val="righ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34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1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(21,275)</w:t>
            </w:r>
          </w:p>
        </w:tc>
        <w:tc>
          <w:tcPr>
            <w:tcW w:w="109" w:type="dxa"/>
            <w:tcBorders/>
            <w:vAlign w:val="center"/>
          </w:tcPr>
          <w:p>
            <w:pPr>
              <w:pStyle w:val="TableContents"/>
              <w:bidi w:val="0"/>
              <w:spacing w:before="0" w:after="0"/>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14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(27,970)</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6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w:t>
            </w:r>
          </w:p>
        </w:tc>
        <w:tc>
          <w:tcPr>
            <w:tcW w:w="5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w:t>
            </w:r>
          </w:p>
        </w:tc>
      </w:tr>
    </w:tbl>
    <w:p>
      <w:pPr>
        <w:pStyle w:val="TextBody"/>
        <w:bidi w:val="0"/>
        <w:spacing w:before="0" w:after="0"/>
        <w:ind w:left="0" w:right="0" w:hanging="0"/>
        <w:jc w:val="left"/>
        <w:rPr/>
      </w:pPr>
      <w:r>
        <w:rPr/>
        <w:t>​</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n.m. = not meaningful</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firstLine="72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revenues were $0.1 million and $53.0 thousand for the periods from July 31, 2024 to September 30, 2024 (Successor) and from July 1, 2024 to July 30, 2024 (Predecessor), respectively, and $41.0 thousand for the three months ended September 30, 2023 (Predecessor). The increase of $0.1 million, or 351%, is due to the increase of consumable sales. For the three months ended September 30, 2024, and 2023, revenue was generated only in European markets.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revenues were $0.1 million and $0.3 million for the periods from July 31, 2024 to September 30, 2024 (Successor) and from January 1, 2024 to July 30, 2024 (Predecessor), respectively, and $0.2 million for the nine months ended September 30, 2023 (Predecessor). The increase of $0.2 million, or 109%, is due to the increase of consumable sales. For the nine months ended September 30, 2024, and 2023, revenue was generated only in European markets.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Costs of revenue and operating expenses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Cost of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was $0.4 million and $0.2 million for the period from July 31, 2024 to September 30, 2024 (Successor) and from July 1, 2024 to July 30, 2024 (Predecessor), respectively, and $0.3 million for the three months ended September 30, 2023 (Predecessor). The increase of $0.3 million, or 126%, primarily resulted from a $0.3 million increase in cost of goods sold related to increased sales.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Cost of revenue was $0.4 million and $1.4 million for the period from July 31, 2024 to September 30, 2024 (Successor) and from January 1, 2024 to July 30, 2024 (Predecessor), respectively, and was $1.0 million for the nine months ended September 30, 2023 (Predecessor). The increase of $0.8 million, or 85%, primarily resulted from a $0.4 million increase in cost of goods sold related to increased sales and a $0.4 million increase in the depreciation of consoles.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were $1.2 million and $1.3 million for the period from July 31, 2024 to September 30, 2024 (Successor) and from July 1, 2024 to July 30, 2024 (Predecessor), respectively, and was $4.4 million for the three months ended September 30, 2023. The $2.0 million decrease, or 44%, was primarily related to a $0.5 million decrease in product manufacturing, $0.6 million decrease in clinical trial expense, $0.3 million decrease in animal testing cost, $33.0 thousand decrease in travel costs related to clinical studies, $0.1 million decrease in regulatory fees, $0.2 million decrease in payroll, and $0.1 million decrease in costs related to prototypes and other research and development costs. The decrease in research and development expenses results from Legacy Adagio receiving CE Marking on VT Cryoablation in March 2024.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were $1.2 million and $7.6 million for the period from July 31, 2024 to September 30, 2024 (Successor) and from January 1, 2024 to July 30, 2024 (Predecessor), respectively, and was $13.6 million for the nine months ended September 30, 2023. The $4.8 million decrease, or 35%, was primarily related to a $1.3 million decrease of manufacturing absorption costs, $1.1 million decrease in product manufacturing, $0.9 million decrease in clinical trial expense, $0.5 million decrease in animal testing cost, $0.3 million decrease in costs related to consulting and prototypes, $0.1 million decrease in travel, and $0.6 million decrease in payroll. The decrease in research and development expenses results from Legacy Adagio receiving CE Marking on VT Cryoablation in March 2024.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is a breakdown of our research and development costs by type of expense:</w:t>
      </w:r>
    </w:p>
    <w:p>
      <w:pPr>
        <w:pStyle w:val="TextBody"/>
        <w:bidi w:val="0"/>
        <w:spacing w:before="0" w:after="24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1955"/>
        <w:gridCol w:w="109"/>
        <w:gridCol w:w="314"/>
        <w:gridCol w:w="853"/>
        <w:gridCol w:w="211"/>
        <w:gridCol w:w="1126"/>
        <w:gridCol w:w="211"/>
        <w:gridCol w:w="1222"/>
        <w:gridCol w:w="109"/>
        <w:gridCol w:w="314"/>
        <w:gridCol w:w="853"/>
        <w:gridCol w:w="211"/>
        <w:gridCol w:w="1180"/>
        <w:gridCol w:w="211"/>
        <w:gridCol w:w="1326"/>
      </w:tblGrid>
      <w:tr>
        <w:trPr/>
        <w:tc>
          <w:tcPr>
            <w:tcW w:w="19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41655" cy="175260"/>
                      <wp:effectExtent l="0" t="0" r="0" b="0"/>
                      <wp:wrapNone/>
                      <wp:docPr id="264" name="Frame264"/>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715010" cy="175260"/>
                      <wp:effectExtent l="0" t="0" r="0" b="0"/>
                      <wp:wrapNone/>
                      <wp:docPr id="266" name="Frame26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775970" cy="175260"/>
                      <wp:effectExtent l="0" t="0" r="0" b="0"/>
                      <wp:wrapNone/>
                      <wp:docPr id="267" name="Frame267"/>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w: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41655" cy="175260"/>
                      <wp:effectExtent l="0" t="0" r="0" b="0"/>
                      <wp:wrapNone/>
                      <wp:docPr id="268" name="Frame268"/>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1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749300" cy="175260"/>
                      <wp:effectExtent l="0" t="0" r="0" b="0"/>
                      <wp:wrapNone/>
                      <wp:docPr id="269" name="Frame269"/>
                      <a:graphic xmlns:a="http://schemas.openxmlformats.org/drawingml/2006/main">
                        <a:graphicData uri="http://schemas.microsoft.com/office/word/2010/wordprocessingShape">
                          <wps:wsp>
                            <wps:cNvSpPr txBox="1"/>
                            <wps:spPr>
                              <a:xfrm>
                                <a:off x="0" y="0"/>
                                <a:ext cx="749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0"/>
              <w:ind w:left="0" w:right="0" w:hanging="0"/>
              <w:jc w:val="left"/>
              <w:rPr/>
            </w:pPr>
            <w:r>
              <w:rPr/>
              <w:t>​</w:t>
            </w:r>
          </w:p>
        </w:tc>
        <w:tc>
          <w:tcPr>
            <w:tcW w:w="1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842010" cy="175260"/>
                      <wp:effectExtent l="0" t="0" r="0" b="0"/>
                      <wp:wrapNone/>
                      <wp:docPr id="270" name="Frame270"/>
                      <a:graphic xmlns:a="http://schemas.openxmlformats.org/drawingml/2006/main">
                        <a:graphicData uri="http://schemas.microsoft.com/office/word/2010/wordprocessingShape">
                          <wps:wsp>
                            <wps:cNvSpPr txBox="1"/>
                            <wps:spPr>
                              <a:xfrm>
                                <a:off x="0" y="0"/>
                                <a:ext cx="842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9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 ended September 30,</w:t>
            </w:r>
          </w:p>
        </w:tc>
        <w:tc>
          <w:tcPr>
            <w:tcW w:w="109" w:type="dxa"/>
            <w:tcBorders/>
            <w:vAlign w:val="center"/>
          </w:tcPr>
          <w:p>
            <w:pPr>
              <w:pStyle w:val="TableContents"/>
              <w:bidi w:val="0"/>
              <w:spacing w:before="0" w:after="0"/>
              <w:ind w:left="0" w:right="0" w:hanging="0"/>
              <w:jc w:val="center"/>
              <w:rPr/>
            </w:pPr>
            <w:r>
              <w:rPr/>
              <w:t>​</w:t>
            </w:r>
          </w:p>
        </w:tc>
        <w:tc>
          <w:tcPr>
            <w:tcW w:w="409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Nine months ended September 30,</w:t>
            </w:r>
          </w:p>
        </w:tc>
      </w:tr>
      <w:tr>
        <w:trPr/>
        <w:tc>
          <w:tcPr>
            <w:tcW w:w="19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5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vAlign w:val="center"/>
          </w:tcPr>
          <w:p>
            <w:pPr>
              <w:pStyle w:val="TableContents"/>
              <w:bidi w:val="0"/>
              <w:spacing w:before="0" w:after="0"/>
              <w:ind w:left="0" w:right="0" w:hanging="0"/>
              <w:jc w:val="center"/>
              <w:rPr/>
            </w:pPr>
            <w:r>
              <w:rPr/>
              <w:t>​</w:t>
            </w:r>
          </w:p>
        </w:tc>
        <w:tc>
          <w:tcPr>
            <w:tcW w:w="25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95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167"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Successor</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Predecessor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Predecessor</w:t>
            </w:r>
          </w:p>
        </w:tc>
        <w:tc>
          <w:tcPr>
            <w:tcW w:w="109" w:type="dxa"/>
            <w:tcBorders/>
            <w:vAlign w:val="center"/>
          </w:tcPr>
          <w:p>
            <w:pPr>
              <w:pStyle w:val="TableContents"/>
              <w:bidi w:val="0"/>
              <w:spacing w:before="0" w:after="0"/>
              <w:ind w:left="0" w:right="0" w:hanging="0"/>
              <w:jc w:val="left"/>
              <w:rPr/>
            </w:pPr>
            <w:r>
              <w:rPr/>
              <w:t>​</w:t>
            </w:r>
          </w:p>
        </w:tc>
        <w:tc>
          <w:tcPr>
            <w:tcW w:w="1167"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Successor</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right"/>
              <w:rPr/>
            </w:pPr>
            <w:r>
              <w:rPr/>
              <w:t>​</w:t>
            </w:r>
          </w:p>
        </w:tc>
        <w:tc>
          <w:tcPr>
            <w:tcW w:w="11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Predecessor</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Predecessor</w:t>
            </w:r>
          </w:p>
        </w:tc>
      </w:tr>
      <w:tr>
        <w:trPr/>
        <w:tc>
          <w:tcPr>
            <w:tcW w:w="1955" w:type="dxa"/>
            <w:tcBorders/>
            <w:vAlign w:val="center"/>
          </w:tcPr>
          <w:p>
            <w:pPr>
              <w:pStyle w:val="TableContents"/>
              <w:bidi w:val="0"/>
              <w:spacing w:before="0" w:after="0"/>
              <w:ind w:left="0" w:right="0" w:hanging="0"/>
              <w:jc w:val="both"/>
              <w:rPr/>
            </w:pPr>
            <w:r>
              <w:rPr/>
              <w:t>​</w:t>
            </w:r>
          </w:p>
        </w:tc>
        <w:tc>
          <w:tcPr>
            <w:tcW w:w="109" w:type="dxa"/>
            <w:tcBorders/>
            <w:vAlign w:val="center"/>
          </w:tcPr>
          <w:p>
            <w:pPr>
              <w:pStyle w:val="TableContents"/>
              <w:bidi w:val="0"/>
              <w:spacing w:before="0" w:after="0"/>
              <w:ind w:left="0" w:right="0" w:hanging="0"/>
              <w:jc w:val="both"/>
              <w:rPr/>
            </w:pPr>
            <w:r>
              <w:rPr/>
              <w:t>​</w:t>
            </w:r>
          </w:p>
        </w:tc>
        <w:tc>
          <w:tcPr>
            <w:tcW w:w="1167"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31 to September 30</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1 to July 30</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1 to September 30</w:t>
            </w:r>
          </w:p>
        </w:tc>
        <w:tc>
          <w:tcPr>
            <w:tcW w:w="109" w:type="dxa"/>
            <w:tcBorders/>
            <w:vAlign w:val="center"/>
          </w:tcPr>
          <w:p>
            <w:pPr>
              <w:pStyle w:val="TableContents"/>
              <w:bidi w:val="0"/>
              <w:spacing w:before="0" w:after="0"/>
              <w:ind w:left="0" w:right="0" w:hanging="0"/>
              <w:jc w:val="left"/>
              <w:rPr/>
            </w:pPr>
            <w:r>
              <w:rPr/>
              <w:t>​</w:t>
            </w:r>
          </w:p>
        </w:tc>
        <w:tc>
          <w:tcPr>
            <w:tcW w:w="1167" w:type="dxa"/>
            <w:gridSpan w:val="2"/>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31 to September 30</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right"/>
              <w:rPr/>
            </w:pPr>
            <w:r>
              <w:rPr/>
              <w:t>​</w:t>
            </w:r>
          </w:p>
        </w:tc>
        <w:tc>
          <w:tcPr>
            <w:tcW w:w="11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 to July 30</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 to September 30</w:t>
            </w:r>
          </w:p>
        </w:tc>
      </w:tr>
      <w:tr>
        <w:trP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Pre-clinical trial costs and other research and development costs</w:t>
            </w:r>
          </w:p>
        </w:tc>
        <w:tc>
          <w:tcPr>
            <w:tcW w:w="109" w:type="dxa"/>
            <w:tcBorders/>
            <w:shd w:fill="CCEEFF" w:val="clear"/>
            <w:vAlign w:val="center"/>
          </w:tcPr>
          <w:p>
            <w:pPr>
              <w:pStyle w:val="TableContents"/>
              <w:bidi w:val="0"/>
              <w:spacing w:before="0" w:after="0"/>
              <w:ind w:left="0" w:right="0" w:hanging="0"/>
              <w:jc w:val="right"/>
              <w:rPr/>
            </w:pPr>
            <w:r>
              <w:rPr/>
              <w:t>​</w:t>
            </w:r>
          </w:p>
        </w:tc>
        <w:tc>
          <w:tcPr>
            <w:tcW w:w="3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53"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53"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w:t>
            </w:r>
          </w:p>
        </w:tc>
        <w:tc>
          <w:tcPr>
            <w:tcW w:w="2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w:t>
            </w:r>
          </w:p>
        </w:tc>
      </w:tr>
      <w:tr>
        <w:trPr/>
        <w:tc>
          <w:tcPr>
            <w:tcW w:w="19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trial costs</w:t>
            </w:r>
          </w:p>
        </w:tc>
        <w:tc>
          <w:tcPr>
            <w:tcW w:w="109" w:type="dxa"/>
            <w:tcBorders/>
            <w:vAlign w:val="center"/>
          </w:tcPr>
          <w:p>
            <w:pPr>
              <w:pStyle w:val="TableContents"/>
              <w:bidi w:val="0"/>
              <w:spacing w:before="0" w:after="0"/>
              <w:ind w:left="0" w:right="0" w:hanging="0"/>
              <w:jc w:val="right"/>
              <w:rPr/>
            </w:pPr>
            <w:r>
              <w:rPr/>
              <w:t>​</w:t>
            </w:r>
          </w:p>
        </w:tc>
        <w:tc>
          <w:tcPr>
            <w:tcW w:w="314" w:type="dxa"/>
            <w:tcBorders/>
            <w:vAlign w:val="center"/>
          </w:tcPr>
          <w:p>
            <w:pPr>
              <w:pStyle w:val="TableContents"/>
              <w:bidi w:val="0"/>
              <w:spacing w:before="0" w:after="0"/>
              <w:ind w:left="0" w:right="0" w:hanging="0"/>
              <w:jc w:val="right"/>
              <w:rPr/>
            </w:pPr>
            <w:r>
              <w:rPr/>
              <w:t>​</w:t>
            </w:r>
          </w:p>
        </w:tc>
        <w:tc>
          <w:tcPr>
            <w:tcW w:w="853"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21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211" w:type="dxa"/>
            <w:tcBorders/>
            <w:vAlign w:val="center"/>
          </w:tcPr>
          <w:p>
            <w:pPr>
              <w:pStyle w:val="TableContents"/>
              <w:bidi w:val="0"/>
              <w:spacing w:before="0" w:after="0"/>
              <w:ind w:left="0" w:right="0" w:hanging="0"/>
              <w:jc w:val="righ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w:t>
            </w:r>
          </w:p>
        </w:tc>
        <w:tc>
          <w:tcPr>
            <w:tcW w:w="109"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right"/>
              <w:rPr/>
            </w:pPr>
            <w:r>
              <w:rPr/>
              <w:t>​</w:t>
            </w:r>
          </w:p>
        </w:tc>
        <w:tc>
          <w:tcPr>
            <w:tcW w:w="853" w:type="dxa"/>
            <w:tcBorders>
              <w:right w:val="single" w:sz="2" w:space="0" w:color="000000"/>
            </w:tcBorders>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211" w:type="dxa"/>
            <w:tcBorders>
              <w:left w:val="single" w:sz="2" w:space="0" w:color="000000"/>
            </w:tcBorders>
            <w:tcMar>
              <w:left w:w="28" w:type="dxa"/>
            </w:tcMar>
            <w:vAlign w:val="center"/>
          </w:tcPr>
          <w:p>
            <w:pPr>
              <w:pStyle w:val="TableContents"/>
              <w:bidi w:val="0"/>
              <w:spacing w:before="0" w:after="0"/>
              <w:ind w:left="0" w:right="0" w:hanging="0"/>
              <w:jc w:val="right"/>
              <w:rPr/>
            </w:pPr>
            <w:r>
              <w:rPr/>
              <w:t>​</w:t>
            </w:r>
          </w:p>
        </w:tc>
        <w:tc>
          <w:tcPr>
            <w:tcW w:w="11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2,619</w:t>
            </w:r>
          </w:p>
        </w:tc>
        <w:tc>
          <w:tcPr>
            <w:tcW w:w="211" w:type="dxa"/>
            <w:tcBorders/>
            <w:vAlign w:val="center"/>
          </w:tcPr>
          <w:p>
            <w:pPr>
              <w:pStyle w:val="TableContents"/>
              <w:bidi w:val="0"/>
              <w:spacing w:before="0" w:after="0"/>
              <w:ind w:left="0" w:right="0" w:hanging="0"/>
              <w:jc w:val="right"/>
              <w:rPr/>
            </w:pPr>
            <w:r>
              <w:rPr/>
              <w:t>​</w:t>
            </w:r>
          </w:p>
        </w:tc>
        <w:tc>
          <w:tcPr>
            <w:tcW w:w="13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3,918</w:t>
            </w:r>
          </w:p>
        </w:tc>
      </w:tr>
      <w:tr>
        <w:trP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Quality assurance costs</w:t>
            </w:r>
          </w:p>
        </w:tc>
        <w:tc>
          <w:tcPr>
            <w:tcW w:w="109" w:type="dxa"/>
            <w:tcBorders/>
            <w:shd w:fill="CCEEFF" w:val="clear"/>
            <w:vAlign w:val="center"/>
          </w:tcPr>
          <w:p>
            <w:pPr>
              <w:pStyle w:val="TableContents"/>
              <w:bidi w:val="0"/>
              <w:spacing w:before="0" w:after="0"/>
              <w:ind w:left="0" w:right="0" w:hanging="0"/>
              <w:jc w:val="right"/>
              <w:rPr/>
            </w:pPr>
            <w:r>
              <w:rPr/>
              <w:t>​</w:t>
            </w:r>
          </w:p>
        </w:tc>
        <w:tc>
          <w:tcPr>
            <w:tcW w:w="314" w:type="dxa"/>
            <w:tcBorders/>
            <w:shd w:fill="CCEEFF" w:val="clear"/>
            <w:vAlign w:val="center"/>
          </w:tcPr>
          <w:p>
            <w:pPr>
              <w:pStyle w:val="TableContents"/>
              <w:bidi w:val="0"/>
              <w:spacing w:before="0" w:after="0"/>
              <w:ind w:left="0" w:right="0" w:hanging="0"/>
              <w:jc w:val="right"/>
              <w:rPr/>
            </w:pPr>
            <w:r>
              <w:rPr/>
              <w:t>​</w:t>
            </w:r>
          </w:p>
        </w:tc>
        <w:tc>
          <w:tcPr>
            <w:tcW w:w="853"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211" w:type="dxa"/>
            <w:tcBorders/>
            <w:shd w:fill="CCEEFF" w:val="clear"/>
            <w:vAlign w:val="center"/>
          </w:tcPr>
          <w:p>
            <w:pPr>
              <w:pStyle w:val="TableContents"/>
              <w:bidi w:val="0"/>
              <w:spacing w:before="0" w:after="0"/>
              <w:ind w:left="0" w:right="0" w:hanging="0"/>
              <w:jc w:val="right"/>
              <w:rPr/>
            </w:pPr>
            <w:r>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right"/>
              <w:rPr/>
            </w:pPr>
            <w:r>
              <w:rPr/>
              <w:t>​</w:t>
            </w:r>
          </w:p>
        </w:tc>
        <w:tc>
          <w:tcPr>
            <w:tcW w:w="853" w:type="dxa"/>
            <w:tcBorders>
              <w:right w:val="single" w:sz="2" w:space="0" w:color="000000"/>
            </w:tcBorders>
            <w:shd w:fill="CCEEFF" w:val="clear"/>
            <w:tcMar>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211" w:type="dxa"/>
            <w:tcBorders>
              <w:left w:val="single" w:sz="2" w:space="0" w:color="000000"/>
            </w:tcBorders>
            <w:shd w:fill="CCEEFF" w:val="clear"/>
            <w:tcMar>
              <w:left w:w="28" w:type="dxa"/>
            </w:tcMar>
            <w:vAlign w:val="center"/>
          </w:tcPr>
          <w:p>
            <w:pPr>
              <w:pStyle w:val="TableContents"/>
              <w:bidi w:val="0"/>
              <w:spacing w:before="0" w:after="0"/>
              <w:ind w:left="0" w:right="0" w:hanging="0"/>
              <w:jc w:val="right"/>
              <w:rPr/>
            </w:pPr>
            <w:r>
              <w:rPr/>
              <w:t>​</w:t>
            </w:r>
          </w:p>
        </w:tc>
        <w:tc>
          <w:tcPr>
            <w:tcW w:w="11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w:t>
            </w:r>
          </w:p>
        </w:tc>
        <w:tc>
          <w:tcPr>
            <w:tcW w:w="211" w:type="dxa"/>
            <w:tcBorders/>
            <w:shd w:fill="CCEEFF" w:val="clear"/>
            <w:vAlign w:val="center"/>
          </w:tcPr>
          <w:p>
            <w:pPr>
              <w:pStyle w:val="TableContents"/>
              <w:bidi w:val="0"/>
              <w:spacing w:before="0" w:after="0"/>
              <w:ind w:left="0" w:right="0" w:hanging="0"/>
              <w:jc w:val="right"/>
              <w:rPr/>
            </w:pPr>
            <w:r>
              <w:rPr/>
              <w:t>​</w:t>
            </w:r>
          </w:p>
        </w:tc>
        <w:tc>
          <w:tcPr>
            <w:tcW w:w="1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w:t>
            </w:r>
          </w:p>
        </w:tc>
      </w:tr>
      <w:tr>
        <w:trPr/>
        <w:tc>
          <w:tcPr>
            <w:tcW w:w="19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Operational costs</w:t>
            </w:r>
          </w:p>
        </w:tc>
        <w:tc>
          <w:tcPr>
            <w:tcW w:w="109" w:type="dxa"/>
            <w:tcBorders/>
            <w:vAlign w:val="center"/>
          </w:tcPr>
          <w:p>
            <w:pPr>
              <w:pStyle w:val="TableContents"/>
              <w:bidi w:val="0"/>
              <w:spacing w:before="0" w:after="0"/>
              <w:ind w:left="0" w:right="0" w:hanging="0"/>
              <w:jc w:val="righ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3"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righ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w:t>
            </w:r>
          </w:p>
        </w:tc>
        <w:tc>
          <w:tcPr>
            <w:tcW w:w="109" w:type="dxa"/>
            <w:tcBorders/>
            <w:vAlign w:val="center"/>
          </w:tcPr>
          <w:p>
            <w:pPr>
              <w:pStyle w:val="TableContents"/>
              <w:bidi w:val="0"/>
              <w:spacing w:before="0" w:after="0"/>
              <w:ind w:left="0" w:right="0" w:hanging="0"/>
              <w:jc w:val="left"/>
              <w:rPr/>
            </w:pPr>
            <w:r>
              <w:rPr/>
              <w:t>​</w:t>
            </w:r>
          </w:p>
        </w:tc>
        <w:tc>
          <w:tcPr>
            <w:tcW w:w="3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3" w:type="dxa"/>
            <w:tcBorders>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211" w:type="dxa"/>
            <w:tcBorders>
              <w:left w:val="single" w:sz="2" w:space="0" w:color="000000"/>
              <w:bottom w:val="single" w:sz="2" w:space="0" w:color="000000"/>
            </w:tcBorders>
            <w:tcMar>
              <w:left w:w="28" w:type="dxa"/>
              <w:bottom w:w="28" w:type="dxa"/>
            </w:tcMar>
            <w:vAlign w:val="center"/>
          </w:tcPr>
          <w:p>
            <w:pPr>
              <w:pStyle w:val="TableContents"/>
              <w:bidi w:val="0"/>
              <w:spacing w:before="0" w:after="0"/>
              <w:ind w:left="0" w:right="0" w:hanging="0"/>
              <w:jc w:val="right"/>
              <w:rPr/>
            </w:pPr>
            <w:r>
              <w:rPr/>
              <w:t>​</w:t>
            </w:r>
          </w:p>
        </w:tc>
        <w:tc>
          <w:tcPr>
            <w:tcW w:w="11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3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w:t>
            </w:r>
          </w:p>
        </w:tc>
      </w:tr>
      <w:tr>
        <w:trPr/>
        <w:tc>
          <w:tcPr>
            <w:tcW w:w="19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109" w:type="dxa"/>
            <w:tcBorders/>
            <w:shd w:fill="CCEEFF" w:val="clear"/>
            <w:vAlign w:val="center"/>
          </w:tcPr>
          <w:p>
            <w:pPr>
              <w:pStyle w:val="TableContents"/>
              <w:bidi w:val="0"/>
              <w:spacing w:before="0" w:after="0"/>
              <w:ind w:left="0" w:right="0" w:hanging="0"/>
              <w:jc w:val="righ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211"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4,418</w:t>
            </w:r>
          </w:p>
        </w:tc>
        <w:tc>
          <w:tcPr>
            <w:tcW w:w="109" w:type="dxa"/>
            <w:tcBorders/>
            <w:shd w:fill="CCEEFF" w:val="clear"/>
            <w:vAlign w:val="center"/>
          </w:tcPr>
          <w:p>
            <w:pPr>
              <w:pStyle w:val="TableContents"/>
              <w:bidi w:val="0"/>
              <w:spacing w:before="0" w:after="0"/>
              <w:ind w:left="0" w:right="0" w:hanging="0"/>
              <w:jc w:val="left"/>
              <w:rPr/>
            </w:pPr>
            <w:r>
              <w:rPr/>
              <w:t>​</w:t>
            </w:r>
          </w:p>
        </w:tc>
        <w:tc>
          <w:tcPr>
            <w:tcW w:w="3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right w:val="single" w:sz="2" w:space="0" w:color="000000"/>
            </w:tcBorders>
            <w:shd w:fill="CCEEFF" w:val="clear"/>
            <w:tcMar>
              <w:bottom w:w="28" w:type="dxa"/>
              <w:right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w:t>
            </w:r>
          </w:p>
        </w:tc>
        <w:tc>
          <w:tcPr>
            <w:tcW w:w="211" w:type="dxa"/>
            <w:tcBorders>
              <w:left w:val="single" w:sz="2" w:space="0" w:color="000000"/>
              <w:bottom w:val="double" w:sz="6" w:space="0" w:color="000000"/>
            </w:tcBorders>
            <w:shd w:fill="CCEEFF" w:val="clear"/>
            <w:tcMar>
              <w:left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7,585</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2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13,625</w:t>
            </w:r>
          </w:p>
        </w:tc>
      </w:tr>
    </w:tbl>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clinical trial expenses relate to trials for our iCLAS atrial ULTC catheter and system (CYROCURE-2), iCLAS atrial ULTC catheter and system (iCLAS for PsAF), vCLAS ventricular ULTC catheter (CYROCURE-VT), vCLAS ventricular ULTC catheter (FULCRUM-VT), and PFCA catheter. Clinical trial costs include the expenses spent on clinical trials studies and other related expenses. Quality assurance includes regulatory fees and third-party service fees. Pre-clinical trial costs and other research and development costs includes the expenses resulting from professional fees, prototypes, and animal testing. Operational costs includes the expenses spent on product manufacturing.</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general and administrative expenses were $2.9 million and $4.9 million for the period from July 31, 2024 to September 30, 2024 (Successor) and from July 1, 2024 to July 30, 2024 (Predecessor), respectively, and $4.5 million for the three months ended September 30, 2023 (Predecessor). The increase in selling, general and administrative expenses of $3.3 million, or 75%, is primarily due to an increase of $2.4 million in professional fees which include legal and accounting fees related to the transaction costs associated with the Business Combination and an increase in payroll and personnel expense of $0.9 million.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general and administrative expenses were $2.9 million and $13.0 million for the period from July 31, 2024 to September 30, 2024 (Successor) and from January 1, 2024 to July 30, 2024 (Predecessor), respectively, and $8.2 million for the nine months ended September 30, 2023 (Predecessor). The increase in selling, general and administrative expenses of $7.7 million, or 94%, is primarily due to an increase of $5.7 million in professional fees which include legal and accounting fees related to the transaction costs associated with the Business Combination and an increase in payroll and personnel expense of $1.9 million and an increase in building and maintenance costs of $0.2 million.</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notes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convertible notes fair value decreased $3.3 million and increased $1.9 million for the period from July 31, 2024 to September 30, 2024 (Successor) and from July 1, 2024 to July 30, 2024 (Predecessor), respectively, and increased $1.1 million for the three months ended September 30, 2023 (Predecessor). The decrease of $3.3 million for the period from July 31, 2024 to September 30, 2024 (Successor) is due to a decrease in the fair value of the Convertible Securities Notes. The increase of $1.9 million from July 1, 2024 to July 30, 2024 (Predecessor) is related to an increase in the fair value of the April 2023 Convertible Notes, November 2023 Convertible Notes, May 2024 Convertible Notes, June 2024 Convertible Notes, and July 2024 Convertible Notes of $3.3 million, $1.7 million, $0.7 million, $0.6 million, and $0.2 million, respectively. The increases were offset by decreases in the fair value of the October 2022 Convertible notes and February 2023 Notes of $4.6 million and $39.0 thousand, respectively. The increase of $1.1 million for the three months ended September 30, 2023 (Predecessor) is due to a fair value increase of the October 2022 Convertible Notes and the April 2023 Convertible Notes of $0.9 million and $0.1 million, respectively.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convertible notes fair value decreased $3.3 million and $2.1 million for the period from July 31, 2024 to September 30, 2024 (Successor) and from January 1, 2024 to July 30, 2024 (Predecessor), respectively, and increased $4.1 million for the nine months ended September 30, 2023 (Predecessor). The decrease of $3.3 million for the period from July 31, 2024 to September 30, 2024 (Successor) is due to a decrease in the fair value of the Convertible Securities Notes. The decrease of $2.1 million January 1, 2024 to July 30, 2024 (Predecessor) is related to decreases in the October 2022 Convertible Notes, November 2023 Convertible Notes, and February 2024 Convertible Notes of $4.3 million, $2.4 million, and $0.3 million, respectively. These decreases were offset by increases in the April 2023 Convertible Notes, May 2024 Convertible Notes, June 2024 Convertible Notes, July 2024 Convertible Notes of $3.4 million, $0.7 million, $0.6 million, and $0.2 million, respectively. The increase of $4.1 million for the nine months ended September 30, 2023 (Predecessor) is due to a fair value increase of the October 2022 Convertible Notes and the April 2023 Convertible Notes of $3.9 million and $0.2 million, respectively.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 liabilities fair value adjustment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warrant liabilities fair value decreased $5.0 million and $0.2 million for the period from July 31, 2024 to September 30, 2024 (Successor) and from July 1, 2024 to July 30, 2024 (Predecessor), respectively, and increased $22.6 thousand for the three months ended September 30, 2023 (Predecessor). The decrease of $5.0 million from July 31, 2024 to September 30, 2024 (Successor) is related to a decrease in the fair value of the PIPE Pre-funded Warrants and the Convert Warrants of $2.7 million and $2.3 million, respectively. The decrease of $0.2 million from July 1, 2024 to July 30, 2024 (Predecessor) is related to a decrease in the fair value of SVB Warrants and Series E Pre-funded Warrants of $63.3 thousand and $0.1 million, respectively. The increase of $22.6 thousand for the three months ended September 30, 2023 (Predecessor) is due to a fair value increase of the SVB Warrants.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warrant liabilities fair value decreased $5.0 million and $0.2 million for the period from July 31, 2024 to September 30, 2024 (Successor) and from January 1, 2024 to July 30, 2024 (Predecessor), respectively, and increased $82.7 thousand for the nine months ended September 30, 2023 (Predecessor). The decrease of $5.0 million from July 31, 2024 to September 30, 2024 (Successor) is related to a decrease in the fair value of the PIPE Pre-funded Warrants and the Convert Warrants of $2.7 million and $2.3 million, respectively. The decrease of $0.2 million from January 1, 2024 to July 30, 2024 (Predecessor) is related to a decrease in the fair value of SVB Warrants and Series E Pre-funded Warrants of $77.6 thousand and $0.1 million, respectively. The increase of $82.7 thousand for the nine months ended September 30, 2023 (Predecessor) is due to a fair value increase of the SVB Warrants.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was $0.4 million and $0.3 million for the period from July 31, 2024 to September 30, 2024 (Successor) and from July 1, 2024 to July 30, 2024 (Predecessor), respectively, and was $0.5 million for the three months ended September 30, 2023 (Predecessor). The increase of $0.3 million, or 52%, was related to additional interest incurred from the convertible promissory notes issued in November 2023, February 2024, May 2024, June 2024, July 2024 Notes, and the Convertible Securities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was $0.4 million and $1.8 million for the period from July 31, 2024 to September 30, 2024 (Successor) and from January 1, 2024 to July 30, 2024 (Predecessor), respectively, and was $1.1 million for the nine months ended September 30, 2023 (Predecessor). The increase of $1.2 million, or 108% was related to additional interest incurred from the convertible promissory notes issued in April 2023, November 2023, February 2024, May 2024, June 2024, July 2024 Notes, and the Convertible Securities Notes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income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was $0.2 million and nil for the period from July 31, 2024 to September 30, 2024 (Successor) and from July 1, 2024 to July 30, 2024 (Predecessor), respectively, and was $2.0 thousand for the three months ended September 30, 2023 (Predecessor). The increase in interest income of $0.2 million is primarily due to the increase of cash balances in an asset management account.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was $0.2 million and $3.0 thousand for the period from July 31, 2024 to September 30, 2024 (Successor) and from January 1, 2024 to July 30, 2024 (Predecessor), respectively, and was $2.0 thousand for the nine months ended September 30, 2023 (Predecessor). The increase in interest income of $0.2 million, is primarily due to the increase of cash balances in an asset management account.</w:t>
      </w:r>
    </w:p>
    <w:p>
      <w:pPr>
        <w:pStyle w:val="TextBody"/>
        <w:bidi w:val="0"/>
        <w:spacing w:before="0" w:after="240"/>
        <w:ind w:left="0" w:right="0" w:hanging="0"/>
        <w:jc w:val="both"/>
        <w:rPr/>
      </w:pPr>
      <w:r>
        <w:rPr/>
        <w:t>​</w:t>
      </w:r>
    </w:p>
    <w:p>
      <w:pPr>
        <w:pStyle w:val="TextBody"/>
        <w:bidi w:val="0"/>
        <w:spacing w:before="40" w:after="0"/>
        <w:ind w:left="0" w:right="0" w:hanging="0"/>
        <w:jc w:val="left"/>
        <w:rPr>
          <w:rFonts w:ascii="Times New Roman;Times;serif" w:hAnsi="Times New Roman;Times;serif"/>
          <w:b/>
          <w:i/>
          <w:sz w:val="20"/>
        </w:rPr>
      </w:pPr>
      <w:r>
        <w:rPr>
          <w:rFonts w:ascii="Times New Roman;Times;serif" w:hAnsi="Times New Roman;Times;serif"/>
          <w:b/>
          <w:i/>
          <w:sz w:val="20"/>
        </w:rPr>
        <w:t>Other income (expense), net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income was $72.0 thousand and $5.0 thousand for the period from July 31, 2024 to September 30, 2024 (Successor) and from July 1, 2024 to July 30, 2024 (Predecessor), respectively, compared to other expense of $0.1 million for the three months ended September 30, 2023 (Predecessor). This increase in other income of $0.2 million was primarily attributable to the foreign exchange currency gain of $0.2 million.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income was $72.0 thousand and other expense was $33.0 thousand for the period from July 31, 2024 to September 30, 2024 (Successor) and from January 1, 2024 to July 30, 2024 (Predecessor), respectively, compared to other expense of $0.1 million for the nine months ended September 30, 2023 (Predecessor). This net increase in other income of $0.2 million was primarily attributable to the foreign exchange currency gain of $0.2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To date, we have financed our operations primarily through the sale of equity securities, convertible promissory notes and the SVB Term Loan. Since inception we have incurred operating losses and negative cash flows and anticipate continuing to do so for at least the next several years.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September 30, 2024 and December 31, 2023, the Successor had cash and cash equivalents of $28.3 million and Predecessor had $1.4 million, respectively. For the period from July 31, 2024 to September 30, 2024 (Successor) and from January 1, 2024 to July 30, 2024 (Predecessor), net income (losses) were $3.6 million and $(21.3) million, respectively, and was $(28.0) million for the nine months ended September 30, 2023 (Predecessor). For the period from July 31, 2024 to September 30, 2024 (Successor), the period from January 1, 2024 to July 30, 2024 (Predecessor), and for the nine months ended September 30, 2023 (Predecessor) net cash used in operating activities was $6.4 million, $16.0 million, and $18.6 million, respectively. </w:t>
      </w:r>
    </w:p>
    <w:p>
      <w:pPr>
        <w:pStyle w:val="TextBody"/>
        <w:bidi w:val="0"/>
        <w:spacing w:before="0" w:after="240"/>
        <w:ind w:left="0" w:right="0" w:hanging="0"/>
        <w:jc w:val="both"/>
        <w:rPr>
          <w:caps w:val="false"/>
          <w:smallCaps w:val="false"/>
        </w:rPr>
      </w:pPr>
      <w:r>
        <w:rPr>
          <w:caps w:val="false"/>
          <w:smallCaps w:val="false"/>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twelve months after the issuance date of the financial statements, the Company projects $0.8 million of cash inflows from revenue. The Company does not require significant cash reserve to meet short term and long-term obligations with a balance of approximately $4.4 million for accounts payable, $2.9 million for accrued liabilities, and $0.4 million for other accrued liabilities as of September 30, 2024 (Successor). With the Company currently having a balance of $28.3 million in cash as of September 30, 2024 after the Closing of the Business Combination (refer to the Description of the Merger for additional details), the Company has more than adequate cash reserves to cover its current and non-current liabilities.</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Future Funding Requirements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the future, we may need to raise additional funds through the issuance of debt and/or equity securities or otherwise. Until such time, if ever, that we can generate revenue sufficient to achieve profitability, we expect to finance our operations through equity or debt financings, which may not be available to us on the timing needed or on terms that we deem to be favorable.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We may be required to delay, limit, reduce or terminate our product discovery and development activities or future commercialization efforts.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future liquidity and capital funding requirements will depend on numerous factors, including:</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revenue growth;</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research and development efforts;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sales and marketing activities;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our ability to raise additional funds to finance our operations;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outcome, costs and timing of any clinical trial results for our current or future products;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emergence and effect of competing or complementary products;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availability and amount of reimbursement for procedures using our products;</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 xml:space="preserve">our ability to maintain, expand and defend the scope of our intellectual property portfolio, including the amount and timing of </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any payments we may be required to make, or that we may receive, in connection with the licensing, filing, prosecution, defense and enforcement of any patents or other intellectual property rights;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pPr>
            <w:r>
              <w:rPr/>
              <w:t>•</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our ability to retain our current employees and the need and ability to hire additional management and sales, scientific and medical personnel;  </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20"/>
        </w:rPr>
        <w:t>the terms and timing of any collaborative, licensing or other arrangements that we have or may establish;</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debt service requirements; and</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 xml:space="preserve">the extent to which we acquire or invest in businesses, products or technologies;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Our primary uses of capital are, and we expect will continue to be, investment in our commercial organization and related expenses, clinical research and development services, and related supplies, legal and other regulatory expenses, general administrative costs and working capital.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See the section titled “Risk Factors” of the Company's Current Report on Form 8-K filed with the SEC on August 6, 2024 for additional risks associated with our substantial capital requirements.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Debt Obligations (Predecessor)</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October 2022 Convertible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October 2022, we entered into a Note Purchase Agreement with investors for the issuance and sale of convertible promissory notes (the “October 2022 Convertible Notes”) with an aggregate principal amount of $9.5 million at an interest rate of eight percent (8.0%) per year. The October 2022 Convertible Notes had an original maturity date of October 27, 2023, which was subsequently extended to the latest of (i) January 5, 2024, (ii) termination of agreements between Legacy Adagio and ARYA in connection with a non-binding summary of certain proposed terms and conditions of the Business Combination, or (iii) the termination or lapse of the exclusivity period as defined in the non-binding term sheet as mentioned above.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October 2022 Convertible Notes were also amended to be subordinate to the April 2023 Convertible Notes (as described below) and provide for the conversion of all principal and accrued interest in respect of all the October 2022 Convertible Notes into shares of Series E Preferred Stock of Legacy Adagio in connection with the Business Combination. (refer to </w:t>
      </w:r>
      <w:r>
        <w:rPr>
          <w:rFonts w:ascii="Times New Roman;Times;serif" w:hAnsi="Times New Roman;Times;serif"/>
          <w:i/>
          <w:sz w:val="20"/>
        </w:rPr>
        <w:t>Note 9-Debt</w:t>
      </w:r>
      <w:r>
        <w:rPr>
          <w:rFonts w:ascii="Times New Roman;Times;serif" w:hAnsi="Times New Roman;Times;serif"/>
          <w:sz w:val="20"/>
        </w:rPr>
        <w:t xml:space="preserve"> in our condensed consolidated financial statements for additional details).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November 2023 and February 2024, the October 2022 Convertible Notes were further amended to also subordinate the November 2023 Convertible Notes and the 2024 Bridge Financing Note. Upon the consummation of the Business Combination, all principal and accrued interest in respect of the October 2022 Convertible Notes were converted into shares of Legacy Adagio Common Stock when multiplied by the exchange ratio applicable to the Legacy Adagio Common Stock in the Business Combination, which entitled the holder of this note to receive a number of shares of the same class of common stock that were issued in the PIPE Financing equal to the then outstanding principal amount and any accrued and unpaid interest under this note, divided by 75% of the effective price of each share of common stock sold in the PIPE Financing. Further, on the Closing Date, Legacy Adagio common stocks were converted to the Company’s Common Stock based on the exchange ratio set forth in the Business Combination Agreement.</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October 2022 Convertible Notes automatically converted into 1,444,899 shares of the Company’s Common Stock.</w:t>
      </w:r>
    </w:p>
    <w:p>
      <w:pPr>
        <w:pStyle w:val="TextBody"/>
        <w:bidi w:val="0"/>
        <w:spacing w:before="0" w:after="0"/>
        <w:ind w:left="0" w:right="0" w:hanging="0"/>
        <w:jc w:val="both"/>
        <w:rPr/>
      </w:pPr>
      <w:r>
        <w:rPr/>
        <w:t>​</w:t>
      </w:r>
    </w:p>
    <w:p>
      <w:pPr>
        <w:pStyle w:val="TextBody"/>
        <w:bidi w:val="0"/>
        <w:spacing w:before="120" w:after="0"/>
        <w:ind w:left="0" w:right="0" w:hanging="0"/>
        <w:jc w:val="left"/>
        <w:rPr>
          <w:rFonts w:ascii="Times New Roman;Times;serif" w:hAnsi="Times New Roman;Times;serif"/>
          <w:i/>
          <w:sz w:val="20"/>
        </w:rPr>
      </w:pPr>
      <w:r>
        <w:rPr>
          <w:rFonts w:ascii="Times New Roman;Times;serif" w:hAnsi="Times New Roman;Times;serif"/>
          <w:i/>
          <w:sz w:val="20"/>
        </w:rPr>
        <w:t>Bridge Financing Notes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April 2023 Convertible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April 2023, we issued a $5.0 million convertible promissory note that would mature on the latest of (i) January 5, 2024, (ii) termination of agreements between Legacy Adagio and ARYA in connection with the Business Combination, or (iii) the termination or lapse of the exclusivity period as defined in the non-binding term sheet as mentioned above, and accrued simple interest at eight percent (8.0%) per annum. Additionally, we obtained the right to issue up to $10.0 million in additional convertible promissory notes available beginning one month after April 4, 2023 through the occurrence of an ARYA stockholder vote with regard to the Business Combination.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November 2023, the April 2023 Notes were amended to align certain terms to the November 2023 Notes (refer to </w:t>
      </w:r>
      <w:r>
        <w:rPr>
          <w:rFonts w:ascii="Times New Roman;Times;serif" w:hAnsi="Times New Roman;Times;serif"/>
          <w:i/>
          <w:sz w:val="20"/>
        </w:rPr>
        <w:t>Note 9-Debt</w:t>
      </w:r>
      <w:r>
        <w:rPr>
          <w:rFonts w:ascii="Times New Roman;Times;serif" w:hAnsi="Times New Roman;Times;serif"/>
          <w:sz w:val="20"/>
        </w:rPr>
        <w:t xml:space="preserve"> in our condensed consolidated financial statements for the periods ended September 30, 2024, and December 31, 2023, for additional details).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November 2023 Convertible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November 28, 2023, Legacy Adagio issued to Perceptive Life Sciences Master Fund, Ltd. (the “Perceptive PIPE Investor”), a $2.0 million convertible promissory note that would mature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“November 2023 Notes”). The November 2023 Notes accrued simple interest at eight percent (8.0%) per annum. Additionally, Legacy Adagio obtained the right to issue up to $6.0 million of Delayed Draw Commitment available beginning one month after November 28, 2023, through the occurrence of an ARYA stockholder vote with regard to the Business Combination.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December 2023, the November 2023 Notes were amended to permit the issuance of a Delayed Draw Commitment in the original amount of $6.0 million. On December 13, 2023, and December 28, 2023, Legacy Adagio drew the principal amount of $1.0 million and $2.0 million, respectively. As of September 30, 2024, Legacy Adagio drew the remaining principal amount of $3.0 million. The combined $6.0 million convertible promissory notes were issued pursuant to the clause and terms in the November 2023 Notes agreement (refer to </w:t>
      </w:r>
      <w:r>
        <w:rPr>
          <w:rFonts w:ascii="Times New Roman;Times;serif" w:hAnsi="Times New Roman;Times;serif"/>
          <w:i/>
          <w:sz w:val="20"/>
        </w:rPr>
        <w:t>Note 9- Debt</w:t>
      </w:r>
      <w:r>
        <w:rPr>
          <w:rFonts w:ascii="Times New Roman;Times;serif" w:hAnsi="Times New Roman;Times;serif"/>
          <w:sz w:val="20"/>
        </w:rPr>
        <w:t xml:space="preserve"> in our condensed consolidated financial statements for additional details).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May 2024 Convertible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May 21, 2024, Legacy Adagio issued a $3.0 million convertible promissory note (“May 2024 Notes”) to Perceptive PIPE Investor that matures upon the termination of the Business Combination Agreement in accordance with its terms. It accrues simple interest at eight percent (8.0%) per annum.</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 xml:space="preserve">June 2024 Notes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25, 2024, Legacy Adagio issued a $2.5 million convertible promissory note (“June 2024 Notes”) to Perceptive PIPE Investor that matures upon the termination of the Business Combination Agreement in accordance with its terms. It accrues simple interest at eight percent (8.0%) per annum.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July 2024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23, 2024, Legacy Adagio issued a $1.0 million convertible promissory note (“July 2024 Notes”) to Perceptive PIPE Investor that matures upon the termination of the Business Combination Agreement in accordance with its terms. It accrues simple interest at eight percent (8.0%) per annum.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Business Combination Agreement, the outstanding $29.5 million principal along with the accrued but unpaid interest of the Bridge Financing Notes, was converted in exchange for 4,372,607 shares of the Company’s Common Stock and 3,540,000 Base Warrants as part of the PIPE Financing.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February 2024 Convertible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February 13, 2024, the Legacy Adagio issued to Perceptive PIPE Investor a principal of $7.0 million convertible promissory note that matures upon the termination of the Business Combination Agreement in accordance with its terms. The February 2024 Convertible Notes accrues simple interest at eight percent (8.0%) per annum.</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Upon the consummation of the Business Combination, the February 2024 Convertible Notes was automatically transferred to the Company in connection with the issuance of the Convertible Securities Notes to Perceptive PIPE Investor, pursuant to, and in accordance with, the note purchase agreement and the Convertible Security Subscription Agreement (as defined below), dated February 13, 2024, by and among the Company, ARYA, Legacy Adagio and Perceptive PIPE Investor. Any interest accrued on the principal amount of the February 2024 Convertible Notes will be forfeited in connection with the transfer of the notes to the Company.</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the Closing Date, the $7.0 million of February 2024 Convertible Notes were converted into $7.0 million Convertible Securities Notes and 525,000 Convert Warrants.</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SVB Term Loan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February 2023, Legacy Adagio entered into an agreement with Silicon Valley Bank to borrow an initial term loan advance of $3.0 million and a right to borrow a subsequent term loan advance of $2.0 million (“SVB Term Loan”). The loans matured on January 1, 2025. In conjunction with the SVB Term Loan, Legacy Adagio issued warrants to acquire 32,720 shares of common stock  in February 2023 and distributed additional warrants to acquire 16,360 shares of common stock as of September 30, 2023 (“SVB Warrant”). Prior to the Closing of the Business Combination, the existing SVB Term Loan of Legacy Adagio as on July 30, 2024 had a net balance of $1.0 million, including $1.0 million of principal payment due within twelve months with an unamortized debt discount of $9.7 thousand. The unpaid principal and accrued interest were carried as assumed liabilities to the Company and paid at the Closing. (Refer to </w:t>
      </w:r>
      <w:r>
        <w:rPr>
          <w:rFonts w:ascii="Times New Roman;Times;serif" w:hAnsi="Times New Roman;Times;serif"/>
          <w:i/>
          <w:sz w:val="20"/>
        </w:rPr>
        <w:t>Note 9-Debt</w:t>
      </w:r>
      <w:r>
        <w:rPr>
          <w:rFonts w:ascii="Times New Roman;Times;serif" w:hAnsi="Times New Roman;Times;serif"/>
          <w:sz w:val="20"/>
        </w:rPr>
        <w:t xml:space="preserve"> in our condensed consolidated financial statements for additional details).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Debt Obligations (Successor)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Convertible Securities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total of $20.0 million Convertible Securities Notes will be convertible into shares of the Company’s Common Stock at a conversion price of $10.00 per share, subject to adjustment per the terms of the agreement, and the total of 1,500,000 warrants, each of which will be exercisable on a cashless basis or for one share of the Company’s Common Stock at $24.00 per share, subject to adjustment. The Convertible Securities Notes have a maturity of three years and nine months after the Closing and interest will be payable in cash or compound as additional principal outstanding which accrues on a quarterly basis.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conversion of the February 2024 Convertible Notes was carried out on the same terms as the other Convert Investors executing the Convertible Security Subscription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shows a summary of our cash flows for each of the periods shown below:</w:t>
      </w:r>
    </w:p>
    <w:p>
      <w:pPr>
        <w:pStyle w:val="TextBody"/>
        <w:bidi w:val="0"/>
        <w:spacing w:before="0" w:after="240"/>
        <w:ind w:left="0" w:right="0" w:hanging="0"/>
        <w:jc w:val="left"/>
        <w:rPr/>
      </w:pPr>
      <w:r>
        <w:rPr/>
        <w:t>​</w:t>
      </w:r>
    </w:p>
    <w:tbl>
      <w:tblPr>
        <w:tblW w:w="10202" w:type="dxa"/>
        <w:jc w:val="left"/>
        <w:tblInd w:w="0" w:type="dxa"/>
        <w:tblLayout w:type="fixed"/>
        <w:tblCellMar>
          <w:top w:w="0" w:type="dxa"/>
          <w:left w:w="0" w:type="dxa"/>
          <w:bottom w:w="0" w:type="dxa"/>
          <w:right w:w="0" w:type="dxa"/>
        </w:tblCellMar>
      </w:tblPr>
      <w:tblGrid>
        <w:gridCol w:w="3916"/>
        <w:gridCol w:w="109"/>
        <w:gridCol w:w="523"/>
        <w:gridCol w:w="1427"/>
        <w:gridCol w:w="109"/>
        <w:gridCol w:w="109"/>
        <w:gridCol w:w="406"/>
        <w:gridCol w:w="1274"/>
        <w:gridCol w:w="109"/>
        <w:gridCol w:w="509"/>
        <w:gridCol w:w="1711"/>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486660" cy="175260"/>
                      <wp:effectExtent l="0" t="0" r="0" b="0"/>
                      <wp:wrapNone/>
                      <wp:docPr id="271" name="Frame271"/>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32105" cy="175260"/>
                      <wp:effectExtent l="0" t="0" r="0" b="0"/>
                      <wp:wrapNone/>
                      <wp:docPr id="273" name="Frame273"/>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906145" cy="175260"/>
                      <wp:effectExtent l="0" t="0" r="0" b="0"/>
                      <wp:wrapNone/>
                      <wp:docPr id="274" name="Frame274"/>
                      <a:graphic xmlns:a="http://schemas.openxmlformats.org/drawingml/2006/main">
                        <a:graphicData uri="http://schemas.microsoft.com/office/word/2010/wordprocessingShape">
                          <wps:wsp>
                            <wps:cNvSpPr txBox="1"/>
                            <wps:spPr>
                              <a:xfrm>
                                <a:off x="0" y="0"/>
                                <a:ext cx="906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9215" cy="175260"/>
                      <wp:effectExtent l="0" t="0" r="0" b="0"/>
                      <wp:wrapNone/>
                      <wp:docPr id="275" name="Frame2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57810" cy="175260"/>
                      <wp:effectExtent l="0" t="0" r="0" b="0"/>
                      <wp:wrapNone/>
                      <wp:docPr id="277" name="Frame27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808990" cy="175260"/>
                      <wp:effectExtent l="0" t="0" r="0" b="0"/>
                      <wp:wrapNone/>
                      <wp:docPr id="278" name="Frame278"/>
                      <a:graphic xmlns:a="http://schemas.openxmlformats.org/drawingml/2006/main">
                        <a:graphicData uri="http://schemas.microsoft.com/office/word/2010/wordprocessingShape">
                          <wps:wsp>
                            <wps:cNvSpPr txBox="1"/>
                            <wps:spPr>
                              <a:xfrm>
                                <a:off x="0" y="0"/>
                                <a:ext cx="808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79"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23215" cy="175260"/>
                      <wp:effectExtent l="0" t="0" r="0" b="0"/>
                      <wp:wrapNone/>
                      <wp:docPr id="280" name="Frame280"/>
                      <a:graphic xmlns:a="http://schemas.openxmlformats.org/drawingml/2006/main">
                        <a:graphicData uri="http://schemas.microsoft.com/office/word/2010/wordprocessingShape">
                          <wps:wsp>
                            <wps:cNvSpPr txBox="1"/>
                            <wps:spPr>
                              <a:xfrm>
                                <a:off x="0" y="0"/>
                                <a:ext cx="323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086485" cy="175260"/>
                      <wp:effectExtent l="0" t="0" r="0" b="0"/>
                      <wp:wrapNone/>
                      <wp:docPr id="281" name="Frame281"/>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6177"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 </w:t>
            </w:r>
          </w:p>
        </w:tc>
      </w:tr>
      <w:tr>
        <w:trPr/>
        <w:tc>
          <w:tcPr>
            <w:tcW w:w="391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38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109" w:type="dxa"/>
            <w:tcBorders/>
            <w:vAlign w:val="center"/>
          </w:tcPr>
          <w:p>
            <w:pPr>
              <w:pStyle w:val="TableContents"/>
              <w:bidi w:val="0"/>
              <w:spacing w:before="0" w:after="0"/>
              <w:ind w:left="0" w:right="0" w:hanging="0"/>
              <w:jc w:val="left"/>
              <w:rPr/>
            </w:pPr>
            <w:r>
              <w:rPr/>
              <w:t>​</w:t>
            </w:r>
          </w:p>
        </w:tc>
        <w:tc>
          <w:tcPr>
            <w:tcW w:w="2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3916"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1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c>
          <w:tcPr>
            <w:tcW w:w="109" w:type="dxa"/>
            <w:tcBorders/>
            <w:vAlign w:val="center"/>
          </w:tcPr>
          <w:p>
            <w:pPr>
              <w:pStyle w:val="TableContents"/>
              <w:bidi w:val="0"/>
              <w:spacing w:before="0" w:after="0"/>
              <w:ind w:left="0" w:right="0" w:hanging="0"/>
              <w:jc w:val="left"/>
              <w:rPr/>
            </w:pPr>
            <w:r>
              <w:rPr/>
              <w:t>​</w:t>
            </w:r>
          </w:p>
        </w:tc>
        <w:tc>
          <w:tcPr>
            <w:tcW w:w="2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r>
      <w:tr>
        <w:trPr/>
        <w:tc>
          <w:tcPr>
            <w:tcW w:w="3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July 31 to September 30</w:t>
            </w:r>
          </w:p>
        </w:tc>
        <w:tc>
          <w:tcPr>
            <w:tcW w:w="109" w:type="dxa"/>
            <w:tcBorders>
              <w:right w:val="single" w:sz="2" w:space="0" w:color="000000"/>
            </w:tcBorders>
            <w:tcMar>
              <w:right w:w="28" w:type="dxa"/>
            </w:tcMar>
            <w:vAlign w:val="center"/>
          </w:tcPr>
          <w:p>
            <w:pPr>
              <w:pStyle w:val="TableContents"/>
              <w:bidi w:val="0"/>
              <w:spacing w:before="0" w:after="0"/>
              <w:ind w:left="0" w:right="0" w:hanging="0"/>
              <w:jc w:val="center"/>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center"/>
              <w:rPr/>
            </w:pPr>
            <w:r>
              <w:rPr/>
              <w:t>​</w:t>
            </w:r>
          </w:p>
        </w:tc>
        <w:tc>
          <w:tcPr>
            <w:tcW w:w="1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January 1 to July 30</w:t>
            </w:r>
          </w:p>
        </w:tc>
        <w:tc>
          <w:tcPr>
            <w:tcW w:w="109" w:type="dxa"/>
            <w:tcBorders/>
            <w:vAlign w:val="center"/>
          </w:tcPr>
          <w:p>
            <w:pPr>
              <w:pStyle w:val="TableContents"/>
              <w:bidi w:val="0"/>
              <w:spacing w:before="0" w:after="0"/>
              <w:ind w:left="0" w:right="0" w:hanging="0"/>
              <w:jc w:val="left"/>
              <w:rPr/>
            </w:pPr>
            <w:r>
              <w:rPr/>
              <w:t>​</w:t>
            </w:r>
          </w:p>
        </w:tc>
        <w:tc>
          <w:tcPr>
            <w:tcW w:w="2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January 1 to September 30</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27"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(6,358)</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(15,990)</w:t>
            </w:r>
          </w:p>
        </w:tc>
        <w:tc>
          <w:tcPr>
            <w:tcW w:w="109" w:type="dxa"/>
            <w:tcBorders/>
            <w:shd w:fill="CCEEFF" w:val="clear"/>
            <w:vAlign w:val="center"/>
          </w:tcPr>
          <w:p>
            <w:pPr>
              <w:pStyle w:val="TableContents"/>
              <w:bidi w:val="0"/>
              <w:spacing w:before="0" w:after="0"/>
              <w:ind w:left="0" w:right="0" w:hanging="0"/>
              <w:jc w:val="left"/>
              <w:rPr/>
            </w:pPr>
            <w:r>
              <w:rPr/>
              <w:t>​</w:t>
            </w:r>
          </w:p>
        </w:tc>
        <w:tc>
          <w:tcPr>
            <w:tcW w:w="5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(18,561)</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activates</w:t>
            </w:r>
          </w:p>
        </w:tc>
        <w:tc>
          <w:tcPr>
            <w:tcW w:w="109"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left"/>
              <w:rPr/>
            </w:pPr>
            <w:r>
              <w:rPr/>
              <w:t> </w:t>
            </w:r>
          </w:p>
        </w:tc>
        <w:tc>
          <w:tcPr>
            <w:tcW w:w="1427"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 </w:t>
            </w:r>
          </w:p>
        </w:tc>
        <w:tc>
          <w:tcPr>
            <w:tcW w:w="12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w:t>
            </w:r>
          </w:p>
        </w:tc>
        <w:tc>
          <w:tcPr>
            <w:tcW w:w="109" w:type="dxa"/>
            <w:tcBorders/>
            <w:vAlign w:val="center"/>
          </w:tcPr>
          <w:p>
            <w:pPr>
              <w:pStyle w:val="TableContents"/>
              <w:bidi w:val="0"/>
              <w:spacing w:before="0" w:after="0"/>
              <w:ind w:left="0" w:right="0" w:hanging="0"/>
              <w:jc w:val="left"/>
              <w:rPr/>
            </w:pPr>
            <w:r>
              <w:rPr/>
              <w:t>​</w:t>
            </w:r>
          </w:p>
        </w:tc>
        <w:tc>
          <w:tcPr>
            <w:tcW w:w="509" w:type="dxa"/>
            <w:tcBorders/>
            <w:vAlign w:val="center"/>
          </w:tcPr>
          <w:p>
            <w:pPr>
              <w:pStyle w:val="TableContents"/>
              <w:bidi w:val="0"/>
              <w:spacing w:before="0" w:after="0"/>
              <w:ind w:left="0" w:right="0" w:hanging="0"/>
              <w:jc w:val="left"/>
              <w:rPr/>
            </w:pPr>
            <w:r>
              <w:rPr/>
              <w:t> </w:t>
            </w:r>
          </w:p>
        </w:tc>
        <w:tc>
          <w:tcPr>
            <w:tcW w:w="17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(320)</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left"/>
              <w:rPr/>
            </w:pPr>
            <w:r>
              <w:rPr/>
              <w:t>​</w:t>
            </w:r>
          </w:p>
        </w:tc>
        <w:tc>
          <w:tcPr>
            <w:tcW w:w="1427" w:type="dxa"/>
            <w:tcBorders/>
            <w:shd w:fill="CCEEFF" w:val="clear"/>
            <w:vAlign w:val="center"/>
          </w:tcPr>
          <w:p>
            <w:pPr>
              <w:pStyle w:val="TableContents"/>
              <w:bidi w:val="0"/>
              <w:spacing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2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15,633</w:t>
            </w:r>
          </w:p>
        </w:tc>
        <w:tc>
          <w:tcPr>
            <w:tcW w:w="109" w:type="dxa"/>
            <w:tcBorders/>
            <w:shd w:fill="CCEEFF" w:val="clear"/>
            <w:vAlign w:val="center"/>
          </w:tcPr>
          <w:p>
            <w:pPr>
              <w:pStyle w:val="TableContents"/>
              <w:bidi w:val="0"/>
              <w:spacing w:before="0" w:after="0"/>
              <w:ind w:left="0" w:right="0" w:hanging="0"/>
              <w:jc w:val="left"/>
              <w:rPr/>
            </w:pPr>
            <w:r>
              <w:rPr/>
              <w:t>​</w:t>
            </w:r>
          </w:p>
        </w:tc>
        <w:tc>
          <w:tcPr>
            <w:tcW w:w="509"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15,297</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Currency Translation on cash</w:t>
            </w:r>
          </w:p>
        </w:tc>
        <w:tc>
          <w:tcPr>
            <w:tcW w:w="109" w:type="dxa"/>
            <w:tcBorders/>
            <w:vAlign w:val="center"/>
          </w:tcPr>
          <w:p>
            <w:pPr>
              <w:pStyle w:val="TableContents"/>
              <w:bidi w:val="0"/>
              <w:spacing w:before="0" w:after="0"/>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109" w:type="dxa"/>
            <w:tcBorders>
              <w:right w:val="single" w:sz="2" w:space="0" w:color="000000"/>
            </w:tcBorders>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tcMar>
              <w:left w:w="28" w:type="dxa"/>
            </w:tcMar>
            <w:vAlign w:val="center"/>
          </w:tcPr>
          <w:p>
            <w:pPr>
              <w:pStyle w:val="TableContents"/>
              <w:bidi w:val="0"/>
              <w:spacing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109" w:type="dxa"/>
            <w:tcBorders/>
            <w:vAlign w:val="center"/>
          </w:tcPr>
          <w:p>
            <w:pPr>
              <w:pStyle w:val="TableContents"/>
              <w:bidi w:val="0"/>
              <w:spacing w:before="0" w:after="0"/>
              <w:ind w:left="0" w:right="0" w:hanging="0"/>
              <w:jc w:val="left"/>
              <w:rPr/>
            </w:pPr>
            <w:r>
              <w:rPr/>
              <w:t>​</w:t>
            </w:r>
          </w:p>
        </w:tc>
        <w:tc>
          <w:tcPr>
            <w:tcW w:w="5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5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(6,894)</w:t>
            </w:r>
          </w:p>
        </w:tc>
        <w:tc>
          <w:tcPr>
            <w:tcW w:w="109"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w:t>
            </w:r>
          </w:p>
        </w:tc>
        <w:tc>
          <w:tcPr>
            <w:tcW w:w="109"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w:t>
            </w:r>
          </w:p>
        </w:tc>
        <w:tc>
          <w:tcPr>
            <w:tcW w:w="4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(701)</w:t>
            </w:r>
          </w:p>
        </w:tc>
        <w:tc>
          <w:tcPr>
            <w:tcW w:w="109" w:type="dxa"/>
            <w:tcBorders/>
            <w:shd w:fill="CCEEFF" w:val="clear"/>
            <w:vAlign w:val="center"/>
          </w:tcPr>
          <w:p>
            <w:pPr>
              <w:pStyle w:val="TableContents"/>
              <w:bidi w:val="0"/>
              <w:spacing w:before="0" w:after="0"/>
              <w:ind w:left="0" w:right="0" w:hanging="0"/>
              <w:jc w:val="left"/>
              <w:rPr/>
            </w:pPr>
            <w:r>
              <w:rPr/>
              <w:t>​</w:t>
            </w:r>
          </w:p>
        </w:tc>
        <w:tc>
          <w:tcPr>
            <w:tcW w:w="5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(3,566)</w:t>
            </w:r>
          </w:p>
        </w:tc>
      </w:tr>
    </w:tbl>
    <w:p>
      <w:pPr>
        <w:pStyle w:val="TextBody"/>
        <w:bidi w:val="0"/>
        <w:spacing w:before="0" w:after="240"/>
        <w:ind w:left="0" w:right="0" w:hanging="0"/>
        <w:jc w:val="left"/>
        <w:rPr/>
      </w:pPr>
      <w:r>
        <w:rPr/>
        <w:t>​</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Comparison for the periods from January 1, 2024 to July 30, 2024 (Predecessor), from July 31, 2024 to September 30, 2024 (Successor), to the nine months ended September 30, 2023 (Predecessor)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Flows Used in Operating Activities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for the period from July 31, 2024 to September 30, 2024 (Successor) was $6.4 million, consisting primarily of net income of $3.6 million, net by non-cash items of $7.9 million, and net by change in our net operating assets and liabilities of $2.1 million. Non-cash items primarily consisted of $0.3 million in depreciation and amortization; offset by a gain of $3.3 million from the change in fair value of convertible notes payable and a gain of $5.0 million from the change in fair value of warrant liabilities. Changes in our net operating assets and liabilities were primarily due to a $0.3 million increase in other accrued liabilities which was primarily driven by interest payable on the convertible note; offset by $1.3 million increase in prepaid expenses and other current assets, $0.4 million decrease in accounts payable, and a $0.7 million decrease in accrued liabilities.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for the period from January 1, 2024 to July 30, 2024 (Predecessor) was $16.0 million consisting primarily of a net loss of $21.3 million, adjusted by non-cash items of $0.8 million, and net with the change in our net operating assets and liabilities of $6.1 million. Non-cash items primarily consisted of $0.6 million in depreciation and amortization, $0.6 million in stock-based compensation, noncash operating lease expense of $0.1 million, and loss on disposal of property and equipment of $0.1 million; offset by a gain of $2.1 million from the change in fair value of convertible notes payable, and a gain of $0.2 million from the change in fair value of warrant liabilities. Changes in our net operating assets and liabilities were primarily due to a $7.4 million  increase in accrued transaction costs, the increase in accrued liabilities of $0.5 million and a $1.7 million increase in other accrued liabilities, which were primarily driven by the increase in transaction costs related to the Business Combination, the increase in accrued variable compensation related to the Business Combination, and the increase in interest related the convertible notes; offset by a $2.6 million decrease in accounts payable, $0.8 million  increase in inventory, which were primarily driven by the payment of accounts payable related to the Business combination and an increase in inventory purchases.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operating activities for the nine months ended September 30, 2023 (Predecessor), was $18.6 million, consisting primarily of a net loss of $28.0 million net by non-cash items of $5.0 million, and net by the change in our net operating assets and liabilities of $4.4 million. Non-cash items primarily consisted of a loss of $4.1 million related to the change in fair value of convertible notes payables, $0.4 million in depreciation and amortization, $0.3 million in stock-based compensation, and $0.1 million in noncash operating lease expenses. Changes in our net operating assets and liabilities, were primarily due to a $1.1 million increase in accrued liabilities, $0.9 million increase in operating leases liabilities, $0.4 million decrease in prepaid expenses and other current assets, a $0.2 million increase in accrued transaction costs, and a $1.8 million increase in other accrued liabilities which was primarily driven by  the increase in interest related the convertible notes, and the increase in transaction costs related to the Business Combination; offset by a $0.1 million decrease in other long-term liabilities and a $0.1 million increase in accounts receivable.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Flow Used in Investing Activities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for the period from July 31, 2024 to September 30, 2024 (Successor) and the period from January 1, 2024 to July 30, 2024 (Predecessor) was $0.6 million and $0.4 million, respectively. Net cash used in investing activities for the for the nine months ended September 30, 2023 (Predecessor) was $0.3 million. The increase was due to the increased purchase of property.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Cash Flow Provided by Financing Activities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the period from July 31, 2024 to September 30, 2024 (Successor) was nil.</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the period from January 1, 2024 to July 30, 2024 (Predecessor) was $15.6 million. It is primarily due to receiving $16.5 million from the issuance of the $7.0 million 2024 Bridge Financing Note, $3.0 million May 2024 Convertible Notes, $2.5 million June 2024 Convertible Notes, $1.0 million from the July 2024 Convertible Notes, and the draw of $3.0 million November 2023 Convertible Notes, net by a $0.9 million repayment of SVB Term Loan.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Net cash provided by financing activities for the nine months ended September 30, 2023 (Predecessor) was $15.3 million. It is due to receiving $13.0 million and $3.0 million from the issuance of convertible notes payable and SVB term loan, respectively, offset by a decrease of $11.0 thousand and $0.7 million related to exercise of common stock options in 2023 and repayment of SVB Term Loan, respectively.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Off-Balance Sheet Arrangements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Critical Accounting Policies and Estimates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preparation of financial statements in conformity with U.S. GAAP requires us to make estimates and assumptions that affect the amounts reported in our audited consolidated financial statements and accompanying notes included elsewhere in this Quarterly Report on Form 10. We base our estimates on historical experience, current business factors and various other assumptions that we believe are necessary to consider forming a basis for making judgments about the carrying values of assets and liabilities, the recorded amounts of revenue and expenses and the disclosure of contingent assets and liabilities. We are subject to uncertainties such as the impact of future events, economic and political factors, and changes in our business environment; therefore, actual results could differ from these estimates.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Accordingly, the accounting estimates used in the preparation of our audited consolidated financial statements will change as new events occur, as more experience is acquired, as additional information is obtained and as our operating environment changes. Changes in estimates are made when circumstances warrant. Such changes in estimates and refinements in estimation methodologies are reflected in reported results of operations; if material, the effects of changes in estimates are disclosed in the notes to our audited consolidated financial statements.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an ongoing basis, we evaluate our estimates and assumptions. Our actual results may differ from these estimates under different assumptions or conditions.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significant accounting policies are described in </w:t>
      </w:r>
      <w:r>
        <w:rPr>
          <w:rFonts w:ascii="Times New Roman;Times;serif" w:hAnsi="Times New Roman;Times;serif"/>
          <w:i/>
          <w:sz w:val="20"/>
        </w:rPr>
        <w:t>Note 2-Summary of Significant Accounting Policies</w:t>
      </w:r>
      <w:r>
        <w:rPr>
          <w:rFonts w:ascii="Times New Roman;Times;serif" w:hAnsi="Times New Roman;Times;serif"/>
          <w:sz w:val="20"/>
        </w:rPr>
        <w:t xml:space="preserve"> to our consolidated financial statements. These are the policies that we believe are the most critical to aid in fully understanding and evaluating our consolidated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recognize compensation expense for all stock-based awards issued to employees and non-employees based on the estimated grant-date fair value, which is recognized as expense on a straight-line basis over the requisite service period. We have elected to recognize forfeitures as they occur. The fair value of stock options is determined using the Black-Scholes option-pricing model. The determination of fair value for stock-based awards on the date of grant using an option-pricing model requires management to make certain assumptions including expected volatility, expected term, risk-free interest rate and expected dividends in addition to our common stock valuation. The assumptions used in calculating the fair value of stock-based awards represent our best estimates and involve inherent uncertainties and the application of our judgment.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stock-based compensation costs are recorded in cost of products sold, research and development expense or selling, general, and administrative expense in the consolidated statements of operations and comprehensive income (loss) based upon the respective employee’s or non-employee’s roles.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Common Stock Valuations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Due to the absence of a public trading market, we determined the fair value of our common stock by considering numerous objective and subjective factors. The factors considered include, but are not limited to:</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(i)the results of contemporaneous independent third-party valuations of our common stock;</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(ii)the prices, rights, preferences and privileges of our preferred stock relative to those of our common stock;</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(iii)the lack of marketability of our common stock;</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(iv)actual operating and financial results;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(v)current business conditions and projects; and</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(vi)the likelihood of achieving a liquidity event.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2023, the fair value of our common stock was determined with probability weighted expected return method (“PWERM”), which assessed the probability weighted depending on different scenarios. As of June 30, 2024, the valuation was based on the scenario (i) bankruptcy/suboptimal sale scenario reflecting a zero return to common shareholders, with 0% probability, (ii) an “as converted” merger with a 95% probability, and (iii) a delayed but successful liquidity event per the option pricing method, with 5% probability. As of December 31, 2023, the valuation was based on the scenario (i) the bankruptcy/suboptimal sale scenario reflecting a zero return to common shareholders, with 20% probability (ii) a consummation of a business combination transaction with a SPAC, with 40% probability, and (iii) a delayed but successful liquidity event per the option pricing method, with 40% probability. As of December 31, 2023, in determining the value under the consummation of a business combination transaction with a SPAC scenario, we utilized the preliminary terms of the letter of intent with such SPAC that (i) the transaction based on diluted equity value of $38.8 million and (ii) all dilutive instruments are expected to convert or be exercised resulting in 6,369,633 total common shares outstanding.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valuation under the scenario of a delayed but successful liquidity event per the option pricing method was determined by the fair value per share at a marketable basis applied by a discount for lack marketability (“DLOM”). The fair value per share at a marketable basis was determined using the interval option value allocation approach. The DLOM was determined based on Finnerty put option model, marketability factors and restricted stock studies. </w:t>
      </w:r>
    </w:p>
    <w:p>
      <w:pPr>
        <w:pStyle w:val="TextBody"/>
        <w:bidi w:val="0"/>
        <w:spacing w:before="0" w:after="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significant unobservable inputs into the valuation model include: </w:t>
      </w:r>
    </w:p>
    <w:p>
      <w:pPr>
        <w:pStyle w:val="TextBody"/>
        <w:bidi w:val="0"/>
        <w:spacing w:before="0" w:after="0"/>
        <w:ind w:left="0" w:right="0" w:firstLine="360"/>
        <w:jc w:val="both"/>
        <w:rPr/>
      </w:pPr>
      <w:r>
        <w:rPr/>
        <w:t>​</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 xml:space="preserve">the timing of potential events (for example, a consummation of a business combination transaction with a SPAC) and their probability of occurring; </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 xml:space="preserve">the selection of guideline public company multiples; and </w:t>
      </w:r>
    </w:p>
    <w:p>
      <w:pPr>
        <w:pStyle w:val="TextBody"/>
        <w:bidi w:val="0"/>
        <w:spacing w:before="0" w:after="240"/>
        <w:ind w:left="0" w:right="0" w:hanging="0"/>
        <w:jc w:val="left"/>
        <w:rPr/>
      </w:pPr>
      <w:r>
        <w:rPr>
          <w:caps w:val="false"/>
          <w:smallCaps w:val="false"/>
        </w:rPr>
        <w:t>•</w:t>
      </w:r>
      <w:r>
        <w:rPr>
          <w:rFonts w:ascii="Times New Roman;Times;serif" w:hAnsi="Times New Roman;Times;serif"/>
          <w:b w:val="false"/>
          <w:i w:val="false"/>
          <w:caps w:val="false"/>
          <w:smallCaps w:val="false"/>
          <w:sz w:val="20"/>
        </w:rPr>
        <w:t xml:space="preserve">a discount for the lack of marketability of the common stock.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An increase or decrease in any of the unobservable inputs in isolation could result in a material change. In the future, depending on the weight of evidence and valuation approaches used, these or other inputs may have a more significant impact on the estimated fair value.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Notes Valuation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permitted under ASC 825, Financial Instruments (“ASC 825”), the Company elected the fair value option to account for the October 2022 Convertible Notes, the April 2023 Convertible Notes, the November 2023 Convertible Notes, the 2024 Bridge Financing Note, the May 2024 Convertible Notes, the June 2024 Convertible Notes, and the July 2024 Convertible Notes in order to measure those liabilities at amounts that more accurately reflect the current economic environment in which Legacy Adagio operates.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change in fair value of the convertible promissory notes, excluding amounts related to interest, is recorded in “Convertible notes fair value adjustment,” while amounts related to interest are recorded as interest expense in the consolidated statements of operations and comprehensive income (loss). As a result of applying the fair value option, direct costs and fees related to the issuance of the convertible notes were expensed as incurred (i.e., not recognized as deferred costs). Refer to Note 3-Fair Value Measurements in our condensed consolidated financial statements for additional detail.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2023, Adagio calculated the value of the convertible notes based on the equity value from 409(a) valuations, considering the expected payoff of the convertible notes upon different types of events.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Utilizing the PWERM, Adagio assessed the probability that the October 2022 Convertible Notes would be converted to common stock through the result of mandatory prepayment, Private Investment in PIPE Financing, or no PIPE Financing and no Qualified Financing, weighted with a probability of 20%, 40% and 40%, respectively, as of December 31, 2023.</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Utilizing the PWERM, Adagio assessed the probability that the April 2023 Notes and the November 2023 Notes would be converted to common stock as a result of a liquidation event, PIPE Financing, or no PIPE Financing &amp; no Qualified Financing, weighted with a probability of 20%, 40% and 40% as of December 31, 2023. Adagio also implied a credit spread by calibrating the value of the April 2023 Notes at issuance to the par value and then adjusted the calibrated credit spread for seniority difference and the market related movements as appropriate.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Additional assumptions used to estimate the fair value include: (i) the expected timing of the conversion, (ii) the amount subject to equity conversion, the sum of the notes’ principal and unpaid accrued interest, (iii) expected volatility, (iv) risk-free interest rate, and (v) the discount rate, based on the observed option-adjusted spread (OAS) data of traded bonds rated CCC-.</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determining the fair value of the convertible notes as of July 31, 2024 prior to the Closing, the Company used the observed closing stock price of ARYA as of July 31, 2024 multiplied by the actual number of shares that the convertible notes converted into.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SVB Term Loan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Legacy Adagio accounts for the SVB Term Loan at residual value on the date of issuance. The expected life of the SVB Term Loan is the contractual term ending on the maturity date. Legacy Adagio classifies the term loan as current liabilities within twelve months of the maturity date or when otherwise due. Interest expense is recognized in the consolidated statements of operations and comprehensive income (loss) over the contractual term of the loan. See Note 9-Debt in our condensed consolidated financial statements for additional information related to the SVB Term Loan.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SVB Warrants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Adagio accounts for SVB Warrants outstanding as warrant liabilities at fair value, determined using the Black-Scholes option pricing model based on the common stock value from 409(a) valuation. The assumption used to estimate the fair value include: (i) expected volatility, (ii) risk-free interest rate, (iii) expected dividend yield, and (iv) expected term.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liability is subject to re-measurement at each reporting period and any change in fair value is recognized in the condensed consolidated statements of operations and comprehensive income (loss). See Note 10-Warrants in our condensed consolidated financial statements for additional information related to the warrants.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Series E Pre-funded Warrants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June 25, 2024, Legacy Adagio issued to a certain investor the pre-funded warrants to purchase Legacy Adagio’s Series E Preferred Stock (“Series E Pre-funded Warrant”), in exchange of the investor’s existing holding of Series E Preferred Stock. The exercise price of the pre-funded warrants is $0.001 per warrant share. Legacy Adagio measured the Series E Pre-funded Warrants at fair value based on the indicated fair value of Series E Preferred Stock, which is not observable in the market.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Preferred Stock (Predecessor)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Prior to the Closing, Legacy Adagio recorded convertible preferred stock at fair value on the dates of issuance, net of issuance costs. Upon the occurrence of certain events that are outside our control, including a deemed liquidation event, holders of the convertible preferred stock can cause redemption for cash. As the preferred stock is considered to be contingently redeemable, the preferred stock has been classified outside of permanent equity. The preferred stock will be accreted to its redemption value if the deemed liquidation events are considered probable of occurring. Upon the consummation of the Business Combination, the Legacy Adagio’s convertible preferred stocks was converted into shares of Legacy Adagio’s common stock on a one-to-one basis prior to Adagio Merger Effective Time and then converted into the Company’s Common Stock at the Closing based on the exchange ratio set forth in the Business Combination Agreement.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Convertible Securities Notes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measures the Convertible Securities Notes at fair value based on significant inputs not observable in the market, which caused them to be classified as Level 3 measurements within the fair value hierarchy. The change in fair value of the convertible promissory notes, excluding amounts related to interest, is recorded in “Convertible notes fair value adjustment,” while amounts related to interest are recorded as interest expense in the consolidated statements of operations and comprehensive income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utilized the binomial lattice model to value the Convertible Securities Notes at the Closing Date and as of September 30, 2024. See </w:t>
      </w:r>
      <w:r>
        <w:rPr>
          <w:rFonts w:ascii="Times New Roman;Times;serif" w:hAnsi="Times New Roman;Times;serif"/>
          <w:i/>
          <w:sz w:val="20"/>
        </w:rPr>
        <w:t>Note 9- Debt</w:t>
      </w:r>
      <w:r>
        <w:rPr>
          <w:rFonts w:ascii="Times New Roman;Times;serif" w:hAnsi="Times New Roman;Times;serif"/>
          <w:sz w:val="20"/>
        </w:rPr>
        <w:t xml:space="preserve"> in our condensed consolidated financial statements for additional information related to the SVB Term Loan.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Convert Warrants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July 31, 2024, the Company issued 1,500,000 Convert Warrants in connection with the issuance of the $20.0 million Convertible Securities Notes.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set forth in the agreement of the Convertible Securities Notes, the Convert Warrants are exercisable on a cashless basis or on a gross basis for one share of the Company’s Common Stock at $24.0 per share, subject to adjustments. The Company may be required to cash settle the Convert Warrants when it fails to timely deliver shares to the holder who exercises the Convert Warrants or upon the occurrence of a fundamental transaction. It is determined that the Convert Warrants do not meet the equity classification requirements under ASC 815 as the Covert Warrants may require cash settlement outside of the Company’s control upon a failure of timely delivery of shares or a fundamental transaction, and therefore the Convert Warrants are accounted for as derivative liabilities, and measured at fair value both initially and subsequently with changes in fair value recognized as warrant liabilities fair value adjustment within the condensed consolidated statements of operations and comprehensive income (loss).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Convert Warrants are classified as Level 3 measurements within the fair value hierarchy. The Company utilized the Black-Scholes Merton option model to value the Convertible Securities Notes at the Closing Date and as of September 30,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PIPE Base Warrants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the Closing Date, the Company issued Base Warrants (“PIPE Base Warrants”) along with the Company’s Common Stock in connection with the PIPE Financing.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Base Warrants can be exercised to the Company’s Common Stock at any time during the period from the issuance date to the expiration date which is the fifth anniversary from the date of issuance. The warrants can be exercised on a gross or net basis at an exercise price of $10 per share.</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Base Warrants were fair valued at $2.41 per unit on the date of issuance based on the assumptions including (i) the value of the Company’s Common Stock is $6.64 per share; (ii) a risk-free rate at 3.93%; (iii) zero dividend yield; (iv) the common stock volatility at 84.0% and a volatility haircut of 10%; (v) the remaining term is 5 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According to the ASC 815, it is determined that the Base Warrants associated with the PIPE Financing are indexed to the Company’s Common Stock under and are accounted for as equity, which is initially measured at fair value. The Base Warrants are classified as equity in the financial statements because they meet the ASC 815-40 indexation guidance. Specifically, 1) the Base Warrants can be exercised at any time during the exercise period without contingencies; 2) the Base Warrants can be settled in a fixed number of shares upon exercise with any adjustments, such as antidilution and alternative issuance adjustments, consistent with ASC 815 guidance, which does not preclude equity classification. Additionally, the Company has sufficient authorized shares available to settle the Base Warrants, and all the adjustments are in the control of the Company, further supporting the equity classification.</w:t>
      </w:r>
    </w:p>
    <w:p>
      <w:pPr>
        <w:pStyle w:val="TextBody"/>
        <w:bidi w:val="0"/>
        <w:spacing w:before="0" w:after="0"/>
        <w:ind w:left="0" w:right="0" w:firstLine="36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Sponsor Earnout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September 2024, the Company issued 1,147,500 shares of the Company’s Common Stock (such issuance, the “Sponsor Earnout”) to the AYRA Sponsor under the Sponsor Letter Agreement dated February 13, 2024 (“the Sponsor Letter Agreement”). Pursuant to the agreement, the Sponsor Earnout shall be unvested and vests upon the earlier of: i) During the period from the effective time to the 10th anniversary of the Closing Date (the “Earn-Out Period”), the stock price of the Company’s Common Stock equals to or exceeds $24.00 per share (the “Trigger Price”) for any 20 trading days within any 30 trading day period from and after the Closing Date (the “Earn-Out Target”), and ii) immediately prior to the consummation of a company sale during the Earn-Out Period.</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the reporting date, the vesting of the Sponsor Earnout was not considered probable.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According to ASC 815, it is determined that the Sponsor Earnout is indexed to the Company’s Common Stock and classified as equity and is initially measured at fair value and not subsequently remeasured. The Sponsor Earnout vests when the Company’s stock price meets a stated price or there is a company sale during the earnout period. Upon meeting either vesting condition, the same number of the Company’s Common Stock would be issued and no longer subject to forfeiture or cancellation. The Sponsor Earnout meets the ASC 815-40 indexation guidance. Specifically, the stated stock price and company sale, as the exercise contingencies, do not preclude equity indexation and there is no variability in the number of shares issuable under the Sponsor Earnout. Additionally, the Sponsor Earnout at the issuance meets the ASC 815-40 equity classification criterion as the Company has sufficient authorized shares available to settle the Sponsor Earnout and all the antidilution adjustments are in the control of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PIPE Pre-funded Warrants (Successor)</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31, 2024, the Company issued 670,000 pre-funded warrants in exchange for cash proceeds in PIPE Financing to certain Other PIPE Investors (“PIPE Pre-funded Warrants”).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set forth in the agreement of the PIPE Pre-funded Warrants, the PIPE Pre-funded Warrants are exercisable on a cashless basis or on a gross basis for one share of the Company’s Common Stock at $0.01 per share, subject to adjustments. The Company may be required to cash settle the PIPE Pre-funded Warrants when it fails to timely deliver shares to the holder who exercises the PIPE Pre-funded Warrants or upon the occurrence of a fundamental transaction. It is determined that the PIPE Pre-funded Warrants do not meet the equity classification requirements under ASC 815 as the PIPE Pre-funded Warrants may require cash settlement outside of the Company’s control upon a failure of timely delivery of shares or a fundamental transaction, and therefore the PIPE Pre-funded Warrants are accounted for as derivative liabilities, and measured at fair value both initially and subsequently with changes in fair value recognized as warrant liabilities fair value adjustment within the condensed consolidated statements of operations and comprehensive income (loss).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PIPE Pre-funded Warrants are classified as Level 3 measurements within the fair value hierarchy. The fair value of the PIPE Pre-funded Warrants is based on the fair value of the Company’s Common Stock minus the exercise price.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Strategic Realignment of Resources and Corporate Restructuring</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December 1, 2023, Legacy Adagio approved a strategic realignment of resources and corporate restructuring (the “RIF”) designed to reallocate capital, conformant to its business focus for the next two years.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part of the RIF, Legacy Adagio initiated a reduction in its workforce of 20 employees, representing approximately 19% of Legacy Adagio’s employees, which was completed on December 15, 2023. Legacy Adagio made no payment for severance or related benefit costs. Legacy Adagio made no payment of retention bonuses.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Emerging Growth Company Status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w:t>
      </w:r>
    </w:p>
    <w:p>
      <w:pPr>
        <w:pStyle w:val="TextBody"/>
        <w:bidi w:val="0"/>
        <w:spacing w:before="0" w:after="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will remain an EGC under the JOBS Act until the earliest of (i) the last date of our fiscal year in which we have total annual gross revenue of at least $1.235 billion, (ii) the date on which we are deemed to be a “large accelerated filer” under the rules of the SEC with at least $700.0 million of outstanding securities held by non-affiliates, or (iii) the date on which we have issued more than $1.0 billion in non-convertible debt securities during the previous three-years.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Recent Accounting Pronouncements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See </w:t>
      </w:r>
      <w:r>
        <w:rPr>
          <w:rFonts w:ascii="Times New Roman;Times;serif" w:hAnsi="Times New Roman;Times;serif"/>
          <w:i/>
          <w:sz w:val="20"/>
        </w:rPr>
        <w:t>Note 2- Summary of Significant Accounting Policies</w:t>
      </w:r>
      <w:r>
        <w:rPr>
          <w:rFonts w:ascii="Times New Roman;Times;serif" w:hAnsi="Times New Roman;Times;serif"/>
          <w:sz w:val="20"/>
        </w:rPr>
        <w:t xml:space="preserve"> in our condensed consolidated financial statements for a description of recent accounting pronouncements applicable to our financial statements.</w:t>
      </w:r>
    </w:p>
    <w:p>
      <w:pPr>
        <w:pStyle w:val="TextBody"/>
        <w:bidi w:val="0"/>
        <w:spacing w:before="0" w:after="0"/>
        <w:ind w:left="0" w:right="0" w:firstLine="360"/>
        <w:jc w:val="both"/>
        <w:rPr/>
      </w:pPr>
      <w:r>
        <w:rPr/>
        <w:t>​</w:t>
      </w:r>
    </w:p>
    <w:p>
      <w:pPr>
        <w:pStyle w:val="TextBody"/>
        <w:bidi w:val="0"/>
        <w:spacing w:before="0" w:after="0"/>
        <w:ind w:left="0" w:right="0" w:firstLine="360"/>
        <w:jc w:val="both"/>
        <w:rPr/>
      </w:pPr>
      <w:r>
        <w:rPr/>
        <w:t>​</w:t>
      </w:r>
    </w:p>
    <w:p>
      <w:pPr>
        <w:pStyle w:val="TextBody"/>
        <w:bidi w:val="0"/>
        <w:spacing w:before="0" w:after="240"/>
        <w:ind w:left="0" w:right="0" w:hanging="0"/>
        <w:jc w:val="left"/>
        <w:rPr>
          <w:rFonts w:ascii="Times New Roman;Times;serif" w:hAnsi="Times New Roman;Times;serif"/>
          <w:sz w:val="20"/>
        </w:rPr>
      </w:pPr>
      <w:bookmarkStart w:id="1793" w:name="Item3QuantitativeandQualitativeDisclosur"/>
      <w:bookmarkStart w:id="1794" w:name="_54696e40_4333_4f0d_9bd1_4bfa6bd8e23d"/>
      <w:bookmarkEnd w:id="1793"/>
      <w:bookmarkEnd w:id="1794"/>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have operations primarily within the United States and we are exposed to market risk in the ordinary course of our business. Market risk represents the risk of loss that may impact our financial position due to adverse changes in financial market prices and rates. 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revenue generated in Europe, as well as costs and expenses denominated in Euro, expose us to the risk of fluctuations in foreign currency exchange rates against the U.S. dollar. We are exposed to foreign currency risks related to our revenue and operating expenses, along with certain intercompany transactions, denominated in Euro. Accordingly, changes in exchange rates may negatively affect our future revenue and other operating results as expressed in U.S. dollars. We do not believe that foreign currency exchange risk has had a material effect on our business, results of operations or financial condition. </w:t>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bookmarkStart w:id="1795" w:name="Item4ControlsandProcedures_352413"/>
      <w:bookmarkStart w:id="1796" w:name="_7e6cc837_5256_4fab_be23_43a055da4c3b"/>
      <w:bookmarkStart w:id="1797" w:name="_Hlk182409056"/>
      <w:bookmarkStart w:id="1798" w:name="_Hlk182409155"/>
      <w:bookmarkEnd w:id="1795"/>
      <w:bookmarkEnd w:id="1796"/>
      <w:bookmarkEnd w:id="1797"/>
      <w:bookmarkEnd w:id="1798"/>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Disclosure controls and procedures are controls and other procedures that are designed to ensure that information required to be disclosed in our reports filed or submitted under the U.S.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Company’s reports filed or submitted under the Exchange Act is accumulated and communicated to management, including our Chief Executive Officer and Chief Financial Officer, to allow timely decisions regarding required disclosure.</w:t>
      </w:r>
    </w:p>
    <w:p>
      <w:pPr>
        <w:pStyle w:val="TextBody"/>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 xml:space="preserve">As required by Rules 13a-15 and 15d-15 under the Exchange Act, our Chief Executive Officer and Chief Financial Officer carried out an evaluation of the effectiveness the design and operation of our disclosure controls and procedures prior to the filing of this Quarterly Report. Based on this evaluation, our Chief Executive Officer and Chief Financial Officer assessed the effectiveness of our internal control over financial reporting as of September 30, 2024, and determined that our internal control over financial reporting was not effective at a reasonable assurance level due to the material weaknesses in our internal control over financial reporting related to the inadequate design and operation of management’s review controls over valuation reports prepared by third-party specialists in conjunction with the accounting for certain debt and equity instruments, resulting in the conclusion that the Company’s internal control over financial reporting and the Company’s disclosure controls and procedures were not effective as of September 30, 2024. </w:t>
      </w:r>
    </w:p>
    <w:p>
      <w:pPr>
        <w:pStyle w:val="TextBody"/>
        <w:bidi w:val="0"/>
        <w:spacing w:before="0" w:after="0"/>
        <w:ind w:left="0" w:right="0" w:firstLine="450"/>
        <w:jc w:val="both"/>
        <w:rPr/>
      </w:pPr>
      <w:r>
        <w:rPr/>
        <w:t>​</w:t>
      </w:r>
    </w:p>
    <w:p>
      <w:pPr>
        <w:pStyle w:val="TextBody"/>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 xml:space="preserve">We are currently implementing our remediation plan to address the material weaknesses identified above. Such measures include: </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1) additional review of third-party valuation reports utilized in the accounting for certain debt and equity instruments;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2) additional review of the manual journal entries based on externally generated reports and agreements with regard to accounting issues in certain debt and equity instruments;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3) enhanced oversight controls on the work performed by third-party specialists.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detected all of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240"/>
        <w:ind w:left="0" w:right="0" w:firstLine="274"/>
        <w:jc w:val="both"/>
        <w:rPr>
          <w:rFonts w:ascii="Times New Roman;Times;serif" w:hAnsi="Times New Roman;Times;serif"/>
          <w:sz w:val="20"/>
        </w:rPr>
      </w:pPr>
      <w:r>
        <w:rPr>
          <w:rFonts w:ascii="Times New Roman;Times;serif" w:hAnsi="Times New Roman;Times;serif"/>
          <w:sz w:val="20"/>
        </w:rPr>
        <w:t>Other than in connection with executing upon the continued implementation of the remediation measures referenced above, there have been no changes in our internal controls over financial reporting during the quarter ended September 30, 2024, that have materially affected, or are reasonably likely to materially affect, our internal controls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799" w:name="PARTIIOTHERINFORMATION_699286"/>
      <w:bookmarkStart w:id="1800" w:name="_9279384b_84f8_4d85_87b7_15b4b1b6bb96"/>
      <w:bookmarkEnd w:id="1799"/>
      <w:bookmarkEnd w:id="1800"/>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sz w:val="20"/>
        </w:rPr>
      </w:pPr>
      <w:bookmarkStart w:id="1801" w:name="Item1_184970"/>
      <w:bookmarkEnd w:id="1801"/>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pStyle w:val="TextBody"/>
        <w:bidi w:val="0"/>
        <w:spacing w:before="0" w:after="240"/>
        <w:ind w:left="0" w:right="0" w:hanging="0"/>
        <w:jc w:val="left"/>
        <w:rPr>
          <w:rFonts w:ascii="Times New Roman;Times;serif" w:hAnsi="Times New Roman;Times;serif"/>
          <w:b/>
          <w:sz w:val="20"/>
        </w:rPr>
      </w:pPr>
      <w:bookmarkStart w:id="1802" w:name="Item1A_807724"/>
      <w:bookmarkStart w:id="1803" w:name="_3e0ad564_e6c0_463f_ac76_3c40da7ab39d"/>
      <w:bookmarkEnd w:id="1802"/>
      <w:bookmarkEnd w:id="1803"/>
      <w:r>
        <w:rPr>
          <w:rFonts w:ascii="Times New Roman;Times;serif" w:hAnsi="Times New Roman;Times;serif"/>
          <w:b/>
          <w:sz w:val="20"/>
        </w:rPr>
        <w:t>Item 1A. Risk Factors.</w:t>
      </w:r>
    </w:p>
    <w:p>
      <w:pPr>
        <w:pStyle w:val="TextBody"/>
        <w:pBdr/>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Factors that could cause our actual results to differ materially from those in this Quarterly Report include the risk factors described in our filings with the SEC, including the the Company's Current Report on Form 8-K filed with the SEC on August 6, 2024. Additional risk factors not presently known to us or that we currently deem immaterial may also impair our business or results of operations. We may disclose changes to such factors or disclose additional factors from time to time in our future filings with the SEC. Except as set forth below, there have been no material changes to the risk factors previously described in the Company's Current Report on Form 8-K filed with the SEC on August 6, 2024.</w:t>
      </w:r>
    </w:p>
    <w:p>
      <w:pPr>
        <w:pStyle w:val="TextBody"/>
        <w:shd w:fill="FFFFFF" w:val="clear"/>
        <w:bidi w:val="0"/>
        <w:spacing w:before="0" w:after="240"/>
        <w:ind w:left="0" w:right="0" w:hanging="0"/>
        <w:jc w:val="left"/>
        <w:rPr>
          <w:rFonts w:ascii="Times New Roman;Times;serif" w:hAnsi="Times New Roman;Times;serif"/>
          <w:b/>
          <w:i/>
          <w:color w:val="212529"/>
          <w:sz w:val="20"/>
        </w:rPr>
      </w:pPr>
      <w:r>
        <w:rPr>
          <w:rFonts w:ascii="Times New Roman;Times;serif" w:hAnsi="Times New Roman;Times;serif"/>
          <w:b/>
          <w:i/>
          <w:color w:val="212529"/>
          <w:sz w:val="20"/>
        </w:rPr>
        <w:t>We are a medical device company that has incurred net losses in every period to date and expect to continue to incur significant losses as we develop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medical device company that has incurred net losses in each quarterly and annual period since inception and that has not yet generated any meaningful revenue. We expect to incur increasing costs as we continue to devote substantially all of our resources towards the development and anticipated further commercialization of our products, including iCLAS, vCLAS and Cryopulse. We cannot be certain if we will ever generate meaningful revenue or if or when we will produce sufficient revenue from operations to support our costs. Even if profitability is achieved, we may not be able to sustain profitability. Adagio Medical incurred net losses of $38.1 million and $23.7 million in 2023 and 2022, respectively. As of December 31, 2023, Adagio Medical had an accumulated deficit of $135.2 million. We expect to incur substantial losses and negative cash flows for the foreseeable future. In addition, as a public company, we incur significant legal, accounting, and other expenses that we did not incur as a private company. These increased expenses make it harder for us to achieve and sustain future profitability. We may incur significant losses in the future for a number of reasons, many of which are beyond our control, including the other risks described in this report and in our other filings with the SEC. These conditions raise substantial doubt about our ability to continue as a going concern.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identified material weaknesses in our internal controls over financial reporting. If we are unable to remediate these material weaknesses, if management identifies additional material weaknesses in the future or if we otherwise fail to maintain effective internal controls over financial reporting, we may not be able to accurately or timely report our financial position or results of operations, which may adversely affect our business and stock price or cause our access to the capital markets to be impaired.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identified material weaknesses in our internal controls over financial reporting. A material weakness is a deficiency, or combination of deficiencies, in internal controls over financial reporting such that there is a reasonable possibility that a material misstatement of our annual or interim financial statements will not be prevented or detected on a timely basis. The Company’s management identified a material weakness related to the inadequate design and operation of management’s review controls over valuation reports prepared by third-party specialists in conjunction with the accounting for certain debt and equity instruments, resulting in the conclusion that the Company’s internal control over financial reporting and the Company’s disclosure controls and procedures were not effective as of December 31, 2023, March 31, 2024 and June 30, 2024 and in a material misstatement to Adagio’s financial statements. Accordingly, we determined that these control deficiencies constitute material weaknesses.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are in the early stages of designing and implementing a plan to remediate the material weaknesses identified. Our plan for remediation includes: 1) additional review of third-party valuation reports utilized in the accounting for certain debt and equity instruments; 2) additional review of the manual journal entries based on externally generated reports and agreements with regard to accounting issues in certain debt and equity instruments; and 3) enhanced oversight controls on the work performed by third-party specialists. 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If the steps we take do not remediate the material weaknesses in a timely manner, there could be a reasonable possibility that these control deficiencies or others may result in another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pStyle w:val="TextBody"/>
        <w:bidi w:val="0"/>
        <w:spacing w:before="0" w:after="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and our independent registered public accounting firm were not required to perform an evaluation of our internal control over financial reporting as of December 31, 2023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products and services to new and existing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However, if we identify future deficiencies in our internal control over financial reporting or if we are unable to comply with the demands that are placed upon us as a public company, including the requirements of Section 404 of the Sarbanes-Oxley Act, in a timely or effective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current controls and any new controls that we develop may also become inadequate because of poor design or changes in our business, including increased complexity resulting from any international expansion, and weaknesses in our disclosure controls and internal control over financial reporting may be discovered in the future. Any failure to develop or maintain effective controls or any difficulties encountered in their implementation or improvement could cause us to fail to meet our reporting obligations, result in a restatement of our financial statements for prior periods, undermine investor confidence in us and adversely affect the trading price of our common stock. In addition, if we are unable to continue to meet these requirements, we may not be able to remain listed on Nasdaq.</w:t>
      </w:r>
    </w:p>
    <w:p>
      <w:pPr>
        <w:pStyle w:val="TextBody"/>
        <w:bidi w:val="0"/>
        <w:spacing w:before="0" w:after="240"/>
        <w:ind w:left="0" w:right="0" w:hanging="0"/>
        <w:jc w:val="left"/>
        <w:rPr>
          <w:rFonts w:ascii="Times New Roman;Times;serif" w:hAnsi="Times New Roman;Times;serif"/>
          <w:sz w:val="20"/>
        </w:rPr>
      </w:pPr>
      <w:bookmarkStart w:id="1804" w:name="Item2UnregisteredSalesofEquity_747415"/>
      <w:bookmarkStart w:id="1805" w:name="_dee6d9de_1ad1_4011_9353_3a29b1ce5a3f"/>
      <w:bookmarkEnd w:id="1804"/>
      <w:bookmarkEnd w:id="1805"/>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Equity Securities and Use of Proceeds from Registered Securities.</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1806" w:name="Item3DefaultsuponSeniorSecurities_12800"/>
      <w:bookmarkStart w:id="1807" w:name="_b8e5bf9f_eb33_4a5a_8fe4_8803ae6063db"/>
      <w:bookmarkEnd w:id="1806"/>
      <w:bookmarkEnd w:id="1807"/>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1808" w:name="Item4MineSafetyDisclosures_857010"/>
      <w:bookmarkStart w:id="1809" w:name="_563eb321_7fad_43c9_a660_a49082a26901"/>
      <w:bookmarkEnd w:id="1808"/>
      <w:bookmarkEnd w:id="1809"/>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810" w:name="Item5OtherInformation_402779"/>
      <w:bookmarkStart w:id="1811" w:name="_5c7688de_4e77_4d62_ae8c_cd95e9ae04d5"/>
      <w:bookmarkEnd w:id="1810"/>
      <w:bookmarkEnd w:id="1811"/>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sz w:val="20"/>
        </w:rPr>
      </w:pPr>
      <w:bookmarkStart w:id="1812" w:name="Item6Exhibits_682725"/>
      <w:bookmarkStart w:id="1813" w:name="_72fc6515_7570_42a6_8ada_0552c7ebea4f"/>
      <w:bookmarkEnd w:id="1812"/>
      <w:bookmarkEnd w:id="1813"/>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0" w:type="dxa"/>
          <w:left w:w="0" w:type="dxa"/>
          <w:bottom w:w="28" w:type="dxa"/>
          <w:right w:w="0" w:type="dxa"/>
        </w:tblCellMar>
      </w:tblPr>
      <w:tblGrid>
        <w:gridCol w:w="586"/>
        <w:gridCol w:w="326"/>
        <w:gridCol w:w="9293"/>
      </w:tblGrid>
      <w:tr>
        <w:trPr/>
        <w:tc>
          <w:tcPr>
            <w:tcW w:w="58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929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58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Business Combination Agreement, dated as of February 13, 2024, by and among Aja HoldCo, Inc., ARYA Sciences Acquisition Corp IV, Aja Merger Sub 1, Aja Merger Sub 2, Inc. and Adagio Medical, Inc. (incorporated by reference to Exhibit 2.1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Consent and Amendment No. 1 to the Business Combination Agreement, dated as of June 25, 2024, by and among ARYA Sciences Acquisition Corp IV and Adagio Medical, Inc. (incorporated by reference to Exhibit 2.2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Certificate of Incorporation of the Company (incorporated by reference to Exhibit 3.1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By-Laws of the Company (incorporated by reference to Exhibit 3.2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Form of Base Warrant Agreement (incorporated by reference to Exhibit 4.1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Form of Pre-Funded Warrant Agreement (incorporated by reference to Exhibit 4.2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Form of Convert Warrant Agreement (incorporated by reference to Exhibit 4.3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Specimen Common Stock Certificate of New Adagio (incorporated by reference to Exhibit 4.4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Form of Convertible Security Subscription Agreement (incorporated by reference to Exhibit 10.1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Investor Rights Agreement, dated as of February 13, 2024, by and among ARYA, ListCo, the Perceptive PIPE Investor, the Sponsor and the other parties thereto (incorporated by reference to Exhibit 10.2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Sponsor Letter Agreement, dated February 13, 2024, by and between ARYA Sciences Acquisition Corp, ARYA Sciences Holdings IV, Todd Wider, Michael Henderson, Leslie Trigg, Joseph Edelman, Adam Stone, Michael Altman, Konstantin Poukalov and Adagio Medical, Inc. (incorporated by reference to Exhibit 10.3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Adagio Stockholder Transaction Support Agreement (incorporated by reference to Exhibit 10.4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Form of New Adagio 2024 Equity Incentive Plan (incorporated by reference to Exhibit 10.5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Form of New Adagio 2024 Key Employee Equity Incentive Plan (incorporated by reference to Exhibit 10.6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Form of New Adagio 2024 Employee Stock Purchase Plan (incorporated by reference to Exhibit 10.7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Form of New Adagio Indemnity Agreement (incorporated by reference to Exhibit 10.8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Convert Guaranty, dated as of July 31, 2024, by and among Adagio and the other parties thereto (incorporated by reference to Exhibit 10.9 to the Company’s Current Report on Form 8-K filed with the SEC on August 6, 2024).</w:t>
              </w:r>
            </w:hyperlink>
          </w:p>
        </w:tc>
      </w:tr>
      <w:tr>
        <w:trPr/>
        <w:tc>
          <w:tcPr>
            <w:tcW w:w="58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326" w:type="dxa"/>
            <w:tcBorders/>
            <w:tcMar>
              <w:bottom w:w="0" w:type="dxa"/>
            </w:tcMar>
            <w:vAlign w:val="center"/>
          </w:tcPr>
          <w:p>
            <w:pPr>
              <w:pStyle w:val="TableContents"/>
              <w:bidi w:val="0"/>
              <w:spacing w:before="0" w:after="0"/>
              <w:ind w:left="0" w:right="0" w:hanging="0"/>
              <w:jc w:val="left"/>
              <w:rPr/>
            </w:pPr>
            <w:r>
              <w:rPr/>
              <w:t>​</w:t>
            </w:r>
          </w:p>
        </w:tc>
        <w:tc>
          <w:tcPr>
            <w:tcW w:w="9293" w:type="dxa"/>
            <w:tcBorders/>
            <w:tcMar>
              <w:bottom w:w="0" w:type="dxa"/>
            </w:tcMar>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Convert Security Document, dated as of July 31, 2024, by and among New Adagio, Adagio and the other parties thereto (incorporated by reference to Exhibit 10.10 to the Company’s Current Report on Form 8-K filed with the SEC on August 6, 2024).</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17"/>
        <w:gridCol w:w="109"/>
        <w:gridCol w:w="9379"/>
      </w:tblGrid>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Registration Rights Agreement dated as of July 31, 2024, by and among New Adagio, Perceptive Life Sciences Master Fund, Ltd. and the other parties thereto (incorporated by reference to Exhibit 10.11 to the Company’s Current Report on Form 8-K filed with the SEC on August 6, 2024).</w:t>
              </w:r>
            </w:hyperlink>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Form of New Adagio Convertible Note (incorporated by reference to Exhibit 10.12 to the Company’s Current Report on Form 8-K filed with the SEC on August 6, 2024).</w:t>
              </w:r>
            </w:hyperlink>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Form of Non-Redemption Subscription Agreement (incorporated by reference to Exhibit 10.13 to the Company’s Current Report on Form 8-K filed with the SEC on August 6, 2024).</w:t>
              </w:r>
            </w:hyperlink>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Form of Open Market Purchase Subscription Agreement (incorporated by reference to Exhibit 10.14 to the Company’s Current Report on Form 8-K filed with the SEC on August 6, 2024).</w:t>
              </w:r>
            </w:hyperlink>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Form of Subscription Agreement with Pre-Funded Warrant and Base Warrant (incorporated by reference to Exhibit 10.15 to the Company’s Current Report on Form 8-K filed with the SEC on August 6, 2024).</w:t>
              </w:r>
            </w:hyperlink>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PIPE Subscription Agreement, by and among the Perceptive PIPE Investor, ListCo and ARYA (incorporated by reference to Exhibit 10.16 to the Company’s Current Report on Form 8-K filed with the SEC on August 6, 2024).</w:t>
              </w:r>
            </w:hyperlink>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Amendment to PIPE Subscription Agreement, by and among the Perceptive PIPE Investor, ListCo and ARYA (incorporated by reference to Exhibit 10.17 to the Company’s Current Report on Form 8-K filed with the SEC on August 6, 2024).</w:t>
              </w:r>
            </w:hyperlink>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Amended and Restated Subscription Agreement, by and among the Perceptive PIPE Investor, ListCo and ARYA (incorporated by reference to Exhibit 10.18 to the Company’s Current Report on Form 8-K filed with the SEC on August 6, 2024).</w:t>
              </w:r>
            </w:hyperlink>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Form of Amended and Restated Subscription Agreement with Pre-Funded Warrant and Warrant (incorporated by reference to Exhibit 10.19 to the Company’s Current Report on Form 8-K filed with the SEC on August 6, 2024).</w:t>
              </w:r>
            </w:hyperlink>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Form of Amended and Restated Open Market Purchase Subscription Agreement (incorporated by reference to Exhibit 10.20 to the Company’s Current Report on Form 8-K filed with the SEC on August 6, 2024).</w:t>
              </w:r>
            </w:hyperlink>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Form of Amended and Restated Non-Redemption Subscription Agreement (incorporated by reference to Exhibit 10.21 to the Company’s Current Report on Form 8-K filed with the SEC on August 6, 2024).</w:t>
              </w:r>
            </w:hyperlink>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2024 Bridge Financing Note Subscription Agreement, dated as of February 13, 2024, by and between ListCo, the Perceptive PIPE Investor and certain other investors thereto (incorporated by reference to Exhibit 10.22 to the Company’s Current Report on Form 8-K filed with the SEC on August 6, 2024).</w:t>
              </w:r>
            </w:hyperlink>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Offer Letter, dated July 31, 2024, between Adagio Medical, Inc. and Olav Bergheim (incorporated by reference to Exhibit 10.23 to the Company’s Current Report on Form 8-K filed with the SEC on August 6, 2024).</w:t>
              </w:r>
            </w:hyperlink>
          </w:p>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w:anchor="adgm-20240930xex10d24.htm">
              <w:r>
                <w:rPr>
                  <w:rStyle w:val="InternetLink"/>
                  <w:rFonts w:ascii="Times New Roman;Times;serif" w:hAnsi="Times New Roman;Times;serif"/>
                  <w:b w:val="false"/>
                  <w:i w:val="false"/>
                  <w:caps w:val="false"/>
                  <w:smallCaps w:val="false"/>
                  <w:sz w:val="20"/>
                </w:rPr>
                <w:t>Tenth Amendment to the Facilities and Services Agreement, dated August 1, 2024, between Fjord Ventures, LLC and Adagio Medical, Inc.</w:t>
              </w:r>
            </w:hyperlink>
          </w:p>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w:anchor="adgm-20240930xex31d1.htm">
              <w:r>
                <w:rPr>
                  <w:rStyle w:val="InternetLink"/>
                  <w:rFonts w:ascii="Times New Roman;Times;serif" w:hAnsi="Times New Roman;Times;serif"/>
                  <w:b w:val="false"/>
                  <w:i w:val="false"/>
                  <w:caps w:val="false"/>
                  <w:smallCaps w:val="false"/>
                  <w:sz w:val="20"/>
                </w:rPr>
                <w:t>Certification of Principal Executive Officer Pursuant to Securities Exchange Act Rules 13a-14(a) and 15(d)-14(a), as adopted Pursuant to Section 302 of the Sarbanes-Oxley Act of 2002.</w:t>
              </w:r>
            </w:hyperlink>
          </w:p>
        </w:tc>
      </w:tr>
      <w:tr>
        <w:trPr/>
        <w:tc>
          <w:tcPr>
            <w:tcW w:w="7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w:anchor="adgm-20240930xex31d2.htm">
              <w:r>
                <w:rPr>
                  <w:rStyle w:val="InternetLink"/>
                  <w:rFonts w:ascii="Times New Roman;Times;serif" w:hAnsi="Times New Roman;Times;serif"/>
                  <w:b w:val="false"/>
                  <w:i w:val="false"/>
                  <w:caps w:val="false"/>
                  <w:smallCaps w:val="false"/>
                  <w:sz w:val="20"/>
                </w:rPr>
                <w:t>Certification of Principal Financial Officer Pursuant to Securities Exchange Act Rules 13a-14(a) and 15(d)-14(a), as adopted Pursuant to Section 302 of the Sarbanes-Oxley Act of 2002.</w:t>
              </w:r>
            </w:hyperlink>
          </w:p>
        </w:tc>
      </w:tr>
      <w:tr>
        <w:trPr/>
        <w:tc>
          <w:tcPr>
            <w:tcW w:w="7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w:anchor="adgm-202409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7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hyperlink w:anchor="adgm-202409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7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r>
              <w:rPr/>
              <w:t>​</w:t>
            </w:r>
          </w:p>
        </w:tc>
      </w:tr>
      <w:tr>
        <w:trPr/>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79"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910"/>
        <w:gridCol w:w="109"/>
        <w:gridCol w:w="9186"/>
      </w:tblGrid>
      <w:tr>
        <w:trPr/>
        <w:tc>
          <w:tcPr>
            <w:tcW w:w="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Labels Linkbase Document</w:t>
            </w:r>
          </w:p>
        </w:tc>
      </w:tr>
      <w:tr>
        <w:trPr/>
        <w:tc>
          <w:tcPr>
            <w:tcW w:w="9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6" w:type="dxa"/>
            <w:tcBorders/>
            <w:vAlign w:val="center"/>
          </w:tcPr>
          <w:p>
            <w:pPr>
              <w:pStyle w:val="TableContents"/>
              <w:bidi w:val="0"/>
              <w:spacing w:before="0" w:after="0"/>
              <w:ind w:left="0" w:right="0" w:hanging="0"/>
              <w:jc w:val="left"/>
              <w:rPr/>
            </w:pPr>
            <w:r>
              <w:rPr/>
              <w:t>​</w:t>
            </w:r>
          </w:p>
        </w:tc>
      </w:tr>
      <w:tr>
        <w:trPr/>
        <w:tc>
          <w:tcPr>
            <w:tcW w:w="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9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1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186" w:type="dxa"/>
            <w:tcBorders/>
            <w:vAlign w:val="center"/>
          </w:tcPr>
          <w:p>
            <w:pPr>
              <w:pStyle w:val="TableContents"/>
              <w:bidi w:val="0"/>
              <w:spacing w:before="0" w:after="0"/>
              <w:ind w:left="0" w:right="0" w:hanging="0"/>
              <w:jc w:val="left"/>
              <w:rPr/>
            </w:pPr>
            <w:r>
              <w:rPr/>
              <w:t>​</w:t>
            </w:r>
          </w:p>
        </w:tc>
      </w:tr>
      <w:tr>
        <w:trPr/>
        <w:tc>
          <w:tcPr>
            <w:tcW w:w="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1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for the cover page of this Quarterly Report on Form 10-Q, included in the Exhibit 101 Inline XBRL Document Set.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Furnished herewith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14" w:name="SIGNATURES_342629"/>
      <w:bookmarkStart w:id="1815" w:name="_db3df9b9_5d12_4088_b63d_5af25fd6c20a"/>
      <w:bookmarkEnd w:id="1814"/>
      <w:bookmarkEnd w:id="1815"/>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Securities Exchange Act of 1934, the registrant has duly caused this report to be signed on its behalf by the undersigned, thereunto duly authorized.</w:t>
      </w:r>
    </w:p>
    <w:tbl>
      <w:tblPr>
        <w:tblW w:w="5671" w:type="dxa"/>
        <w:jc w:val="left"/>
        <w:tblInd w:w="0" w:type="dxa"/>
        <w:tblLayout w:type="fixed"/>
        <w:tblCellMar>
          <w:top w:w="0" w:type="dxa"/>
          <w:left w:w="0" w:type="dxa"/>
          <w:bottom w:w="0" w:type="dxa"/>
          <w:right w:w="0" w:type="dxa"/>
        </w:tblCellMar>
      </w:tblPr>
      <w:tblGrid>
        <w:gridCol w:w="2206"/>
        <w:gridCol w:w="809"/>
        <w:gridCol w:w="2656"/>
      </w:tblGrid>
      <w:tr>
        <w:trPr/>
        <w:tc>
          <w:tcPr>
            <w:tcW w:w="220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left"/>
              <w:rPr/>
            </w:pPr>
            <w:r>
              <w:rPr/>
              <w:t>​</w:t>
            </w:r>
          </w:p>
        </w:tc>
        <w:tc>
          <w:tcPr>
            <w:tcW w:w="265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46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ADAGIO MEDICAL HOLDINGS, INC.</w:t>
            </w:r>
          </w:p>
        </w:tc>
      </w:tr>
      <w:tr>
        <w:trPr/>
        <w:tc>
          <w:tcPr>
            <w:tcW w:w="220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left"/>
              <w:rPr/>
            </w:pPr>
            <w:r>
              <w:rPr/>
              <w:t>​</w:t>
            </w:r>
          </w:p>
        </w:tc>
        <w:tc>
          <w:tcPr>
            <w:tcW w:w="265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14, 2024</w:t>
            </w:r>
          </w:p>
        </w:tc>
        <w:tc>
          <w:tcPr>
            <w:tcW w:w="809" w:type="dxa"/>
            <w:tcBorders/>
            <w:vAlign w:val="center"/>
          </w:tcPr>
          <w:p>
            <w:pPr>
              <w:pStyle w:val="TableContents"/>
              <w:bidi w:val="0"/>
              <w:spacing w:before="0" w:after="0"/>
              <w:ind w:left="0" w:right="0" w:hanging="0"/>
              <w:jc w:val="left"/>
              <w:rPr/>
            </w:pPr>
            <w:r>
              <w:rPr/>
              <w:t>​</w:t>
            </w:r>
          </w:p>
        </w:tc>
        <w:tc>
          <w:tcPr>
            <w:tcW w:w="265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Olav Bergheim</w:t>
            </w:r>
          </w:p>
        </w:tc>
      </w:tr>
      <w:tr>
        <w:trPr/>
        <w:tc>
          <w:tcPr>
            <w:tcW w:w="220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65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Olav Bergheim</w:t>
            </w:r>
          </w:p>
        </w:tc>
      </w:tr>
      <w:tr>
        <w:trPr/>
        <w:tc>
          <w:tcPr>
            <w:tcW w:w="220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20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left"/>
              <w:rPr/>
            </w:pPr>
            <w:r>
              <w:rPr/>
              <w:t>​</w:t>
            </w:r>
          </w:p>
        </w:tc>
        <w:tc>
          <w:tcPr>
            <w:tcW w:w="265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14, 2024</w:t>
            </w:r>
          </w:p>
        </w:tc>
        <w:tc>
          <w:tcPr>
            <w:tcW w:w="809" w:type="dxa"/>
            <w:tcBorders/>
            <w:vAlign w:val="center"/>
          </w:tcPr>
          <w:p>
            <w:pPr>
              <w:pStyle w:val="TableContents"/>
              <w:bidi w:val="0"/>
              <w:spacing w:before="0" w:after="0"/>
              <w:ind w:left="0" w:right="0" w:hanging="0"/>
              <w:jc w:val="left"/>
              <w:rPr/>
            </w:pPr>
            <w:r>
              <w:rPr/>
              <w:t>​</w:t>
            </w:r>
          </w:p>
        </w:tc>
        <w:tc>
          <w:tcPr>
            <w:tcW w:w="265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Dahldorf</w:t>
            </w:r>
          </w:p>
        </w:tc>
      </w:tr>
      <w:tr>
        <w:trPr/>
        <w:tc>
          <w:tcPr>
            <w:tcW w:w="220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65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Dahldorf</w:t>
            </w:r>
          </w:p>
        </w:tc>
      </w:tr>
      <w:tr>
        <w:trPr/>
        <w:tc>
          <w:tcPr>
            <w:tcW w:w="2206" w:type="dxa"/>
            <w:tcBorders/>
            <w:vAlign w:val="center"/>
          </w:tcPr>
          <w:p>
            <w:pPr>
              <w:pStyle w:val="TableContents"/>
              <w:bidi w:val="0"/>
              <w:spacing w:before="0" w:after="0"/>
              <w:ind w:left="0" w:right="0" w:hanging="0"/>
              <w:jc w:val="left"/>
              <w:rPr/>
            </w:pPr>
            <w:r>
              <w:rPr/>
              <w:t>​</w:t>
            </w:r>
          </w:p>
        </w:tc>
        <w:tc>
          <w:tcPr>
            <w:tcW w:w="8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6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200"/>
        <w:ind w:left="0" w:right="0" w:hanging="0"/>
        <w:jc w:val="right"/>
        <w:rPr>
          <w:rFonts w:ascii="Times New Roman;Times;serif" w:hAnsi="Times New Roman;Times;serif"/>
          <w:b/>
          <w:sz w:val="24"/>
        </w:rPr>
      </w:pPr>
      <w:bookmarkStart w:id="1816" w:name="adgm-20240930xex10d24.htm"/>
      <w:bookmarkStart w:id="1817" w:name="ksadgm20240930xex10d24"/>
      <w:bookmarkEnd w:id="1816"/>
      <w:bookmarkEnd w:id="1817"/>
      <w:r>
        <w:rPr>
          <w:rFonts w:ascii="Times New Roman;Times;serif" w:hAnsi="Times New Roman;Times;serif"/>
          <w:b/>
          <w:sz w:val="24"/>
        </w:rPr>
        <w:t>Exhibit 10.24</w:t>
      </w:r>
      <w:r>
        <w:br w:type="page"/>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TENTH AMENDMENT TO</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FACILITIES AND SERVICES AGREEMENT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4"/>
        </w:rPr>
        <w:t>This Tenth Amendment to Facilities and Services Agreement (the “</w:t>
      </w:r>
      <w:r>
        <w:rPr>
          <w:rFonts w:ascii="Times New Roman;Times;serif" w:hAnsi="Times New Roman;Times;serif"/>
          <w:sz w:val="24"/>
          <w:u w:val="single"/>
        </w:rPr>
        <w:t>Amendment</w:t>
      </w:r>
      <w:r>
        <w:rPr>
          <w:rFonts w:ascii="Times New Roman;Times;serif" w:hAnsi="Times New Roman;Times;serif"/>
          <w:sz w:val="20"/>
        </w:rPr>
        <w:t>”</w:t>
      </w:r>
      <w:r>
        <w:rPr>
          <w:rFonts w:ascii="Times New Roman;Times;serif" w:hAnsi="Times New Roman;Times;serif"/>
          <w:sz w:val="24"/>
        </w:rPr>
        <w:t>), effective as of August 1, 2024, is made and entered into by Fjord Ventures, LLC (“</w:t>
      </w:r>
      <w:r>
        <w:rPr>
          <w:rFonts w:ascii="Times New Roman;Times;serif" w:hAnsi="Times New Roman;Times;serif"/>
          <w:sz w:val="24"/>
          <w:u w:val="single"/>
        </w:rPr>
        <w:t>Fjord</w:t>
      </w:r>
      <w:r>
        <w:rPr>
          <w:rFonts w:ascii="Times New Roman;Times;serif" w:hAnsi="Times New Roman;Times;serif"/>
          <w:sz w:val="20"/>
        </w:rPr>
        <w:t>”</w:t>
      </w:r>
      <w:r>
        <w:rPr>
          <w:rFonts w:ascii="Times New Roman;Times;serif" w:hAnsi="Times New Roman;Times;serif"/>
          <w:sz w:val="24"/>
        </w:rPr>
        <w:t>) and Adagio Medical, Inc. (“</w:t>
      </w:r>
      <w:r>
        <w:rPr>
          <w:rFonts w:ascii="Times New Roman;Times;serif" w:hAnsi="Times New Roman;Times;serif"/>
          <w:sz w:val="24"/>
          <w:u w:val="single"/>
        </w:rPr>
        <w:t>Adagio</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00"/>
        <w:ind w:left="0" w:right="0" w:hanging="0"/>
        <w:jc w:val="center"/>
        <w:rPr>
          <w:rFonts w:ascii="Times New Roman;Times;serif" w:hAnsi="Times New Roman;Times;serif"/>
          <w:sz w:val="24"/>
          <w:u w:val="single"/>
        </w:rPr>
      </w:pPr>
      <w:r>
        <w:rPr>
          <w:rFonts w:ascii="Times New Roman;Times;serif" w:hAnsi="Times New Roman;Times;serif"/>
          <w:sz w:val="24"/>
          <w:u w:val="single"/>
        </w:rPr>
        <w:t>RECITALS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4"/>
        </w:rPr>
        <w:t>Fjord and Adagio are parties to that certain Facilities and Services Agreement, dated as of June 1, 2011, as amended (the “</w:t>
      </w:r>
      <w:r>
        <w:rPr>
          <w:rFonts w:ascii="Times New Roman;Times;serif" w:hAnsi="Times New Roman;Times;serif"/>
          <w:sz w:val="24"/>
          <w:u w:val="single"/>
        </w:rPr>
        <w:t>Agreement</w:t>
      </w:r>
      <w:r>
        <w:rPr>
          <w:rFonts w:ascii="Times New Roman;Times;serif" w:hAnsi="Times New Roman;Times;serif"/>
          <w:sz w:val="20"/>
        </w:rPr>
        <w:t>”</w:t>
      </w:r>
      <w:r>
        <w:rPr>
          <w:rFonts w:ascii="Times New Roman;Times;serif" w:hAnsi="Times New Roman;Times;serif"/>
          <w:sz w:val="24"/>
        </w:rPr>
        <w:t>), which describes services to be provided by Fjord to Adagio and the related terms and conditions related thereto.</w:t>
      </w:r>
    </w:p>
    <w:p>
      <w:pPr>
        <w:pStyle w:val="TextBody"/>
        <w:bidi w:val="0"/>
        <w:spacing w:before="0" w:after="200"/>
        <w:ind w:left="0" w:right="0" w:firstLine="720"/>
        <w:jc w:val="both"/>
        <w:rPr>
          <w:rFonts w:ascii="Times New Roman;Times;serif" w:hAnsi="Times New Roman;Times;serif"/>
          <w:sz w:val="24"/>
        </w:rPr>
      </w:pPr>
      <w:r>
        <w:rPr>
          <w:rFonts w:ascii="Times New Roman;Times;serif" w:hAnsi="Times New Roman;Times;serif"/>
          <w:sz w:val="24"/>
        </w:rPr>
        <w:t>NOW, THEREFORE, the parties hereto do hereby agree as follows: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u w:val="single"/>
        </w:rPr>
        <w:t>Amendment to Exhibit A to Agreement</w:t>
      </w:r>
      <w:r>
        <w:rPr>
          <w:rFonts w:ascii="Times New Roman;Times;serif" w:hAnsi="Times New Roman;Times;serif"/>
          <w:sz w:val="24"/>
        </w:rPr>
        <w:t>. Exhibit A to the Agreement has been modified to include updated services as outlined on Exhibit A hereto.</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sz w:val="24"/>
          <w:u w:val="single"/>
        </w:rPr>
        <w:t>Amendment to Exhibit B to Agreement</w:t>
      </w:r>
      <w:r>
        <w:rPr>
          <w:rFonts w:ascii="Times New Roman;Times;serif" w:hAnsi="Times New Roman;Times;serif"/>
          <w:sz w:val="24"/>
        </w:rPr>
        <w:t>. According to Exhibit B to the Agreement, Adagio agrees to pay Fjord at a net rate of $77,000 per month for the services described on Exhibit A.</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w:t>
      </w:r>
      <w:r>
        <w:rPr>
          <w:rFonts w:ascii="Times New Roman;Times;serif" w:hAnsi="Times New Roman;Times;serif"/>
          <w:sz w:val="24"/>
          <w:u w:val="single"/>
        </w:rPr>
        <w:t>No Further Amendment</w:t>
      </w:r>
      <w:r>
        <w:rPr>
          <w:rFonts w:ascii="Times New Roman;Times;serif" w:hAnsi="Times New Roman;Times;serif"/>
          <w:sz w:val="24"/>
        </w:rPr>
        <w:t>. Except as specifically set forth herein, the Agreement is not being amended or modified and shall remain in full force and effect in accordance with its terms as amended hereby.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w:t>
      </w:r>
      <w:r>
        <w:rPr>
          <w:rFonts w:ascii="Times New Roman;Times;serif" w:hAnsi="Times New Roman;Times;serif"/>
          <w:sz w:val="24"/>
          <w:u w:val="single"/>
        </w:rPr>
        <w:t>Miscellaneous</w:t>
      </w:r>
      <w:r>
        <w:rPr>
          <w:rFonts w:ascii="Times New Roman;Times;serif" w:hAnsi="Times New Roman;Times;serif"/>
          <w:sz w:val="24"/>
        </w:rPr>
        <w:t>. This Amendment may be executed in one or more counterparts, each of which shall be deemed an original but all of which together shall constitute one and the same instrument. This Amendment shall be governed by and construed under the internal laws of the State of California as applies to agreements among California residents entered into and to be performed entirely within California, without reference to principles of conflict of laws or choice of laws.</w:t>
      </w:r>
    </w:p>
    <w:p>
      <w:pPr>
        <w:pStyle w:val="TextBody"/>
        <w:bidi w:val="0"/>
        <w:spacing w:before="0" w:after="200"/>
        <w:ind w:left="0" w:right="0" w:firstLine="720"/>
        <w:jc w:val="both"/>
        <w:rPr>
          <w:rFonts w:ascii="Times New Roman;Times;serif" w:hAnsi="Times New Roman;Times;serif"/>
          <w:sz w:val="24"/>
        </w:rPr>
      </w:pPr>
      <w:r>
        <w:rPr>
          <w:rFonts w:ascii="Times New Roman;Times;serif" w:hAnsi="Times New Roman;Times;serif"/>
          <w:sz w:val="24"/>
        </w:rPr>
        <w:t>IN WITNESS WHEREOF, the parties hereto have executed this Tenth Amendment as of the day and year first above written.</w:t>
      </w:r>
    </w:p>
    <w:tbl>
      <w:tblPr>
        <w:tblW w:w="2602" w:type="dxa"/>
        <w:jc w:val="left"/>
        <w:tblInd w:w="0" w:type="dxa"/>
        <w:tblLayout w:type="fixed"/>
        <w:tblCellMar>
          <w:top w:w="0" w:type="dxa"/>
          <w:left w:w="0" w:type="dxa"/>
          <w:bottom w:w="0" w:type="dxa"/>
          <w:right w:w="0" w:type="dxa"/>
        </w:tblCellMar>
      </w:tblPr>
      <w:tblGrid>
        <w:gridCol w:w="124"/>
        <w:gridCol w:w="468"/>
        <w:gridCol w:w="28"/>
        <w:gridCol w:w="198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78740" cy="175260"/>
                      <wp:effectExtent l="0" t="0" r="0" b="0"/>
                      <wp:wrapNone/>
                      <wp:docPr id="282" name="Frame28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14960" cy="175260"/>
                      <wp:effectExtent l="0" t="0" r="0" b="0"/>
                      <wp:wrapNone/>
                      <wp:docPr id="283" name="Frame283"/>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258570" cy="175260"/>
                      <wp:effectExtent l="0" t="0" r="0" b="0"/>
                      <wp:wrapNone/>
                      <wp:docPr id="284" name="Frame284"/>
                      <a:graphic xmlns:a="http://schemas.openxmlformats.org/drawingml/2006/main">
                        <a:graphicData uri="http://schemas.microsoft.com/office/word/2010/wordprocessingShape">
                          <wps:wsp>
                            <wps:cNvSpPr txBox="1"/>
                            <wps:spPr>
                              <a:xfrm>
                                <a:off x="0" y="0"/>
                                <a:ext cx="1258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478"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ADAGIO MEDICAL, INC.</w:t>
            </w:r>
          </w:p>
        </w:tc>
      </w:tr>
      <w:tr>
        <w:trPr/>
        <w:tc>
          <w:tcPr>
            <w:tcW w:w="124" w:type="dxa"/>
            <w:tcBorders/>
            <w:vAlign w:val="center"/>
          </w:tcPr>
          <w:p>
            <w:pPr>
              <w:pStyle w:val="TableContents"/>
              <w:bidi w:val="0"/>
              <w:spacing w:before="0" w:after="0"/>
              <w:ind w:left="0" w:right="0" w:hanging="0"/>
              <w:jc w:val="left"/>
              <w:rPr/>
            </w:pPr>
            <w:r>
              <w:rPr/>
              <w:t>​</w:t>
            </w:r>
          </w:p>
        </w:tc>
        <w:tc>
          <w:tcPr>
            <w:tcW w:w="247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9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Dahldorf</w:t>
            </w:r>
          </w:p>
        </w:tc>
      </w:tr>
      <w:tr>
        <w:trPr/>
        <w:tc>
          <w:tcPr>
            <w:tcW w:w="124"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left"/>
              <w:rPr/>
            </w:pPr>
            <w:r>
              <w:rPr/>
              <w:t>​</w:t>
            </w:r>
          </w:p>
        </w:tc>
        <w:tc>
          <w:tcPr>
            <w:tcW w:w="201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Dahldorf</w:t>
            </w:r>
          </w:p>
        </w:tc>
      </w:tr>
      <w:tr>
        <w:trPr/>
        <w:tc>
          <w:tcPr>
            <w:tcW w:w="124"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left"/>
              <w:rPr/>
            </w:pPr>
            <w:r>
              <w:rPr/>
              <w:t>​</w:t>
            </w:r>
          </w:p>
        </w:tc>
        <w:tc>
          <w:tcPr>
            <w:tcW w:w="20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47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478"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FJORD VENTURES, LLC</w:t>
            </w:r>
          </w:p>
        </w:tc>
      </w:tr>
      <w:tr>
        <w:trPr/>
        <w:tc>
          <w:tcPr>
            <w:tcW w:w="124" w:type="dxa"/>
            <w:tcBorders/>
            <w:vAlign w:val="center"/>
          </w:tcPr>
          <w:p>
            <w:pPr>
              <w:pStyle w:val="TableContents"/>
              <w:bidi w:val="0"/>
              <w:spacing w:before="0" w:after="0"/>
              <w:ind w:left="0" w:right="0" w:hanging="0"/>
              <w:jc w:val="left"/>
              <w:rPr/>
            </w:pPr>
            <w:r>
              <w:rPr/>
              <w:t>​</w:t>
            </w:r>
          </w:p>
        </w:tc>
        <w:tc>
          <w:tcPr>
            <w:tcW w:w="247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Andrew Wade</w:t>
            </w:r>
          </w:p>
        </w:tc>
      </w:tr>
      <w:tr>
        <w:trPr/>
        <w:tc>
          <w:tcPr>
            <w:tcW w:w="124"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left"/>
              <w:rPr/>
            </w:pPr>
            <w:r>
              <w:rPr/>
              <w:t>​</w:t>
            </w:r>
          </w:p>
        </w:tc>
        <w:tc>
          <w:tcPr>
            <w:tcW w:w="201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Wade</w:t>
            </w:r>
          </w:p>
        </w:tc>
      </w:tr>
      <w:tr>
        <w:trPr/>
        <w:tc>
          <w:tcPr>
            <w:tcW w:w="124" w:type="dxa"/>
            <w:tcBorders/>
            <w:vAlign w:val="center"/>
          </w:tcPr>
          <w:p>
            <w:pPr>
              <w:pStyle w:val="TableContents"/>
              <w:bidi w:val="0"/>
              <w:spacing w:before="0" w:after="0"/>
              <w:ind w:left="0" w:right="0" w:hanging="0"/>
              <w:jc w:val="left"/>
              <w:rPr/>
            </w:pPr>
            <w:r>
              <w:rPr/>
              <w:t>​</w:t>
            </w:r>
          </w:p>
        </w:tc>
        <w:tc>
          <w:tcPr>
            <w:tcW w:w="468" w:type="dxa"/>
            <w:tcBorders/>
            <w:vAlign w:val="center"/>
          </w:tcPr>
          <w:p>
            <w:pPr>
              <w:pStyle w:val="TableContents"/>
              <w:bidi w:val="0"/>
              <w:spacing w:before="0" w:after="0"/>
              <w:ind w:left="0" w:right="0" w:hanging="0"/>
              <w:jc w:val="left"/>
              <w:rPr/>
            </w:pPr>
            <w:r>
              <w:rPr/>
              <w:t>​</w:t>
            </w:r>
          </w:p>
        </w:tc>
        <w:tc>
          <w:tcPr>
            <w:tcW w:w="20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center"/>
        <w:rPr>
          <w:rFonts w:ascii="Times New Roman;Times;serif" w:hAnsi="Times New Roman;Times;serif"/>
          <w:b/>
          <w:sz w:val="26"/>
        </w:rPr>
      </w:pPr>
      <w:r>
        <w:rPr>
          <w:rFonts w:ascii="Times New Roman;Times;serif" w:hAnsi="Times New Roman;Times;serif"/>
          <w:b/>
          <w:sz w:val="26"/>
        </w:rPr>
        <w:t>EXHIBIT A</w:t>
      </w:r>
    </w:p>
    <w:p>
      <w:pPr>
        <w:pStyle w:val="TextBody"/>
        <w:bidi w:val="0"/>
        <w:spacing w:before="0" w:after="200"/>
        <w:ind w:left="0" w:right="0" w:hanging="0"/>
        <w:jc w:val="center"/>
        <w:rPr>
          <w:rFonts w:ascii="Times New Roman;Times;serif" w:hAnsi="Times New Roman;Times;serif"/>
          <w:b/>
          <w:sz w:val="26"/>
        </w:rPr>
      </w:pPr>
      <w:r>
        <w:rPr>
          <w:rFonts w:ascii="Times New Roman;Times;serif" w:hAnsi="Times New Roman;Times;serif"/>
          <w:b/>
          <w:sz w:val="26"/>
        </w:rPr>
        <w:t>DESCRIPTION OF THE SERVICES</w:t>
      </w:r>
    </w:p>
    <w:tbl>
      <w:tblPr>
        <w:tblW w:w="10205" w:type="dxa"/>
        <w:jc w:val="center"/>
        <w:tblInd w:w="0" w:type="dxa"/>
        <w:tblLayout w:type="fixed"/>
        <w:tblCellMar>
          <w:top w:w="0" w:type="dxa"/>
          <w:left w:w="0" w:type="dxa"/>
          <w:bottom w:w="0" w:type="dxa"/>
          <w:right w:w="0" w:type="dxa"/>
        </w:tblCellMar>
      </w:tblPr>
      <w:tblGrid>
        <w:gridCol w:w="1933"/>
        <w:gridCol w:w="8272"/>
      </w:tblGrid>
      <w:tr>
        <w:trPr/>
        <w:tc>
          <w:tcPr>
            <w:tcW w:w="1933" w:type="dxa"/>
            <w:tcBorders/>
            <w:vAlign w:val="center"/>
          </w:tcPr>
          <w:p>
            <w:pPr>
              <w:pStyle w:val="TableContents"/>
              <w:bidi w:val="0"/>
              <w:spacing w:before="0" w:after="0"/>
              <w:ind w:left="0" w:right="0" w:hanging="0"/>
              <w:jc w:val="left"/>
              <w:rPr/>
            </w:pPr>
            <w:r>
              <w:rPr/>
              <w:t>​</w:t>
            </w:r>
          </w:p>
        </w:tc>
        <w:tc>
          <w:tcPr>
            <w:tcW w:w="8272" w:type="dxa"/>
            <w:tcBorders/>
            <w:vAlign w:val="center"/>
          </w:tcPr>
          <w:p>
            <w:pPr>
              <w:pStyle w:val="TableContents"/>
              <w:bidi w:val="0"/>
              <w:spacing w:before="0" w:after="0"/>
              <w:ind w:left="0" w:right="0" w:hanging="0"/>
              <w:jc w:val="left"/>
              <w:rPr/>
            </w:pPr>
            <w:r>
              <w:rPr/>
              <w:t>​</w:t>
            </w:r>
          </w:p>
        </w:tc>
      </w:tr>
      <w:tr>
        <w:trPr/>
        <w:tc>
          <w:tcPr>
            <w:tcW w:w="1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6"/>
              </w:rPr>
            </w:pPr>
            <w:r>
              <w:rPr>
                <w:rFonts w:ascii="Times New Roman;Times;serif" w:hAnsi="Times New Roman;Times;serif"/>
                <w:b/>
                <w:sz w:val="26"/>
              </w:rPr>
              <w:t>TYPE OF SERVICE</w:t>
            </w:r>
          </w:p>
        </w:tc>
        <w:tc>
          <w:tcPr>
            <w:tcW w:w="8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26"/>
              </w:rPr>
            </w:pPr>
            <w:r>
              <w:rPr>
                <w:rFonts w:ascii="Times New Roman;Times;serif" w:hAnsi="Times New Roman;Times;serif"/>
                <w:b/>
                <w:sz w:val="26"/>
              </w:rPr>
              <w:t>DESCRIPTION</w:t>
            </w:r>
          </w:p>
        </w:tc>
      </w:tr>
      <w:tr>
        <w:trPr/>
        <w:tc>
          <w:tcPr>
            <w:tcW w:w="1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 xml:space="preserve">Employee Benefits Plans Administration </w:t>
            </w:r>
            <w:r>
              <w:rPr>
                <w:rFonts w:ascii="Times New Roman;Times;serif" w:hAnsi="Times New Roman;Times;serif"/>
                <w:sz w:val="18"/>
              </w:rPr>
              <w:t>1</w:t>
            </w:r>
          </w:p>
        </w:tc>
        <w:tc>
          <w:tcPr>
            <w:tcW w:w="8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72" w:right="0" w:hanging="0"/>
              <w:jc w:val="left"/>
              <w:rPr>
                <w:rFonts w:ascii="Times New Roman;Times;serif" w:hAnsi="Times New Roman;Times;serif"/>
                <w:sz w:val="20"/>
              </w:rPr>
            </w:pPr>
            <w:r>
              <w:rPr>
                <w:rFonts w:ascii="Times New Roman;Times;serif" w:hAnsi="Times New Roman;Times;serif"/>
                <w:sz w:val="24"/>
                <w:u w:val="single"/>
              </w:rPr>
              <w:t>Health Plans</w:t>
            </w:r>
            <w:r>
              <w:rPr>
                <w:rFonts w:ascii="Times New Roman;Times;serif" w:hAnsi="Times New Roman;Times;serif"/>
                <w:sz w:val="24"/>
              </w:rPr>
              <w:t>: Consult on and establish employee benefit health plan structure, selection and employer / employee cost-sharing methodology. Manage open enrollment processes and ongoing administration.</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u w:val="single"/>
              </w:rPr>
              <w:t>401(k)</w:t>
            </w:r>
            <w:r>
              <w:rPr>
                <w:rFonts w:ascii="Times New Roman;Times;serif" w:hAnsi="Times New Roman;Times;serif"/>
                <w:sz w:val="24"/>
              </w:rPr>
              <w:t>: Consult on and establish 401(k) plans, including provision of trustee services as well as fund selection options. Provide ongoing management and administration of the plans.</w:t>
            </w:r>
          </w:p>
        </w:tc>
      </w:tr>
      <w:tr>
        <w:trPr/>
        <w:tc>
          <w:tcPr>
            <w:tcW w:w="1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Administrative Support</w:t>
            </w:r>
          </w:p>
        </w:tc>
        <w:tc>
          <w:tcPr>
            <w:tcW w:w="8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Provide front desk reception and office administration support services (e.g. assistance with travel arrangements and reservations, expense report preparation, telephone messaging, meeting organization and set-up, document production, shipping / receiving, etc.). Provide human resources support services, including implementation and management of hiring / termination processes.</w:t>
            </w:r>
          </w:p>
        </w:tc>
      </w:tr>
      <w:tr>
        <w:trPr/>
        <w:tc>
          <w:tcPr>
            <w:tcW w:w="1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IT Services</w:t>
            </w:r>
          </w:p>
        </w:tc>
        <w:tc>
          <w:tcPr>
            <w:tcW w:w="8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Provide information technology infrastructure (including file server and data back-up), audio/visual equipment, internet access, and support services (including PC set-up and network configuration).</w:t>
            </w:r>
          </w:p>
        </w:tc>
      </w:tr>
      <w:tr>
        <w:trPr/>
        <w:tc>
          <w:tcPr>
            <w:tcW w:w="193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Office Space and Supplies</w:t>
            </w:r>
          </w:p>
        </w:tc>
        <w:tc>
          <w:tcPr>
            <w:tcW w:w="8272"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72" w:right="0" w:hanging="0"/>
              <w:jc w:val="left"/>
              <w:rPr>
                <w:rFonts w:ascii="Times New Roman;Times;serif" w:hAnsi="Times New Roman;Times;serif"/>
                <w:sz w:val="24"/>
              </w:rPr>
            </w:pPr>
            <w:r>
              <w:rPr>
                <w:rFonts w:ascii="Times New Roman;Times;serif" w:hAnsi="Times New Roman;Times;serif"/>
                <w:sz w:val="24"/>
              </w:rPr>
              <w:t>Provide fully furnished offices, laboratory and other service area facility space, inclusive of utilities, telephone services (including reasonable long-distance charges), and facility cleaning services. Provide general office supplies and materials (excluding such supplies and materials specific to Adagio such as business cards, letterhead, etc.). Provide access to Fjord network copiers, printers, fax machines, and other general office equipment.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center"/>
        <w:rPr>
          <w:rFonts w:ascii="Times New Roman;Times;serif" w:hAnsi="Times New Roman;Times;serif"/>
          <w:sz w:val="26"/>
          <w:u w:val="single"/>
        </w:rPr>
      </w:pPr>
      <w:r>
        <w:rPr>
          <w:rFonts w:ascii="Times New Roman;Times;serif" w:hAnsi="Times New Roman;Times;serif"/>
          <w:sz w:val="26"/>
          <w:u w:val="single"/>
        </w:rPr>
        <w:t>EXHIBIT B</w:t>
      </w:r>
    </w:p>
    <w:p>
      <w:pPr>
        <w:pStyle w:val="TextBody"/>
        <w:bidi w:val="0"/>
        <w:spacing w:before="0" w:after="0"/>
        <w:ind w:left="0" w:right="0" w:hanging="0"/>
        <w:jc w:val="left"/>
        <w:rPr/>
      </w:pPr>
      <w:r>
        <w:rPr/>
        <w:t>​</w:t>
      </w:r>
    </w:p>
    <w:tbl>
      <w:tblPr>
        <w:tblW w:w="7968" w:type="dxa"/>
        <w:jc w:val="left"/>
        <w:tblInd w:w="0" w:type="dxa"/>
        <w:tblLayout w:type="fixed"/>
        <w:tblCellMar>
          <w:top w:w="0" w:type="dxa"/>
          <w:left w:w="0" w:type="dxa"/>
          <w:bottom w:w="0" w:type="dxa"/>
          <w:right w:w="0" w:type="dxa"/>
        </w:tblCellMar>
      </w:tblPr>
      <w:tblGrid>
        <w:gridCol w:w="2896"/>
        <w:gridCol w:w="2911"/>
        <w:gridCol w:w="2161"/>
      </w:tblGrid>
      <w:tr>
        <w:trPr/>
        <w:tc>
          <w:tcPr>
            <w:tcW w:w="2896" w:type="dxa"/>
            <w:tcBorders/>
            <w:vAlign w:val="center"/>
          </w:tcPr>
          <w:p>
            <w:pPr>
              <w:pStyle w:val="TableContents"/>
              <w:bidi w:val="0"/>
              <w:spacing w:before="0" w:after="0"/>
              <w:ind w:left="0" w:right="0" w:hanging="0"/>
              <w:jc w:val="left"/>
              <w:rPr/>
            </w:pPr>
            <w:r>
              <w:rPr/>
              <w:t>​</w:t>
            </w:r>
          </w:p>
        </w:tc>
        <w:tc>
          <w:tcPr>
            <w:tcW w:w="291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MONTHLY SERVICE FEE</w:t>
            </w:r>
          </w:p>
        </w:tc>
        <w:tc>
          <w:tcPr>
            <w:tcW w:w="216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EFFECTIVE DATE</w:t>
            </w:r>
          </w:p>
        </w:tc>
      </w:tr>
      <w:tr>
        <w:trPr/>
        <w:tc>
          <w:tcPr>
            <w:tcW w:w="2896" w:type="dxa"/>
            <w:tcBorders/>
            <w:vAlign w:val="center"/>
          </w:tcPr>
          <w:p>
            <w:pPr>
              <w:pStyle w:val="TableContents"/>
              <w:bidi w:val="0"/>
              <w:spacing w:before="0" w:after="0"/>
              <w:ind w:left="0" w:right="0" w:hanging="0"/>
              <w:jc w:val="left"/>
              <w:rPr/>
            </w:pPr>
            <w:r>
              <w:rPr/>
              <w:t>​</w:t>
            </w:r>
          </w:p>
        </w:tc>
        <w:tc>
          <w:tcPr>
            <w:tcW w:w="2911" w:type="dxa"/>
            <w:tcBorders/>
            <w:vAlign w:val="center"/>
          </w:tcPr>
          <w:p>
            <w:pPr>
              <w:pStyle w:val="TableContents"/>
              <w:bidi w:val="0"/>
              <w:spacing w:before="0" w:after="0"/>
              <w:ind w:left="0" w:right="0" w:hanging="0"/>
              <w:jc w:val="center"/>
              <w:rPr/>
            </w:pPr>
            <w:r>
              <w:rPr/>
              <w:t>​</w:t>
            </w:r>
          </w:p>
        </w:tc>
        <w:tc>
          <w:tcPr>
            <w:tcW w:w="2161" w:type="dxa"/>
            <w:tcBorders/>
            <w:vAlign w:val="center"/>
          </w:tcPr>
          <w:p>
            <w:pPr>
              <w:pStyle w:val="TableContents"/>
              <w:bidi w:val="0"/>
              <w:spacing w:before="0" w:after="0"/>
              <w:ind w:left="0" w:right="0" w:hanging="0"/>
              <w:jc w:val="center"/>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AS PER EXHIBIT A</w:t>
            </w:r>
          </w:p>
        </w:tc>
        <w:tc>
          <w:tcPr>
            <w:tcW w:w="291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$84,000</w:t>
            </w:r>
          </w:p>
        </w:tc>
        <w:tc>
          <w:tcPr>
            <w:tcW w:w="216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AUGUST 1, 2024</w:t>
            </w:r>
          </w:p>
        </w:tc>
      </w:tr>
      <w:tr>
        <w:trPr/>
        <w:tc>
          <w:tcPr>
            <w:tcW w:w="2896" w:type="dxa"/>
            <w:tcBorders/>
            <w:vAlign w:val="center"/>
          </w:tcPr>
          <w:p>
            <w:pPr>
              <w:pStyle w:val="TableContents"/>
              <w:bidi w:val="0"/>
              <w:spacing w:before="0" w:after="0"/>
              <w:ind w:left="0" w:right="0" w:hanging="0"/>
              <w:jc w:val="left"/>
              <w:rPr/>
            </w:pPr>
            <w:r>
              <w:rPr/>
              <w:t>​</w:t>
            </w:r>
          </w:p>
        </w:tc>
        <w:tc>
          <w:tcPr>
            <w:tcW w:w="2911" w:type="dxa"/>
            <w:tcBorders/>
            <w:vAlign w:val="center"/>
          </w:tcPr>
          <w:p>
            <w:pPr>
              <w:pStyle w:val="TableContents"/>
              <w:bidi w:val="0"/>
              <w:spacing w:before="0" w:after="0"/>
              <w:ind w:left="0" w:right="0" w:hanging="0"/>
              <w:jc w:val="center"/>
              <w:rPr/>
            </w:pPr>
            <w:r>
              <w:rPr/>
              <w:t>​</w:t>
            </w:r>
          </w:p>
        </w:tc>
        <w:tc>
          <w:tcPr>
            <w:tcW w:w="2161" w:type="dxa"/>
            <w:tcBorders/>
            <w:vAlign w:val="center"/>
          </w:tcPr>
          <w:p>
            <w:pPr>
              <w:pStyle w:val="TableContents"/>
              <w:bidi w:val="0"/>
              <w:spacing w:before="0" w:after="0"/>
              <w:ind w:left="0" w:right="0" w:hanging="0"/>
              <w:jc w:val="center"/>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CORPORATE SERVICES</w:t>
            </w:r>
            <w:r>
              <w:rPr>
                <w:rFonts w:ascii="Times New Roman;Times;serif" w:hAnsi="Times New Roman;Times;serif"/>
                <w:sz w:val="18"/>
              </w:rPr>
              <w:t>1</w:t>
            </w:r>
          </w:p>
        </w:tc>
        <w:tc>
          <w:tcPr>
            <w:tcW w:w="291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$(7,000)</w:t>
            </w:r>
          </w:p>
        </w:tc>
        <w:tc>
          <w:tcPr>
            <w:tcW w:w="2161"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AUGUST 1, 2024</w:t>
            </w:r>
          </w:p>
        </w:tc>
      </w:tr>
      <w:tr>
        <w:trPr/>
        <w:tc>
          <w:tcPr>
            <w:tcW w:w="2896" w:type="dxa"/>
            <w:tcBorders/>
            <w:vAlign w:val="center"/>
          </w:tcPr>
          <w:p>
            <w:pPr>
              <w:pStyle w:val="TableContents"/>
              <w:bidi w:val="0"/>
              <w:spacing w:before="0" w:after="0"/>
              <w:ind w:left="0" w:right="0" w:hanging="0"/>
              <w:jc w:val="left"/>
              <w:rPr/>
            </w:pPr>
            <w:r>
              <w:rPr/>
              <w:t>​</w:t>
            </w:r>
          </w:p>
        </w:tc>
        <w:tc>
          <w:tcPr>
            <w:tcW w:w="2911" w:type="dxa"/>
            <w:tcBorders/>
            <w:vAlign w:val="center"/>
          </w:tcPr>
          <w:p>
            <w:pPr>
              <w:pStyle w:val="TableContents"/>
              <w:bidi w:val="0"/>
              <w:spacing w:before="0" w:after="0"/>
              <w:ind w:left="0" w:right="0" w:hanging="0"/>
              <w:jc w:val="center"/>
              <w:rPr/>
            </w:pPr>
            <w:r>
              <w:rPr/>
              <w:t>​</w:t>
            </w:r>
          </w:p>
        </w:tc>
        <w:tc>
          <w:tcPr>
            <w:tcW w:w="2161" w:type="dxa"/>
            <w:tcBorders/>
            <w:vAlign w:val="center"/>
          </w:tcPr>
          <w:p>
            <w:pPr>
              <w:pStyle w:val="TableContents"/>
              <w:bidi w:val="0"/>
              <w:spacing w:before="0" w:after="0"/>
              <w:ind w:left="0" w:right="0" w:hanging="0"/>
              <w:jc w:val="center"/>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NET AMOUNT</w:t>
            </w:r>
          </w:p>
        </w:tc>
        <w:tc>
          <w:tcPr>
            <w:tcW w:w="291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$77,000</w:t>
            </w:r>
          </w:p>
        </w:tc>
        <w:tc>
          <w:tcPr>
            <w:tcW w:w="21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pBdr/>
        <w:bidi w:val="0"/>
        <w:spacing w:before="0" w:after="110"/>
        <w:ind w:left="4" w:right="0" w:hanging="10"/>
        <w:jc w:val="both"/>
        <w:rPr>
          <w:rFonts w:ascii="Times New Roman;Times;serif" w:hAnsi="Times New Roman;Times;serif"/>
          <w:sz w:val="24"/>
        </w:rPr>
      </w:pPr>
      <w:r>
        <w:rPr>
          <w:rFonts w:ascii="Times New Roman;Times;serif" w:hAnsi="Times New Roman;Times;serif"/>
          <w:sz w:val="24"/>
        </w:rPr>
        <w:t>Note 1 — Services comprise of Controllership and Acumatica system implementation</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818" w:name="adgm-20240930xex31d1.htm"/>
      <w:bookmarkStart w:id="1819" w:name="ksadgm20240930xex31d1"/>
      <w:bookmarkEnd w:id="1818"/>
      <w:bookmarkEnd w:id="1819"/>
      <w:r>
        <w:rPr>
          <w:rFonts w:ascii="Times New Roman;Times;serif" w:hAnsi="Times New Roman;Times;serif"/>
          <w:b/>
          <w:sz w:val="22"/>
        </w:rPr>
        <w:t>Exhibit 31.1</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EXECUTIVE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ADOPTED PURSUANT TO SECTION 302 OF THE SARBANES-OXLEY ACT OF 2002</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I, Olav Bergheim, certify that:</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1.</w:t>
            </w:r>
          </w:p>
        </w:tc>
        <w:tc>
          <w:tcPr>
            <w:tcW w:w="10029"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I have reviewed this Quarterly Report on Form 10-Q for the quarter ended September 30, 2024 of Adagio Medical Holdings, Inc. (formerly known as “Aja Holdco, Inc.”);</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2.</w:t>
            </w:r>
          </w:p>
        </w:tc>
        <w:tc>
          <w:tcPr>
            <w:tcW w:w="10046"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3.</w:t>
            </w:r>
          </w:p>
        </w:tc>
        <w:tc>
          <w:tcPr>
            <w:tcW w:w="10043"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4.</w:t>
            </w:r>
          </w:p>
        </w:tc>
        <w:tc>
          <w:tcPr>
            <w:tcW w:w="10038"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6648" w:type="dxa"/>
        <w:jc w:val="left"/>
        <w:tblInd w:w="0" w:type="dxa"/>
        <w:tblLayout w:type="fixed"/>
        <w:tblCellMar>
          <w:top w:w="0" w:type="dxa"/>
          <w:left w:w="0" w:type="dxa"/>
          <w:bottom w:w="0" w:type="dxa"/>
          <w:right w:w="0" w:type="dxa"/>
        </w:tblCellMar>
      </w:tblPr>
      <w:tblGrid>
        <w:gridCol w:w="23"/>
        <w:gridCol w:w="200"/>
        <w:gridCol w:w="64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b.</w:t>
            </w:r>
          </w:p>
        </w:tc>
        <w:tc>
          <w:tcPr>
            <w:tcW w:w="6425"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[Omitted pursuant to Exchange Act Rules 13a-14(a) and 15d-15(a)];</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w:t>
            </w:r>
          </w:p>
        </w:tc>
        <w:tc>
          <w:tcPr>
            <w:tcW w:w="99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5.</w:t>
            </w:r>
          </w:p>
        </w:tc>
        <w:tc>
          <w:tcPr>
            <w:tcW w:w="10044"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Any fraud, whether or not material, that involves management or other employees who have a significant role in the registrant’s internal control over financial reporting.</w:t>
            </w:r>
          </w:p>
        </w:tc>
      </w:tr>
    </w:tbl>
    <w:tbl>
      <w:tblPr>
        <w:tblW w:w="5133" w:type="dxa"/>
        <w:jc w:val="left"/>
        <w:tblInd w:w="0" w:type="dxa"/>
        <w:tblLayout w:type="fixed"/>
        <w:tblCellMar>
          <w:top w:w="0" w:type="dxa"/>
          <w:left w:w="0" w:type="dxa"/>
          <w:bottom w:w="0" w:type="dxa"/>
          <w:right w:w="0" w:type="dxa"/>
        </w:tblCellMar>
      </w:tblPr>
      <w:tblGrid>
        <w:gridCol w:w="2206"/>
        <w:gridCol w:w="451"/>
        <w:gridCol w:w="2476"/>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14, 2024</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Olav Bergheim</w:t>
            </w:r>
          </w:p>
        </w:tc>
      </w:tr>
      <w:tr>
        <w:trPr/>
        <w:tc>
          <w:tcPr>
            <w:tcW w:w="220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Olav Bergheim</w:t>
            </w:r>
          </w:p>
        </w:tc>
      </w:tr>
      <w:tr>
        <w:trPr/>
        <w:tc>
          <w:tcPr>
            <w:tcW w:w="220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20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820" w:name="adgm-20240930xex31d2.htm"/>
      <w:bookmarkStart w:id="1821" w:name="ksadgm20240930xex31d2"/>
      <w:bookmarkEnd w:id="1820"/>
      <w:bookmarkEnd w:id="1821"/>
      <w:r>
        <w:rPr>
          <w:rFonts w:ascii="Times New Roman;Times;serif" w:hAnsi="Times New Roman;Times;serif"/>
          <w:b/>
          <w:sz w:val="22"/>
        </w:rPr>
        <w:t>Exhibit 31.2</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FINANCIAL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RULES 13a-14(a) AND 15d-14(a) UNDER THE SECURITIES EXCHANGE ACT OF 1934,</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ADOPTED PURSUANT TO SECTION 302 OF THE SARBANES-OXLEY ACT OF 2002</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I, John Dahldorf, certify that:</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1.</w:t>
            </w:r>
          </w:p>
        </w:tc>
        <w:tc>
          <w:tcPr>
            <w:tcW w:w="10029"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I have reviewed this Quarterly Report on Form 10-Q for the quarter ended September 30, 2024 of Adagio Medical Holdings, Inc. (formerly known as “Aja Holdco, Inc.”);</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2.</w:t>
            </w:r>
          </w:p>
        </w:tc>
        <w:tc>
          <w:tcPr>
            <w:tcW w:w="10046"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3.</w:t>
            </w:r>
          </w:p>
        </w:tc>
        <w:tc>
          <w:tcPr>
            <w:tcW w:w="10043"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4.</w:t>
            </w:r>
          </w:p>
        </w:tc>
        <w:tc>
          <w:tcPr>
            <w:tcW w:w="10038"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are responsible for establishing and maintaining disclosure controls and procedures (as defined in Exchange Act Rules 13a-15(e) and 15d-15(e))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6648" w:type="dxa"/>
        <w:jc w:val="left"/>
        <w:tblInd w:w="0" w:type="dxa"/>
        <w:tblLayout w:type="fixed"/>
        <w:tblCellMar>
          <w:top w:w="0" w:type="dxa"/>
          <w:left w:w="0" w:type="dxa"/>
          <w:bottom w:w="0" w:type="dxa"/>
          <w:right w:w="0" w:type="dxa"/>
        </w:tblCellMar>
      </w:tblPr>
      <w:tblGrid>
        <w:gridCol w:w="23"/>
        <w:gridCol w:w="200"/>
        <w:gridCol w:w="64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b.</w:t>
            </w:r>
          </w:p>
        </w:tc>
        <w:tc>
          <w:tcPr>
            <w:tcW w:w="6425"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[Omitted pursuant to Exchange Act Rules 13a-14(a) and 15d-15(a)];</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c.</w:t>
            </w:r>
          </w:p>
        </w:tc>
        <w:tc>
          <w:tcPr>
            <w:tcW w:w="9997"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w:t>
            </w:r>
          </w:p>
        </w:tc>
        <w:tc>
          <w:tcPr>
            <w:tcW w:w="9982"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5.</w:t>
            </w:r>
          </w:p>
        </w:tc>
        <w:tc>
          <w:tcPr>
            <w:tcW w:w="10044"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a.</w:t>
            </w:r>
          </w:p>
        </w:tc>
        <w:tc>
          <w:tcPr>
            <w:tcW w:w="9997"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b.</w:t>
            </w:r>
          </w:p>
        </w:tc>
        <w:tc>
          <w:tcPr>
            <w:tcW w:w="9982"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Any fraud, whether or not material, that involves management or other employees who have a significant role in the registrant’s internal control over financial reporting.</w:t>
            </w:r>
          </w:p>
        </w:tc>
      </w:tr>
    </w:tbl>
    <w:tbl>
      <w:tblPr>
        <w:tblW w:w="5028" w:type="dxa"/>
        <w:jc w:val="left"/>
        <w:tblInd w:w="0" w:type="dxa"/>
        <w:tblLayout w:type="fixed"/>
        <w:tblCellMar>
          <w:top w:w="0" w:type="dxa"/>
          <w:left w:w="0" w:type="dxa"/>
          <w:bottom w:w="0" w:type="dxa"/>
          <w:right w:w="0" w:type="dxa"/>
        </w:tblCellMar>
      </w:tblPr>
      <w:tblGrid>
        <w:gridCol w:w="2206"/>
        <w:gridCol w:w="406"/>
        <w:gridCol w:w="2416"/>
      </w:tblGrid>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14,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Dahldorf</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Dahldorf</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822" w:name="adgm-20240930xex32d1.htm"/>
      <w:bookmarkStart w:id="1823" w:name="ksadgm20240930xex32d1"/>
      <w:bookmarkEnd w:id="1822"/>
      <w:bookmarkEnd w:id="1823"/>
      <w:r>
        <w:rPr>
          <w:rFonts w:ascii="Times New Roman;Times;serif" w:hAnsi="Times New Roman;Times;serif"/>
          <w:b/>
          <w:sz w:val="22"/>
        </w:rPr>
        <w:t>Exhibit 32.1</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EXECUTIVE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18 U.S.C. SECTION 1350, AS ADOPTED PURSUANT TO</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SECTION 906 OF THE SARBANES-OXLEY ACT OF 2002</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connection with the Quarterly Report on Form 10-Q of Adagio Medical Holdings, Inc. (formerly known as “Aja Holdco, Inc.”) (the “Company”) for the quarter ended September 30, 2024 as filed with the Securities and Exchange Commission on the date hereof (the “Quarterly Report”), I, Olav Bergheim, Chief Executive Officer (Principal Executive Officer) of the Company, hereby certify, pursuant to 18 U.S.C. § 1350, as adopted pursuant to § 906 of the Sarbanes-Oxley Act of 2002, that to my knowledge:</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1.</w:t>
            </w:r>
          </w:p>
        </w:tc>
        <w:tc>
          <w:tcPr>
            <w:tcW w:w="10022"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The Quarterly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2.</w:t>
            </w:r>
          </w:p>
        </w:tc>
        <w:tc>
          <w:tcPr>
            <w:tcW w:w="10026"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The information contained in the Quarterly Report fairly presents, in all material respects, the financial condition and results of operations of the Company.</w:t>
            </w:r>
          </w:p>
        </w:tc>
      </w:tr>
    </w:tbl>
    <w:tbl>
      <w:tblPr>
        <w:tblW w:w="5088" w:type="dxa"/>
        <w:jc w:val="left"/>
        <w:tblInd w:w="0" w:type="dxa"/>
        <w:tblLayout w:type="fixed"/>
        <w:tblCellMar>
          <w:top w:w="0" w:type="dxa"/>
          <w:left w:w="0" w:type="dxa"/>
          <w:bottom w:w="0" w:type="dxa"/>
          <w:right w:w="0" w:type="dxa"/>
        </w:tblCellMar>
      </w:tblPr>
      <w:tblGrid>
        <w:gridCol w:w="2206"/>
        <w:gridCol w:w="406"/>
        <w:gridCol w:w="247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400810" cy="175260"/>
                      <wp:effectExtent l="0" t="0" r="0" b="0"/>
                      <wp:wrapNone/>
                      <wp:docPr id="285" name="Frame285"/>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57810" cy="175260"/>
                      <wp:effectExtent l="0" t="0" r="0" b="0"/>
                      <wp:wrapNone/>
                      <wp:docPr id="286" name="Frame286"/>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572260" cy="175260"/>
                      <wp:effectExtent l="0" t="0" r="0" b="0"/>
                      <wp:wrapNone/>
                      <wp:docPr id="287" name="Frame287"/>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14,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Olav Bergheim</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Olav Bergheim</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824" w:name="adgm-20240930xex32d2.htm"/>
      <w:bookmarkStart w:id="1825" w:name="ksadgm20240930xex32d2"/>
      <w:bookmarkEnd w:id="1824"/>
      <w:bookmarkEnd w:id="1825"/>
      <w:r>
        <w:rPr>
          <w:rFonts w:ascii="Times New Roman;Times;serif" w:hAnsi="Times New Roman;Times;serif"/>
          <w:b/>
          <w:sz w:val="22"/>
        </w:rPr>
        <w:t>Exhibit 32.2</w:t>
      </w:r>
      <w:r>
        <w:br w:type="page"/>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CERTIFICATION OF PRINCIPAL FINANCIAL OFFICER PURSUANT TO</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18 U.S.C. SECTION 1350, AS ADOPTED PURSUANT TO</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SECTION 906 OF THE SARBANES-OXLEY ACT OF 2002</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connection with the Quarterly Report on Form 10-Q of Adagio Medical Holdings, Inc. (formerly known as “Aja Holdco, Inc.”) (the “Company”) for the quarter ended September 30, 2024 as filed with the Securities and Exchange Commission on the date hereof (the “Quarterly Report”), I, John Dahldorf, Chief Financial Officer (Principal Financial Officer) of the Company, hereby certify, pursuant to 18 U.S.C. § 1350, as adopted pursuant to § 906 of the Sarbanes-Oxley Act of 2002, that to my knowledge:</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1.</w:t>
            </w:r>
          </w:p>
        </w:tc>
        <w:tc>
          <w:tcPr>
            <w:tcW w:w="10022" w:type="dxa"/>
            <w:tcBorders/>
            <w:vAlign w:val="center"/>
          </w:tcPr>
          <w:p>
            <w:pPr>
              <w:pStyle w:val="TableContents"/>
              <w:pBdr/>
              <w:bidi w:val="0"/>
              <w:spacing w:before="0" w:after="0"/>
              <w:jc w:val="left"/>
              <w:rPr>
                <w:rFonts w:ascii="Times New Roman;Times;serif" w:hAnsi="Times New Roman;Times;serif"/>
                <w:sz w:val="22"/>
              </w:rPr>
            </w:pPr>
            <w:r>
              <w:rPr>
                <w:rFonts w:ascii="Times New Roman;Times;serif" w:hAnsi="Times New Roman;Times;serif"/>
                <w:sz w:val="22"/>
              </w:rPr>
              <w:t>The Quarterly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2.</w:t>
            </w:r>
          </w:p>
        </w:tc>
        <w:tc>
          <w:tcPr>
            <w:tcW w:w="10026" w:type="dxa"/>
            <w:tcBorders/>
            <w:vAlign w:val="center"/>
          </w:tcPr>
          <w:p>
            <w:pPr>
              <w:pStyle w:val="TableContents"/>
              <w:bidi w:val="0"/>
              <w:spacing w:before="0" w:after="480"/>
              <w:jc w:val="left"/>
              <w:rPr>
                <w:rFonts w:ascii="Times New Roman;Times;serif" w:hAnsi="Times New Roman;Times;serif"/>
                <w:sz w:val="22"/>
              </w:rPr>
            </w:pPr>
            <w:r>
              <w:rPr>
                <w:rFonts w:ascii="Times New Roman;Times;serif" w:hAnsi="Times New Roman;Times;serif"/>
                <w:sz w:val="22"/>
              </w:rPr>
              <w:t>The information contained in the Quarterly Report fairly presents, in all material respects, the financial condition and results of operations of the Company.</w:t>
            </w:r>
          </w:p>
        </w:tc>
      </w:tr>
    </w:tbl>
    <w:tbl>
      <w:tblPr>
        <w:tblW w:w="5028" w:type="dxa"/>
        <w:jc w:val="left"/>
        <w:tblInd w:w="0" w:type="dxa"/>
        <w:tblLayout w:type="fixed"/>
        <w:tblCellMar>
          <w:top w:w="0" w:type="dxa"/>
          <w:left w:w="0" w:type="dxa"/>
          <w:bottom w:w="0" w:type="dxa"/>
          <w:right w:w="0" w:type="dxa"/>
        </w:tblCellMar>
      </w:tblPr>
      <w:tblGrid>
        <w:gridCol w:w="2206"/>
        <w:gridCol w:w="406"/>
        <w:gridCol w:w="241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00810" cy="175260"/>
                      <wp:effectExtent l="0" t="0" r="0" b="0"/>
                      <wp:wrapNone/>
                      <wp:docPr id="288" name="Frame288"/>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57810" cy="175260"/>
                      <wp:effectExtent l="0" t="0" r="0" b="0"/>
                      <wp:wrapNone/>
                      <wp:docPr id="289" name="Frame28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534160" cy="175260"/>
                      <wp:effectExtent l="0" t="0" r="0" b="0"/>
                      <wp:wrapNone/>
                      <wp:docPr id="290" name="Frame290"/>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14,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Dahldorf</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Dahldorf</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2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06986/000114036124035942/ef20033584_ex2-1.htm" TargetMode="External"/><Relationship Id="rId3" Type="http://schemas.openxmlformats.org/officeDocument/2006/relationships/hyperlink" Target="https://www.sec.gov/Archives/edgar/data/2006986/000114036124035942/ef20033584_ex2-2.htm" TargetMode="External"/><Relationship Id="rId4" Type="http://schemas.openxmlformats.org/officeDocument/2006/relationships/hyperlink" Target="https://www.sec.gov/Archives/edgar/data/2006986/000114036124035942/ef20033584_ex3-1.htm" TargetMode="External"/><Relationship Id="rId5" Type="http://schemas.openxmlformats.org/officeDocument/2006/relationships/hyperlink" Target="https://www.sec.gov/Archives/edgar/data/2006986/000114036124035942/ef20033584_ex3-2.htm" TargetMode="External"/><Relationship Id="rId6" Type="http://schemas.openxmlformats.org/officeDocument/2006/relationships/hyperlink" Target="https://www.sec.gov/Archives/edgar/data/2006986/000114036124035942/ef20033584_ex4-1.htm" TargetMode="External"/><Relationship Id="rId7" Type="http://schemas.openxmlformats.org/officeDocument/2006/relationships/hyperlink" Target="https://www.sec.gov/Archives/edgar/data/2006986/000114036124035942/ef20033584_ex4-2.htm" TargetMode="External"/><Relationship Id="rId8" Type="http://schemas.openxmlformats.org/officeDocument/2006/relationships/hyperlink" Target="https://www.sec.gov/Archives/edgar/data/2006986/000114036124035942/ef20033584_ex4-3.htm" TargetMode="External"/><Relationship Id="rId9" Type="http://schemas.openxmlformats.org/officeDocument/2006/relationships/hyperlink" Target="https://www.sec.gov/Archives/edgar/data/2006986/000114036124035942/ef20033584_ex4-4.htm" TargetMode="External"/><Relationship Id="rId10" Type="http://schemas.openxmlformats.org/officeDocument/2006/relationships/hyperlink" Target="https://www.sec.gov/Archives/edgar/data/2006986/000114036124035942/ef20033584_ex10-1.htm" TargetMode="External"/><Relationship Id="rId11" Type="http://schemas.openxmlformats.org/officeDocument/2006/relationships/hyperlink" Target="https://www.sec.gov/Archives/edgar/data/2006986/000114036124035942/ef20033584_ex10-2.htm" TargetMode="External"/><Relationship Id="rId12" Type="http://schemas.openxmlformats.org/officeDocument/2006/relationships/hyperlink" Target="https://www.sec.gov/Archives/edgar/data/2006986/000114036124035942/ef20033584_ex10-3.htm" TargetMode="External"/><Relationship Id="rId13" Type="http://schemas.openxmlformats.org/officeDocument/2006/relationships/hyperlink" Target="https://www.sec.gov/Archives/edgar/data/2006986/000114036124035942/ef20033584_ex10-4.htm" TargetMode="External"/><Relationship Id="rId14" Type="http://schemas.openxmlformats.org/officeDocument/2006/relationships/hyperlink" Target="https://www.sec.gov/Archives/edgar/data/2006986/000114036124035942/ef20033584_ex10-5.htm" TargetMode="External"/><Relationship Id="rId15" Type="http://schemas.openxmlformats.org/officeDocument/2006/relationships/hyperlink" Target="https://www.sec.gov/Archives/edgar/data/2006986/000114036124035942/ef20033584_ex10-6.htm" TargetMode="External"/><Relationship Id="rId16" Type="http://schemas.openxmlformats.org/officeDocument/2006/relationships/hyperlink" Target="https://www.sec.gov/Archives/edgar/data/2006986/000114036124035942/ef20033584_ex10-7.htm" TargetMode="External"/><Relationship Id="rId17" Type="http://schemas.openxmlformats.org/officeDocument/2006/relationships/hyperlink" Target="https://www.sec.gov/Archives/edgar/data/2006986/000114036124035942/ef20033584_ex10-8.htm" TargetMode="External"/><Relationship Id="rId18" Type="http://schemas.openxmlformats.org/officeDocument/2006/relationships/hyperlink" Target="https://www.sec.gov/Archives/edgar/data/2006986/000114036124035942/ef20033584_ex10-9.htm" TargetMode="External"/><Relationship Id="rId19" Type="http://schemas.openxmlformats.org/officeDocument/2006/relationships/hyperlink" Target="https://www.sec.gov/Archives/edgar/data/2006986/000114036124035942/ef20033584_ex10-10.htm" TargetMode="External"/><Relationship Id="rId20" Type="http://schemas.openxmlformats.org/officeDocument/2006/relationships/hyperlink" Target="https://www.sec.gov/Archives/edgar/data/2006986/000114036124035942/ef20033584_ex10-11.htm" TargetMode="External"/><Relationship Id="rId21" Type="http://schemas.openxmlformats.org/officeDocument/2006/relationships/hyperlink" Target="https://www.sec.gov/Archives/edgar/data/2006986/000114036124035942/ef20033584_ex10-12.htm" TargetMode="External"/><Relationship Id="rId22" Type="http://schemas.openxmlformats.org/officeDocument/2006/relationships/hyperlink" Target="https://www.sec.gov/Archives/edgar/data/2006986/000114036124035942/ef20033584_ex10-13.htm" TargetMode="External"/><Relationship Id="rId23" Type="http://schemas.openxmlformats.org/officeDocument/2006/relationships/hyperlink" Target="https://www.sec.gov/Archives/edgar/data/2006986/000114036124035942/ef20033584_ex10-14.htm" TargetMode="External"/><Relationship Id="rId24" Type="http://schemas.openxmlformats.org/officeDocument/2006/relationships/hyperlink" Target="https://www.sec.gov/Archives/edgar/data/2006986/000114036124035942/ef20033584_ex10-15.htm" TargetMode="External"/><Relationship Id="rId25" Type="http://schemas.openxmlformats.org/officeDocument/2006/relationships/hyperlink" Target="https://www.sec.gov/Archives/edgar/data/2006986/000114036124035942/ef20033584_ex10-16.htm" TargetMode="External"/><Relationship Id="rId26" Type="http://schemas.openxmlformats.org/officeDocument/2006/relationships/hyperlink" Target="https://www.sec.gov/Archives/edgar/data/2006986/000114036124035942/ef20033584_ex10-17.htm" TargetMode="External"/><Relationship Id="rId27" Type="http://schemas.openxmlformats.org/officeDocument/2006/relationships/hyperlink" Target="https://www.sec.gov/Archives/edgar/data/2006986/000114036124035942/ef20033584_ex10-18.htm" TargetMode="External"/><Relationship Id="rId28" Type="http://schemas.openxmlformats.org/officeDocument/2006/relationships/hyperlink" Target="https://www.sec.gov/Archives/edgar/data/2006986/000114036124035942/ef20033584_ex10-19.htm" TargetMode="External"/><Relationship Id="rId29" Type="http://schemas.openxmlformats.org/officeDocument/2006/relationships/hyperlink" Target="https://www.sec.gov/Archives/edgar/data/2006986/000114036124035942/ef20033584_ex10-20.htm" TargetMode="External"/><Relationship Id="rId30" Type="http://schemas.openxmlformats.org/officeDocument/2006/relationships/hyperlink" Target="https://www.sec.gov/Archives/edgar/data/2006986/000114036124035942/ef20033584_ex10-21.htm" TargetMode="External"/><Relationship Id="rId31" Type="http://schemas.openxmlformats.org/officeDocument/2006/relationships/hyperlink" Target="https://www.sec.gov/Archives/edgar/data/2006986/000114036124035942/ef20033584_ex10-22.htm" TargetMode="External"/><Relationship Id="rId32" Type="http://schemas.openxmlformats.org/officeDocument/2006/relationships/hyperlink" Target="https://www.sec.gov/Archives/edgar/data/2006986/000114036124035942/ef20033584_ex10-23.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43964</Words>
  <Characters>242615</Characters>
  <CharactersWithSpaces>288138</CharactersWithSpaces>
  <Paragraphs>7856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