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300"/>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149860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3500120</wp:posOffset>
            </wp:positionH>
            <wp:positionV relativeFrom="paragraph">
              <wp:posOffset>-29210</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31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58"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36"/>
          <w:szCs w:val="36"/>
          <w:b w:val="1"/>
          <w:bCs w:val="1"/>
          <w:u w:val="single" w:color="auto"/>
          <w:color w:val="auto"/>
        </w:rPr>
        <w:t>Adagio Medical Holdings, Inc.</w:t>
      </w:r>
    </w:p>
    <w:p>
      <w:pPr>
        <w:spacing w:after="0" w:line="51"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330200</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358775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1899920</wp:posOffset>
            </wp:positionH>
            <wp:positionV relativeFrom="paragraph">
              <wp:posOffset>102870</wp:posOffset>
            </wp:positionV>
            <wp:extent cx="1920240" cy="522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24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26051 Merit Circle, Suite 102</w:t>
      </w:r>
    </w:p>
    <w:p>
      <w:pPr>
        <w:spacing w:after="0" w:line="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Laguna Hills, CA, 92653</w:t>
      </w:r>
    </w:p>
    <w:p>
      <w:pPr>
        <w:spacing w:after="0" w:line="35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To Be Held On June 16, 2026</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“Annual Meeting”) of Adagio Medical Holdings, Inc., a Delaware corporation (the “Company”). The meeting will be held on Tuesday, June 16, 2026 at 10:00 a.m. Pacific Time. The Annual Meeting will be a virtual meeting of stockholders, which will be conducted only via a live webcast. You will be able to attend the Annual Meeting, submit your questions and vote online during the meeting by visiting www.virtualshareholdermeeting.com/ADGM2026. The meeting will be held for the following purposes:</w:t>
      </w:r>
    </w:p>
    <w:p>
      <w:pPr>
        <w:spacing w:after="0" w:line="79" w:lineRule="exact"/>
        <w:rPr>
          <w:sz w:val="20"/>
          <w:szCs w:val="20"/>
          <w:color w:val="auto"/>
        </w:rPr>
      </w:pPr>
    </w:p>
    <w:p>
      <w:pPr>
        <w:jc w:val="both"/>
        <w:ind w:left="1000" w:right="31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 of Directors’ Class II nominees, Orly Mishan and Sean Salmon, to the Board of Directors to hold office until the 2029 Annual Meeting of Stockholders and their successors are duly elected and qualified, or until their earlier death, resignation or removal.</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Board of Directors of WithumSmith+Brown, PC as the Company’s independent registered public accounting firm for the fiscal year ending December 31, 2026.</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these proxy materials.</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Annual Meeting will be held virtually through a live webcast. Stockholders of record at the close of business on April 24, 2026 and their proxy holders will be able to attend the Annual Meeting, submit questions and vote during the live webcast by visiting www.virtualshareholdermeeting.com/ADGM2026 and entering the Control Number included in your proxy card, voting instruction form, or in the instructions that you received via email. Please refer to the additional logistical details and recommendations in the accompanying proxy statement. You may log-in beginning at 9:45 a.m. Pacific Time, on June 16, 2026.</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24, 2026 and their proxy holders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26670</wp:posOffset>
            </wp:positionV>
            <wp:extent cx="5344795" cy="843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4795" cy="843915"/>
                    </a:xfrm>
                    <a:prstGeom prst="rect">
                      <a:avLst/>
                    </a:prstGeom>
                    <a:noFill/>
                  </pic:spPr>
                </pic:pic>
              </a:graphicData>
            </a:graphic>
          </wp:anchor>
        </w:drawing>
      </w:r>
    </w:p>
    <w:p>
      <w:pPr>
        <w:spacing w:after="0" w:line="124" w:lineRule="exact"/>
        <w:rPr>
          <w:sz w:val="20"/>
          <w:szCs w:val="20"/>
          <w:color w:val="auto"/>
        </w:rPr>
      </w:pPr>
    </w:p>
    <w:p>
      <w:pPr>
        <w:jc w:val="center"/>
        <w:ind w:left="300" w:right="459"/>
        <w:spacing w:after="0" w:line="259"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Stockholders Meeting to Be Held on June 16, 2026 at 10:00 a.m. Pacific Time at www.virtualshareholdermeeting.com/ADGM2026.  </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proxy statement and annual report to stockholders are available at investors.adagiomedical.com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www.proxyvote.com.</w:t>
      </w:r>
    </w:p>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Deborah Kaster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26060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Deborah Kaster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Laguna Hills, CA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151765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100965</wp:posOffset>
            </wp:positionV>
            <wp:extent cx="5421630" cy="9817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21630" cy="981710"/>
                    </a:xfrm>
                    <a:prstGeom prst="rect">
                      <a:avLst/>
                    </a:prstGeom>
                    <a:noFill/>
                  </pic:spPr>
                </pic:pic>
              </a:graphicData>
            </a:graphic>
          </wp:anchor>
        </w:drawing>
      </w:r>
    </w:p>
    <w:p>
      <w:pPr>
        <w:spacing w:after="0" w:line="2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You are cordially invited to attend the meeting online. Whether or not you expect to attend the meeting,</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please vote over the telephone or the internet as instructed in these materials, or, if you receive a paper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proxy card by mail, by completing and returning the enclosed proxy, as promptly as possible in order to</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ensure your representation at the meeting. Even if you have voted by proxy, you may still vote online if</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you attend the</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203200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PROXY STATEMENT</w:t>
            </w:r>
          </w:p>
        </w:tc>
        <w:tc>
          <w:tcPr>
            <w:tcW w:w="240" w:type="dxa"/>
            <w:vAlign w:val="bottom"/>
            <w:gridSpan w:val="4"/>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PROPOSAL 1: ELECTION OF DIRECTORS</w:t>
            </w: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2: RATIFICATION OF APPOINTMENT OF INDEPENDENT REGISTERED PUBLIC</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160" w:type="dxa"/>
            <w:vAlign w:val="bottom"/>
            <w:tcBorders>
              <w:top w:val="single" w:sz="8" w:color="0000EE"/>
            </w:tcBorders>
            <w:gridSpan w:val="1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7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gridSpan w:val="5"/>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16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EXECUTIVE OFFICERS</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18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44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5680" w:type="dxa"/>
            <w:vAlign w:val="bottom"/>
            <w:gridSpan w:val="6"/>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26</w:t>
            </w:r>
          </w:p>
        </w:tc>
      </w:tr>
      <w:tr>
        <w:trPr>
          <w:trHeight w:val="34"/>
        </w:trPr>
        <w:tc>
          <w:tcPr>
            <w:tcW w:w="18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4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29</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28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1840" w:type="dxa"/>
            <w:vAlign w:val="bottom"/>
            <w:tcBorders>
              <w:top w:val="single" w:sz="8" w:color="0000EE"/>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558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EE"/>
              </w:rPr>
              <w:t>OTHER INFORMATION FOR STOCKHOLDERS</w:t>
            </w:r>
          </w:p>
        </w:tc>
        <w:tc>
          <w:tcPr>
            <w:tcW w:w="2540" w:type="dxa"/>
            <w:vAlign w:val="bottom"/>
            <w:gridSpan w:val="3"/>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33</w:t>
            </w:r>
          </w:p>
        </w:tc>
      </w:tr>
      <w:tr>
        <w:trPr>
          <w:trHeight w:val="34"/>
        </w:trPr>
        <w:tc>
          <w:tcPr>
            <w:tcW w:w="18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OTHER MATTERS</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34</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84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MEDICAL HOLDINGS, INC.</w:t>
      </w:r>
    </w:p>
    <w:p>
      <w:pPr>
        <w:spacing w:after="0" w:line="32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26051 Merit Circle, Suite 102</w:t>
      </w:r>
    </w:p>
    <w:p>
      <w:pPr>
        <w:spacing w:after="0" w:line="3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Laguna Hills, CA, 92653</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16, 2026</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Adagio Medical Holdings, Inc?</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July 31, 2024 (the “Closing Date”), ARYA Sciences Acquisition Corp IV, a Cayman Islands exempted company (“ARYA”), Aja Holdco, Inc., a Delaware corporation and wholly owned subsidiary of ARYA (“ListCo”), Aja Merger Sub 1, a Cayman Islands exempted company and wholly owned subsidiary of ListCo (“ARYA Merger Sub”), Aja Merger Sub 2, Inc., a Delaware corporation and wholly owned subsidiary of ListCo (“Company Merger Sub”), and Adagio Medical, Inc., a Delaware corporation (“Legacy Adagio”), consummated the previously announced business combination (the “Business Combination”) pursuant to the terms of the Business Combination Agreement, dated February 13, 2024, by and among the foregoing parties, as amended by the Consent and Amendment No. 1 to Business Combination Agreement, dated as of June 25, 2024 (as so amended, the “Business Combination Agreement”), by and between ARYA and Legacy Adagio. In connection with the closing of the Business Combination (the “Closing”), among other things, (i) ARYA Merger Sub merged with and into ARYA (the “ARYA Merger”) and Company Merger Sub merged with and into Legacy Adagio (together with the ARYA Merger, the “Mergers”), with ARYA and Legacy Adagio surviving the Mergers and, after giving effect to such Mergers, each of ARYA and Legacy Adagio became a wholly owned subsidiary of ListCo, and (ii) ListCo changed its name to “Adagio Medical Holdings, Inc.”</w:t>
      </w:r>
    </w:p>
    <w:p>
      <w:pPr>
        <w:spacing w:after="0" w:line="8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proxy statement to the “Company,” “Adagio,” “we,” “us,” “our” and similar terms refer to Adagio Medical Holdings, Inc.</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sent you these proxy materials because the Board of Directors (the “Board”) of Adagio Medical Holdings, Inc. is soliciting your proxy to vote at the 2026 Annual Meeting of Stockholders (the “Annual Meeting”), including at any adjournments or postponements of the meeting. You are invited to attend the annual meeting online to vote on the proposals described in this proxy statement. However, you do not need to attend the meeting to vote your shares. Instead, you may simply complete, sign and return the enclosed proxy card, or follow the instructions below to submit your proxy over the phone or through the internet.</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intend to first mail these proxy materials on or about April 30, 2026 to all stockholders of record entitled to vote at the annual meeting.</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This year’s Annual Meeting will be a virtual meeting, which will be conducted entirely online via audio webcast to allow greater participation. You may attend, vote and ask questions at the Annual Meeting by following the instructions provided on the proxy card or voting instruction form to log in to www.virtualshareholdermeeting.com/ADGM2026. If you are a stockholder of record, you will be asked to provide the 16-digit control number from your proxy card. If you are a beneficial owner of shares registered in the name of your broker, bank or other agent, follow the instructions from your broker or bank.</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audio webcast of the Annual Meeting will begin promptly at 10:00 a.m. Pacific Time. We encourage you to access the meeting prior to the start time. Online check-in will begin at 9:45 a.m. Pacific Time, and you should allow reasonable time for the check-in procedures.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You are entitled to attend the Annual Meeting if you were a stockholder of record as of the close of business on April 24, 2026, the record date, or hold a valid proxy for the meeting. To be admitted to the Annual Meeting, you will need to visit www.virtualshareholdermeeting.com/ADGM2026 and enter the Control Number found next to the label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“Control Number” on your proxy card or voting instruction form, or in the email sending you the proxy statement. If you are a beneficial stockholder, you should contact the bank, broker or other institution where you hold your account well in advance of the meeting if you have questions about obtaining your control number/ proxy to vote.</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Whether or not you participate in the Annual Meeting, it is important that you vote your shares.</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cannot find my Control Number?</w:t>
      </w:r>
    </w:p>
    <w:p>
      <w:pPr>
        <w:spacing w:after="0" w:line="121" w:lineRule="exact"/>
        <w:rPr>
          <w:sz w:val="20"/>
          <w:szCs w:val="20"/>
          <w:color w:val="auto"/>
        </w:rPr>
      </w:pPr>
    </w:p>
    <w:p>
      <w:pPr>
        <w:jc w:val="both"/>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Please note that if you do not have your Control Number and you are a registered stockholder, you will be able to login as a guest. To view the meeting webcast visit www.virtualshareholdermeeting.com/ADGM2026 and register as a guest. If you login as a guest, you will not be able to vote your shares or ask questions during the meeting.</w:t>
      </w:r>
    </w:p>
    <w:p>
      <w:pPr>
        <w:spacing w:after="0" w:line="5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you are a beneficial owner (that is, you hold your shares in an account at a bank, broker or other holder of record), you will need to contact that bank, broker or other holder of record to obtain your Control Number prior to the Annual Meeting.</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Where can we get technical assistance if we are having trouble accessing the meeting or during the meeting?</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you have difficulty accessing the meeting or during the meeting, please refer to the technical support telephone number posted on the virtual meeting website login page, where technicians will be available to help you.</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 the Annual Meeting, how do we ask questions of management and the Board?</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plan to spend up to 15 minutes answering appropriate stockholder questions at the conclusion of the Annual Meeting and will include as many stockholder questions that comply with the rules of conduct for the Annual Meeting as the allotted time permits. If we receive substantially similar questions, we will group such questions together and provide a single response to avoid repetition. Questions that are not pertinent to the Company and in compliance with the rules of conduct for the Annual Meeting will not be responded to. Questions may be submitted during the Annual Meeting through www.virtualshareholdermeeting.com/ADGM2026.</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April 24, 2026 will be entitled to vote at the Annual Meeting.</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on April 24, 2026 your shares were registered directly in your name with the Adagio’s transfer agent, Continental Stock Transfer &amp; Trust Company, then you are a stockholder of record. As a stockholder of record, you may vote online, at the meeting or vote by proxy. Whether or not you plan to attend the meeting, we urge you to fill out and return the enclosed proxy card, vote by proxy over the telephone, or vote by proxy through the internet to ensure your vote is counted.</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on April 24, 2026 your shares were held, not in your name, but rather in an account at a brokerage firm, bank or other similar organization, then you are the beneficial owner of shares held in “street name” and these proxy materials should be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proxy card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proxy card or voting instruction form, and you wish to vote prior to or at the virtual Annual Meeting, you must follow the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instructions from your broker, bank or other stockholder of record, including any requirement to obtain a valid legal proxy. Many brokers, banks and other stockholders of record allow a beneficial owner to obtain a valid legal proxy either online or by mail, and we recommend that you contact your broker, bank or other stockholder of record to do so.</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two matters scheduled for a vote:</w:t>
      </w:r>
    </w:p>
    <w:p>
      <w:pPr>
        <w:spacing w:after="0" w:line="117" w:lineRule="exact"/>
        <w:rPr>
          <w:sz w:val="20"/>
          <w:szCs w:val="20"/>
          <w:color w:val="auto"/>
        </w:rPr>
      </w:pPr>
    </w:p>
    <w:p>
      <w:pPr>
        <w:jc w:val="both"/>
        <w:ind w:left="1000" w:right="2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Board’s two nominees for director named as nominees in this proxy statement to serve until the 2029 Annual Meeting of Stockholders and their successors are duly elected and qualified, or until their earlier death, resignation or removal. (Proposal 1); and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Audit Committee of the Board of WithumSmith+Brown, PC as the Company’s independent registered public accounting firm for the fiscal year ending December 31, 2026. (Proposal 2).</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Board does not know of any other matters to be brought before the meeting. If other matters are presented, the proxy holders have discretionary authority to vote all proxies in accordance with their best judgment. Discretionary authority for them to do so is provided for in the proxy card.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Proposal 1, you may either vote “For” all the nominees to the Board or you may “Withhold” your vote for any nominee to the Board that you specify. For Proposal 2, you may vote “For” or “Against” or abstain from voting.</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you are a stockholder of record, you may vote at the Annual Meeting, vote by proxy using the enclosed proxy card, or you may vote by proxy over the telephone or through the internet. Whether or not you plan to attend the Annual Meeting, we urge you to vote by proxy to ensure your vote is counted. You may still attend the Annual Meeting and vote at the Annual Meeting even if you have already voted by proxy. This is only required if you want to change your original vote, since votes will not be double counted.</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2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By Internet</w:t>
            </w:r>
          </w:p>
        </w:tc>
        <w:tc>
          <w:tcPr>
            <w:tcW w:w="100" w:type="dxa"/>
            <w:vAlign w:val="bottom"/>
          </w:tcPr>
          <w:p>
            <w:pPr>
              <w:spacing w:after="0"/>
              <w:rPr>
                <w:sz w:val="13"/>
                <w:szCs w:val="13"/>
                <w:color w:val="auto"/>
              </w:rPr>
            </w:pPr>
          </w:p>
        </w:tc>
        <w:tc>
          <w:tcPr>
            <w:tcW w:w="11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By</w:t>
            </w:r>
          </w:p>
        </w:tc>
        <w:tc>
          <w:tcPr>
            <w:tcW w:w="120" w:type="dxa"/>
            <w:vAlign w:val="bottom"/>
          </w:tcPr>
          <w:p>
            <w:pPr>
              <w:spacing w:after="0"/>
              <w:rPr>
                <w:sz w:val="13"/>
                <w:szCs w:val="13"/>
                <w:color w:val="auto"/>
              </w:rPr>
            </w:pPr>
          </w:p>
        </w:tc>
        <w:tc>
          <w:tcPr>
            <w:tcW w:w="130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By Mail</w:t>
            </w:r>
          </w:p>
        </w:tc>
        <w:tc>
          <w:tcPr>
            <w:tcW w:w="100" w:type="dxa"/>
            <w:vAlign w:val="bottom"/>
          </w:tcPr>
          <w:p>
            <w:pPr>
              <w:spacing w:after="0"/>
              <w:rPr>
                <w:sz w:val="13"/>
                <w:szCs w:val="13"/>
                <w:color w:val="auto"/>
              </w:rPr>
            </w:pPr>
          </w:p>
        </w:tc>
        <w:tc>
          <w:tcPr>
            <w:tcW w:w="392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During the Meeting</w:t>
            </w:r>
          </w:p>
        </w:tc>
        <w:tc>
          <w:tcPr>
            <w:tcW w:w="0" w:type="dxa"/>
            <w:vAlign w:val="bottom"/>
          </w:tcPr>
          <w:p>
            <w:pPr>
              <w:spacing w:after="0"/>
              <w:rPr>
                <w:sz w:val="1"/>
                <w:szCs w:val="1"/>
                <w:color w:val="auto"/>
              </w:rPr>
            </w:pPr>
          </w:p>
        </w:tc>
      </w:tr>
      <w:tr>
        <w:trPr>
          <w:trHeight w:val="190"/>
        </w:trPr>
        <w:tc>
          <w:tcPr>
            <w:tcW w:w="1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Telephone</w:t>
            </w:r>
          </w:p>
        </w:tc>
        <w:tc>
          <w:tcPr>
            <w:tcW w:w="12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You may vote your</w:t>
            </w: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You may vote</w:t>
            </w:r>
          </w:p>
        </w:tc>
        <w:tc>
          <w:tcPr>
            <w:tcW w:w="120" w:type="dxa"/>
            <w:vAlign w:val="bottom"/>
          </w:tcPr>
          <w:p>
            <w:pPr>
              <w:spacing w:after="0"/>
              <w:rPr>
                <w:sz w:val="18"/>
                <w:szCs w:val="18"/>
                <w:color w:val="auto"/>
              </w:rPr>
            </w:pPr>
          </w:p>
        </w:tc>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 you received a  To vote at the meeting, visit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shares from any</w:t>
            </w: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your shares by</w:t>
            </w: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proxy card by</w:t>
            </w:r>
          </w:p>
        </w:tc>
        <w:tc>
          <w:tcPr>
            <w:tcW w:w="1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www.virtualshareholdermeeting.com/ADGM2026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location in the world at</w:t>
            </w: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calling 1-800-</w:t>
            </w: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mail, you may</w:t>
            </w:r>
          </w:p>
        </w:tc>
        <w:tc>
          <w:tcPr>
            <w:tcW w:w="1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(you will need the control number printed on your</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www.proxyvote.com</w:t>
            </w: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690-6903 and</w:t>
            </w: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vote by</w:t>
            </w:r>
          </w:p>
        </w:tc>
        <w:tc>
          <w:tcPr>
            <w:tcW w:w="1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proxy registration confirmation email)</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(you will need the</w:t>
            </w: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following the</w:t>
            </w: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completing,</w:t>
            </w: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control number printed</w:t>
            </w: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instructions on</w:t>
            </w: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dating and</w:t>
            </w: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on your proxy card)</w:t>
            </w: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your proxy</w:t>
            </w: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signing the proxy</w:t>
            </w: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card.</w:t>
            </w: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card and</w:t>
            </w: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promptly mailing</w:t>
            </w:r>
          </w:p>
        </w:tc>
        <w:tc>
          <w:tcPr>
            <w:tcW w:w="1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it in the postage-</w:t>
            </w:r>
          </w:p>
        </w:tc>
        <w:tc>
          <w:tcPr>
            <w:tcW w:w="1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0"/>
        <w:spacing w:after="0"/>
        <w:rPr>
          <w:sz w:val="20"/>
          <w:szCs w:val="20"/>
          <w:color w:val="auto"/>
        </w:rPr>
      </w:pPr>
      <w:r>
        <w:rPr>
          <w:rFonts w:ascii="Times New Roman" w:cs="Times New Roman" w:eastAsia="Times New Roman" w:hAnsi="Times New Roman"/>
          <w:sz w:val="18"/>
          <w:szCs w:val="18"/>
          <w:color w:val="auto"/>
        </w:rPr>
        <w:t>paid envelope</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provided.</w:t>
      </w:r>
    </w:p>
    <w:p>
      <w:pPr>
        <w:spacing w:after="0" w:line="153"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be available for 24 hours a day and will close at 8:59 p.m. Pacific Time on June 15, 2026.</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at the Annual Meeting, your shares will not be voted.</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all Class II nominees for director and “For” the ratification of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appointment by the Audit Committee of the Board (the “Audit Committee”) of WithumSmith+Brown, PC as our independent registered public accounting firm for the fiscal year ending December 31, 2026. If any other matter is properly presented at the meeting, your proxy holder (one of the individuals named on your proxy card) will vote your shares using that individual’s best judgment.</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voting instruction form with these proxy materials from that organization rather than from Adagio. You must follow these instructions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16-digit control number via email or on your proxy card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16-digit control number via email or on your proxy card or voting instruction form, and you wish to vote prior to or at the virtual Annual Meeting, you must follow the instructions from your broker, bank or other stockholder of record, including any requirement to obtain your 16-digit control number. Many brokers, banks and other stockholders of record allow a beneficial owner to obtain their 16-digit control number either online or by mail, and we recommend that you contact your broker, bank or other stockholder of record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48895</wp:posOffset>
            </wp:positionV>
            <wp:extent cx="5344795" cy="7073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4795" cy="707390"/>
                    </a:xfrm>
                    <a:prstGeom prst="rect">
                      <a:avLst/>
                    </a:prstGeom>
                    <a:noFill/>
                  </pic:spPr>
                </pic:pic>
              </a:graphicData>
            </a:graphic>
          </wp:anchor>
        </w:drawing>
      </w:r>
    </w:p>
    <w:p>
      <w:pPr>
        <w:spacing w:after="0" w:line="160" w:lineRule="exact"/>
        <w:rPr>
          <w:sz w:val="20"/>
          <w:szCs w:val="20"/>
          <w:color w:val="auto"/>
        </w:rPr>
      </w:pPr>
    </w:p>
    <w:p>
      <w:pPr>
        <w:jc w:val="both"/>
        <w:ind w:left="420" w:right="439"/>
        <w:spacing w:after="0" w:line="262" w:lineRule="auto"/>
        <w:rPr>
          <w:sz w:val="20"/>
          <w:szCs w:val="20"/>
          <w:color w:val="auto"/>
        </w:rPr>
      </w:pPr>
      <w:r>
        <w:rPr>
          <w:rFonts w:ascii="Times New Roman" w:cs="Times New Roman" w:eastAsia="Times New Roman" w:hAnsi="Times New Roman"/>
          <w:sz w:val="18"/>
          <w:szCs w:val="18"/>
          <w:b w:val="1"/>
          <w:bCs w:val="1"/>
          <w:color w:val="auto"/>
        </w:rPr>
        <w:t>Internet proxy voting will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0" w:lineRule="exact"/>
        <w:rPr>
          <w:sz w:val="20"/>
          <w:szCs w:val="20"/>
          <w:color w:val="auto"/>
        </w:rPr>
      </w:pP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share of common stock you owned as of April 24, 2026 is entitled to one vote.</w:t>
      </w:r>
    </w:p>
    <w:p>
      <w:pPr>
        <w:spacing w:after="0" w:line="221"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at the Annual Meeting, your shares will not be voted.</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all Class II nominees for director and “For” the ratification of the appointment by the Audit Committee of WithumSmith+Brown, PC as our independent registered public accounting firm for the fiscal year ending December 31, 2026. If any other matter is properly presented at the meeting, your proxy holder (one of the individuals named on your proxy card) will vote your shares using that individual’s best judgment.</w:t>
      </w:r>
    </w:p>
    <w:p>
      <w:pPr>
        <w:spacing w:after="0" w:line="183" w:lineRule="exact"/>
        <w:rPr>
          <w:sz w:val="20"/>
          <w:szCs w:val="20"/>
          <w:color w:val="auto"/>
        </w:rPr>
      </w:pPr>
    </w:p>
    <w:p>
      <w:pPr>
        <w:ind w:left="300" w:right="499"/>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5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your broker, bank or other agent may still be able to vote your shares in its discretion. Brokers, banks and other securities intermediaries may use their discretion to vote your “uninstructed” shares with respect to matters considered to be “routine,” but not with respect to “non-routine” matters. In this regard, Proposal 1 is considered to be “non-routine,” meaning that your broker may not vote your shares on this proposal in the absence of your voting instructions. Proposal 2 is considered to be a “routine” matter, meaning that if you do not return voting instructions to your broker by its deadline, your shares may be voted by your broker in its discretion on Proposal 2.</w:t>
      </w:r>
    </w:p>
    <w:p>
      <w:pPr>
        <w:spacing w:after="0" w:line="80"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If you are a beneficial owner of shares held in street name, and you do not plan to attend the Annual Meeting, in order to ensure your shares are voted in the way you would prefer, you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b w:val="1"/>
          <w:bCs w:val="1"/>
          <w:color w:val="auto"/>
        </w:rPr>
        <w:t xml:space="preserve"> provide voting instructions to your broker, bank or other agent by the deadline provided in the materials you receive from your broker, bank or other agent.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the broker, bank or other such agent cannot vote the shares. When there is at least one “routine” matter that the broker, bank or other securities intermediary votes on, the shares that are un-voted on “non-routine” matters are counted as “broker non-votes.” Proposal 2 is a “routine” matter and we therefore expect brokers, banks or other securities intermediaries to vote on that proposal. Proposal 1 is considered to be “non-routine” and we therefore expect broker non-votes to exist in connection with that proposal.</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As a reminder, if you are a beneficial owner of shares held in street name, in order to ensure your shares are voted in the way you would prefer, you </w:t>
      </w:r>
      <w:r>
        <w:rPr>
          <w:rFonts w:ascii="Times New Roman" w:cs="Times New Roman" w:eastAsia="Times New Roman" w:hAnsi="Times New Roman"/>
          <w:sz w:val="18"/>
          <w:szCs w:val="18"/>
          <w:b w:val="1"/>
          <w:bCs w:val="1"/>
          <w:u w:val="single" w:color="auto"/>
          <w:color w:val="auto"/>
        </w:rPr>
        <w:t>must</w:t>
      </w:r>
      <w:r>
        <w:rPr>
          <w:rFonts w:ascii="Times New Roman" w:cs="Times New Roman" w:eastAsia="Times New Roman" w:hAnsi="Times New Roman"/>
          <w:sz w:val="18"/>
          <w:szCs w:val="18"/>
          <w:b w:val="1"/>
          <w:bCs w:val="1"/>
          <w:color w:val="auto"/>
        </w:rPr>
        <w:t xml:space="preserve"> provide voting instructions to your broker, bank or other agent by the deadline provided in the materials you receive from your broker, bank or other agent.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Adagio will pay for the entire cost of soliciting proxies. In addition to these proxy materials, our directors and employees may also solicit proxies in person, by email, by telephone,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set of proxy materials?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record holder of your shares, you may revoke your proxy in any one of the following ways:</w:t>
      </w:r>
    </w:p>
    <w:p>
      <w:pPr>
        <w:spacing w:after="0" w:line="54" w:lineRule="exact"/>
        <w:rPr>
          <w:sz w:val="20"/>
          <w:szCs w:val="20"/>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timely written notice that you are revoking your proxy to Adagio’s Corporate Secretary at 26051 Merit Circle, Suite 102, Laguna Hills, CA, 92653. Such notice will be considered timely if it is received at the indicated address by the close of business on the business day one week preceding the date of the Annual Meeting.</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online. Simply attending the Annual Meeting will not, by itself, revoke your proxy.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vote is required for adoption or approval of each proposal and how will votes be counted?</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For Proposal 1, the election of directors, the two nominees receiving the most “For” votes from the holders of shares present or represented by proxy and entitled to vote on the election of directors will be elected. Only votes “For” will affect the outcome.</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To be approved, Proposal 2, ratification of the selection of WithumSmith+Brown, PC as the Company’s independent registered public accounting firm for the year ending December 31, 2026, must receive “For” votes from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a majority of shares present or represented by proxy and entitled to vote on the matter. If you “Abstain” from voting, it will have the same effect as an “Against” vote. Broker non-votes will have the same effect as “Against” votes. Since brokers have authority to vote on your behalf with respect to Proposal 2, we do not expect broker non-votes on this proposal.</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count the vote?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Representatives of Broadridge Financial Solutions, Inc. will tabulate the votes and act as inspectors of election.</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the voting power of the outstanding shares entitled to vote at the Annual Meeting are present in person or represented by proxy. On April 24, 2026, there were 22,210,459 shares of common stock, outstanding and entitled to vote.</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will be counted towards the quorum requirement. If there is no quorum, either the chairperson of the Annual Meeting or the holders of a majority of the voting power of the shares present at the Annual Meeting or represented by proxy and entitled to vote may adjourn the Annual Meeting to another date.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For the ten days ending the day prior to the annual meeting, a list of our record stockholders as of the close of business on the record date will be available for examination by any stockholder of record for a legally valid purpose at our corporate headquarters during regular business hours. To access the list of record stockholders beginning May 22, 2026, and until the meeting, stockholders should email </w:t>
      </w:r>
      <w:r>
        <w:rPr>
          <w:rFonts w:ascii="Times New Roman" w:cs="Times New Roman" w:eastAsia="Times New Roman" w:hAnsi="Times New Roman"/>
          <w:sz w:val="18"/>
          <w:szCs w:val="18"/>
          <w:i w:val="1"/>
          <w:iCs w:val="1"/>
          <w:color w:val="auto"/>
        </w:rPr>
        <w:t>ir@adagiomedical.com</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additional Form 8-K to publish the final results.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proxy materials are available on the internet?</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proxy statement, Form 10-K and annual report to stockholders are available at www.proxyvote.com.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(the “Certificate of Incorporation”) and Amended and Restated Bylaws (the “Bylaws”), the Board is divided into three classes, with only one class of directors being elected in each year and each class, Class I, Class II and Class III, serving a three-year term. Each Class II director has a term that expires at this Annual Meeting, each Class III director has a term that expires at the Company’s 2027 annual meeting of stockholders and each Class I director has a term that expires at the Company’s 2028 annual meeting of stockholders, or in each case until their respective successors are duly elected and qualified, or until their earlier death, resignation, or removal. A director elected by the Board to fill a vacancy in a class, including vacancies created by an increase in the number of directors, shall serve for the remainder of the full term of that class and until the director’s successor is duly elected and qualified.</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There are currently seven members of the Board. Upon the recommendation of the Nominating and Corporate Governance Committee of the Board (the “Nominating and Corporate Governance Committee”), the Board has considered and nominated the two incumbent directors listed below.</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have no reason to believe that any of these nominees will be unavailable or, if elected, will decline to serve. In the event that any of these nominees should become unavailable for election due to any presently unforeseen reason, proxies will be voted for a substitute as designated by the Board, or alternatively, the Board may leave a vacancy on the Board or reduce the size of the Board.</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Nominees for Election to the Board of Directors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biographies of each of our nominees for election to the Board as Class II directors, and all other directors are set forth below, including the offices held, other business directorships and the class and term of each director nominee and director. Each of the biographies highlights specific experience, qualifications, attributes, and skills that led us to conclude that such person should serve as a director. We believe that, as a whole, our Board possesses the requisite skills and characteristics, leadership traits, work ethic, and independence to provide effective oversight. No director or executive officer is related by blood, marriage, or adoption to any other director or executive officer. No arrangements or understandings exist between any director and any other person pursuant to which such person was selected as a director or nominee. None of the Company’s incumbent directors have previously been elected by our stockholders other than Todd Usen and James L. Cox, M.D. Our Board, upon the closing of the Business Combination, approved the appointment of each of our directors other than Todd Usen and Sean Salmon. Mr. Usen was elected by our stockholders at our 2025 Annual Meeting of Stockholders. With respect to Ms. Mishan, the Board, upon the recommendation of the Legacy Adagio management, approved the appointment of Ms. Mishan in connection with the Closing of the Business Combination and in recognition of her broad operational and transactional experience. With respect to Mr. Salmon, the Board, upon the recommendation of the Nominating and Corporate Governance Committee of the Board, appointed Mr. Salmon to the Board, effective December 11, 2025 in recognition of Mr. Salmon’s extensive commercial background in cardiovascular and medical technology sectors.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 Nominees for Election for a Three-Year Term Expiring at the 2029 Annual Meeting</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Orly Mishan</w:t>
      </w:r>
      <w:r>
        <w:rPr>
          <w:rFonts w:ascii="Times New Roman" w:cs="Times New Roman" w:eastAsia="Times New Roman" w:hAnsi="Times New Roman"/>
          <w:sz w:val="18"/>
          <w:szCs w:val="18"/>
          <w:color w:val="auto"/>
        </w:rPr>
        <w:t>, 53, has served as a member of our Board since August 2024 and Chairperson of the Board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2024. Ms. Mishan joined Perceptive Advisors in March 2022 as Managing Director, Perceptive Discovery. Ms. Mishan has 30 years of device and biopharma industry experience in large and small companies as well as investment firms. She was a senior advisor of Cerevel Therapeutics between April and June 2021 and served as its Chief Business Officer between July 2019 and March 2021. Previously, from January 2017 to July 2019, Ms. Mishan served as a principal at Bain Capital Life Sciences (BCLS). As part of the founding team of BCLS, Ms. Mishan led their investment in Kestra Medical in 2017 and served on its board of directors through February 2025. Prior to joining Bain Capital Life Sciences, Ms. Mishan held roles of increasing responsibility at Biogen Inc. from December 2015 to January 2017, most recently as the Vice President of Corporate Strategy. From June 2004 to September 2014, Ms. Mishan held various leadership positions at Boston Scientific, most recently as Director, Healthcare Solutions. Ms. Mishan began her career as a business analyst at McKinsey &amp; Company and transitioned to a role in the healthcare industry at Pfizer Pharmaceuticals. Ms. Mishan received her B.A. in economics and political science from Columbia College, Columbia University. We believe Ms. Mishan is qualified to serve as a director due to her broad operational and transactional experience.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Sean Salmon</w:t>
      </w:r>
      <w:r>
        <w:rPr>
          <w:rFonts w:ascii="Times New Roman" w:cs="Times New Roman" w:eastAsia="Times New Roman" w:hAnsi="Times New Roman"/>
          <w:sz w:val="18"/>
          <w:szCs w:val="18"/>
          <w:color w:val="auto"/>
        </w:rPr>
        <w:t>, 61, has served as a member of our Board since December 2025. Mr. Salmon previously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Executive Vice President and President of Medtronic’s Cardiovascular Portfolio from January 2021 to September 2025. Mr. Salmon serves as a senior advisor for private equity, venture capital and strategy consulting firms. Mr. Salmon currently serves as a consultant advisor to multiple private companies and investment or consulting firms. Mr. Salmon previously served as Medtronic’s Executive Vice President and President of the Diabetes Operating Unit (previously known as Diabetes Group) from October 2019 to May 2022. Prior to that, he served as Senior Vice President and President of Coronary and Structural Heart Business within the Cardiac and Vascular Group of Medtronic beginning in July 2014, having held other positions of increasing responsibility with Medtronic since 2004. Prior to joining Medtronic, Mr. Salmon worked at C.R. Bard and Johnson &amp; Johnson. Mr. Salmon holds a B.S. degree from Boston University and an M.B.A. from the Kellogg School of Management at Northwestern University. We believe Mr. Salmon is qualified to serve as a director due to his extensive commercial background in cardiovascular and medical technology sectors.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Continuing in Office Until our 2027 Annual Meeting</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Sandra Gardiner</w:t>
      </w:r>
      <w:r>
        <w:rPr>
          <w:rFonts w:ascii="Times New Roman" w:cs="Times New Roman" w:eastAsia="Times New Roman" w:hAnsi="Times New Roman"/>
          <w:sz w:val="18"/>
          <w:szCs w:val="18"/>
          <w:color w:val="auto"/>
        </w:rPr>
        <w:t>, 60, has served as a member of our Board since August 2024. Ms. Gardiner has been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at FLG Partners since March 2023. Ms. Gardiner previously served as the Chief Financial Officer, Executive Vice President of Finance and Administration, Secretary and Treasurer of Pulse Biosciences, Inc. (Nasdaq: PLSE) between November 2019 and November 2022, and a director of Lucira Health, Inc. (Nasdaq: LHDX) between August 2020 and February 2023. From December 2017 to November 2019, Ms. Gardiner was the Executive Vice President and Chief Financial Officer of Cutera, Inc. (Nasdaq: CUTR). Prior to that, she held Chief Financial Officer roles in both domestic and global companies. Through FLG Partners, Ms. Gardiner serves in an executive capacity to various companies. Ms. Gardiner holds a B.A. in Management Economics from the University of California, Davis. We believe that Sandra Gardiner qualifies to serve as a director due to her broad operational experience in the life sciences sector.</w:t>
      </w:r>
    </w:p>
    <w:p>
      <w:pPr>
        <w:spacing w:after="0" w:line="7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Keyvan Mirsaeedi-Farahani, M.D.</w:t>
      </w:r>
      <w:r>
        <w:rPr>
          <w:rFonts w:ascii="Times New Roman" w:cs="Times New Roman" w:eastAsia="Times New Roman" w:hAnsi="Times New Roman"/>
          <w:sz w:val="18"/>
          <w:szCs w:val="18"/>
          <w:color w:val="auto"/>
        </w:rPr>
        <w:t>, 39, has served as a member of our Board since August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Mirsaeedi-Farahani joined Perceptive Advisors in 2016 and is the Head of Therapeutics on the investment team. Dr. Mirsaeedi-Farahani’s focus is on early and late stage therapeutics, and early stage medical devices. Prior to joining Perceptive Advisors, Dr. Mirsaeedi-Farahani was a Business Analyst at McKinsey &amp; Company from 2009 to 2011. Dr. Mirsaeedi-Farahani earned an MD from the Perelman School of Medicine at the University of Pennsylvania, an MBA from the Harvard Business School, and dual BS/BBA degrees from the University of Michigan. We believe Dr. Mirsaeedi-Farahani is qualified to serve as a director due to his broad operational and transactional experience.</w:t>
      </w:r>
    </w:p>
    <w:p>
      <w:pPr>
        <w:spacing w:after="0" w:line="29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Timothy Moran</w:t>
      </w:r>
      <w:r>
        <w:rPr>
          <w:rFonts w:ascii="Times New Roman" w:cs="Times New Roman" w:eastAsia="Times New Roman" w:hAnsi="Times New Roman"/>
          <w:sz w:val="18"/>
          <w:szCs w:val="18"/>
          <w:color w:val="auto"/>
        </w:rPr>
        <w:t>, 54, has served as a member of our Board since August 2024. Mr. Moran is the Chief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of Kestra Medical (Nasdaq: KMTS). Previously, Mr. Moran served as President and Chief Executive Officer of Avertix Medical between May 2023 and October 2025. From October 2018 to May 2023, Mr. Moran served as the Chief Executive Officer and director of Motus GI Holdings Inc. (Nasdaq: MOTS) and was the Chairman of the board of directors from May 2023 through August 2024. From October 2015 to September 2018, Mr. Moran served as President, Americas, at ConvaTec Group Plc (LON: CTEC) (“ConvaTec”). Prior to his employment at ConvaTec, Mr. Moran held roles in sales, marketing and general management over the course of eighteen years at Covidien plc (“Covidien”) and Medtronic (NYSE: MDT). Mr. Moran earned a B.A. in Organizational Communication at The State University of New York at Geneseo. We believe Mr. Moran is qualified to serve as a director due to his broad operating experience and leadership in the medical technology sector.</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Continuing in Office Until our 2028 Annual Meeting</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Todd Usen</w:t>
      </w:r>
      <w:r>
        <w:rPr>
          <w:rFonts w:ascii="Times New Roman" w:cs="Times New Roman" w:eastAsia="Times New Roman" w:hAnsi="Times New Roman"/>
          <w:sz w:val="18"/>
          <w:szCs w:val="18"/>
          <w:color w:val="auto"/>
        </w:rPr>
        <w:t>, 59, has served as the Chief Executive Officer and a member of our board of directors (the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December 2024. Prior to joining Adagio, Mr. Usen served as President and Chief Executive Officer of Minerva Surgical from December 2022 to July 2024. Prior to Minerva Surgical, from December 2018 to December 2022, Mr. Usen was the Chief Executive Officer of Activ Surgical. From 2015 to 2019, Mr. Usen was President, Medical Systems Group, for Olympus Corporation of the Americas. Prior to that, Mr. Usen served in executive positions including President, United States Orthopedics, Senior Vice President &amp; General Manager, Joint Reconstruction, and Senior Vice President Sports Medicine at Smith and Nephew from 2007 to 2015, and Vice President Sales and Director of Sales at Boston Scientific Corporation from 1995 to 2007. Mr. Usen is currently the Executive Chairman of Rob Surgical, an independent board director at Alesi Surgical, and Pluto Health, and a member of the Executive board at MassMEDIC. He serves as an advisor for The Cleveland Clinic Innovations and Ventures team, as well as Avertto Medical. Mr. Usen holds a Bachelor of Science in Marketing from the Isenberg School at the University of Massachusetts and did his Master of Business Administration work at Pepperdine University. We believe Mr. Usen is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qualified to serve as a director due to the perspective and experience he brings as our Chief Executive Officer, and his experience in leadership positions in the life science industry.</w:t>
      </w:r>
    </w:p>
    <w:p>
      <w:pPr>
        <w:spacing w:after="0" w:line="50"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James L. Cox, M.D.</w:t>
      </w:r>
      <w:r>
        <w:rPr>
          <w:rFonts w:ascii="Times New Roman" w:cs="Times New Roman" w:eastAsia="Times New Roman" w:hAnsi="Times New Roman"/>
          <w:sz w:val="18"/>
          <w:szCs w:val="18"/>
          <w:color w:val="auto"/>
        </w:rPr>
        <w:t>, 83, has served as a member of our Board since August 2024. Dr. Cox is a founder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Adagio and served as a director of Legacy Adagio from January 2011 to July 2024 and as a consultant to Legacy Adagio from September 2012 to June 2024. Dr. Cox has served as the Surgical Director of the Center for Heart Rhythm Disorders at the Bluhm Cardiovascular Institute and the Visiting Professor of Surgery at the Feinberg School of Medicine at Northwestern University since January 2017, and as a full- time Professor of Surgery at the Feinberg School of Medicine at Northwestern University since September 2018. From 1983 to 1997, Dr. Cox served as Professor of Surgery and Chief of the Division of Cardiothoracic Surgery at Washington University School of Medicine and Cardiothoracic Surgeon-in-Chief at Barnes Hospital in St. Louis. From 2006 to December 2016, Dr. Cox was the Emeritus Evarts A. Graham Professor of Surgery at Washington University in St. Louis. Dr. Cox was also previously Professor and Chairman of the Department of Thoracic and Cardiovascular Surgery at Georgetown University Medical Center and Associate Professor of Surgery at Duke University Medical Center. In addition to the Company, Dr. Cox currently serves on the boards of directors of PAVmed, Inc. (Nasdaq: PAVM) since January 2015, and Lucid Diagnostics, Inc. (Nasdaq: LUCD) since May 2018. Dr. Cox is also the Founder and served as Chairman of the board of directors of the World Heart Foundation from 2000 to 2012. Dr. Cox received his general and cardiothoracic surgical training at Duke University School of Medicine, during which time he spent two years in the U.S. Army Medical Corps. Dr. Cox received his M.D. from the University of Tennessee. We believe Dr. Cox is qualified to serve as a director due to his distinguished career as a world-renowned cardiac surgeon and scientific investigator, his recognition as a thought leader and innovator both as a surgeon and medical device entrepreneur, his extensive experience in the medical device industry and his widespread relationships in all segments of the healthcare community.</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and Certain Governance Matters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 Process and Qualifications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believe that an effective board of directors should be made up of individuals who collectively provide an appropriate balance of diverse occupational and personal backgrounds and perspectives and who have a range of skills and expertise sufficient to provide guidance and oversight with respect to the Company’s strategy and operations. Our Board and our Nominating and Corporate Governance Committee seek individuals with backgrounds and qualities that, when combined with those of our other directors, enhance our Board’s effectiveness and result in the Board having a balance of knowledge, experience, and capability. Our Nominating and Corporate Governance Committee considers candidates who are recommended by its members, by other Board members, by stockholders, and by management, as well as those identified by third-party search firms retained to assist in identifying and evaluating possible candidates.</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assessing potential candidates, our Board and Nominating and Corporate Governance Committee will consider, among other factors, whether the candidate possesses relevant expertise to offer advice and guidance to management, has sufficient time to devote to the affairs of the Company, demonstrates excellence in the candidate’s field, has the ability to exercise sound business judgment and is committed to represent the long-term interests of the Company’s stockholders.</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Nominations by Stockholders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will evaluate director candidates recommended by stockholders in the same manner in which the Nominating and Corporate Governance Committee evaluates any other director candidate.</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Any recommendation submitted to the Company should be in writing and should include any supporting material the stockholder considers appropriate in support of that recommendation but must include information that would be required under the “advance notice” provisions of the Company’s bylaws and rules of the SEC to be included in a proxy statement soliciting proxies for the election of such candidate. Stockholders wishing to propose a candidate for consideration may do so by submitting the above information to the attention of the Corporate Secretary of the Company c/o Adagio Medical Holdings, Inc., 26051 Merit Circle, Suite 102, Laguna Hills, CA, 92653, such director nominations will be presented to the Board for its consideration. Stockholders must also satisfy the notification, timeliness, consent, and information requirements set forth in our bylaws. These requirements are also described under the section entitled “</w:t>
      </w:r>
      <w:r>
        <w:rPr>
          <w:rFonts w:ascii="Times New Roman" w:cs="Times New Roman" w:eastAsia="Times New Roman" w:hAnsi="Times New Roman"/>
          <w:sz w:val="18"/>
          <w:szCs w:val="18"/>
          <w:i w:val="1"/>
          <w:iCs w:val="1"/>
          <w:color w:val="auto"/>
        </w:rPr>
        <w:t>Stockholder Proposals for the 2027 Annual Meeting of Stockholders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 Diversity</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While we do not have a formal diversity policy in place, our Nominating and Corporate Governance Committee considers the diversity of the Board overall with respect to age, disability, gender identity or expression, ethnicity, military veteran status, national origin, race, religion, sexual orientation, and other backgrounds and experiences. Our Nominating and Corporate Governance Committee is committed to actively seeking out and will instruct any search firm it engages to identify, individuals who will contribute to the overall diversity of the Board to be included in the pool of candidates from which nominees to the Board are selected. Our Board monitors the mix of skills and experience of its directors to help ensure it has the necessary tools to perform its oversight function effectively. The Board fully appreciates the value of a diversity of viewpoints, background and experiences as important to the selection of directors to enhance the Board’s cognitive diversity and quality of dialogue in the Boardroom.</w:t>
      </w:r>
    </w:p>
    <w:p>
      <w:pPr>
        <w:spacing w:after="0" w:line="86"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of our record date, 25% of our directors were women or racially or ethnically diverse individuals. We believe that our current directors possess diverse professional experiences, skills and backgrounds, in addition to, among other characteristics, high standards of personal and professional ethics and valuable knowledge of our business and our industry.</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 and Independence Determinations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Members of the Audit Committee and Compensation Committee of the Board are subject to the additional independence requirements of applicable SEC rules and Nasdaq listing standards.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undertook its annual review of director independence and made a recommendation to our Board regarding director independence. As a result of this review, our Board affirmatively determined that each of James L. Cox, Orly Mishan, Keyvan Mirsaeedi-Farahani, Timothy Moran, Sandra Gardiner and Sean Salmon are “independent” in accordance with Nasdaq listing standards applicable to boards of directors in general. In addition, our Board has affirmatively determined that each of Ms. Gardiner, Mr. Moran and Mr. Salmon are “independent” in accordance with the Nasdaq listing standards and SEC rules applicable to boards of directors in general and audit committee members in particular, and that that each of Ms. Mishan and Mr. Moran is “independent” in accordance with the Nasdaq listing standards and SEC rules applicable to boards of directors in general and compensation committee members in particular. Mr. Usen is not currently an independent director by virtue of his employment with us as our Chief Executive Officer.</w:t>
      </w:r>
    </w:p>
    <w:p>
      <w:pPr>
        <w:spacing w:after="0" w:line="86"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assessing directors’ independence, our Board took into account certain transactions, relationships, and arrangements involving some of the directors and concluded that such transactions, relationships, and arrangements did not impair the independence of the director.</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Our Board maintains the flexibility to determine whether the roles of Chair and Chief Executive Officer should be combined or separated, based on what it believes is in the best interests of the Company at a given point in time. The Board believes that this flexibility is in the best interest of the Company and that a one-size-fits-all approach to corporate governance, with a mandated independent Chair, would not result in better governance or oversight.</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At this time, our Board is led by Orly Mishan, an independent, non-executive Chair. Our Board believes that it is in the best interest of the Company and its stockholders for Ms. Mishan to continue to serve as Chair of the Board. Ms. Mishan possesses significant knowledge and experience in our industry and a deep understanding of our strategic objectives, all of which will continue to benefit the Company during the year ahead. The Company believes that separation of the positions of the Chair and Chief Executive Officer reinforces the independence of the Board in its oversight of the business and affairs of the Company. In addition, the Company believes that having an independent Chair creates an environment that is more conducive to the Board’s objective evaluation and oversight of management’s performance, increasing management accountability, and improving the ability of the Board to monitor whether management’s actions are in the best interests of the Company and its stockholders, including with respect to evaluating whether steps management is taking to manage risks are appropriate for the Company. Ms. Mishan’s responsibility is to ensure that our Board functions properly and to work with our Chief Executive Officer to set the Board’s agenda. Accordingly, she has substantial ability to shape the work of the Board. We expect her to facilitate communications among our directors and between the Board and senior management. While Ms. Mishan provides independent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leadership, she also works closely with our Chief Executive Officer to ensure that our directors receive the information that they need to perform their responsibilities, including discussing and providing critical review of the matters that come before the Board and assessing management’s performance. As a result, we believe that such separation can enhance the effectiveness of our Board as a whole. We believe that the leadership structure of our Board is appropriate and enhances its ability to effectively carry out its roles and responsibilities on behalf of our stockholders.</w:t>
      </w:r>
    </w:p>
    <w:p>
      <w:pPr>
        <w:spacing w:after="0" w:line="21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Board’s Role in Risk Oversight</w:t>
      </w:r>
    </w:p>
    <w:p>
      <w:pPr>
        <w:spacing w:after="0" w:line="121" w:lineRule="exact"/>
        <w:rPr>
          <w:sz w:val="20"/>
          <w:szCs w:val="20"/>
          <w:color w:val="auto"/>
        </w:rPr>
      </w:pPr>
    </w:p>
    <w:p>
      <w:pPr>
        <w:jc w:val="both"/>
        <w:ind w:left="1300" w:right="1300" w:firstLine="360"/>
        <w:spacing w:after="0" w:line="267" w:lineRule="auto"/>
        <w:rPr>
          <w:sz w:val="20"/>
          <w:szCs w:val="20"/>
          <w:color w:val="auto"/>
        </w:rPr>
      </w:pPr>
      <w:r>
        <w:rPr>
          <w:rFonts w:ascii="Times New Roman" w:cs="Times New Roman" w:eastAsia="Times New Roman" w:hAnsi="Times New Roman"/>
          <w:sz w:val="17"/>
          <w:szCs w:val="17"/>
          <w:color w:val="auto"/>
        </w:rPr>
        <w:t>Risk is inherent with every business, and we face a number of risks, including strategic, financial, business and operational, legal and compliance, cybersecurity and reputational risks. One of the Board’s key functions is informed oversight of our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our company. Our Audit Committee has the responsibility to consider and discuss our major financial risk exposures and the steps our management has taken to monitor and control these exposures, including the implementation of guidelines and policies to govern the process by which risk assessment and management is undertaken. The Audit Committee also monitors compliance with legal and regulatory requirements, in addition to oversight of the performance of our internal audit function, if and when we implement any such function. Our Nominating and Corporate Governance Committee monitors the effectiveness of our corporate governance processes, including whether they are successful in preventing illegal or improper liability-creating conduct. Our compensation committee (the “Compensation Committee”) assesses and monitors whether any of our compensation policies and programs has the potential to encourage excessive risk-taking. In addition, the entire Board receives reports from time to time regarding various enterprise risks facing the Company, and the applicable Board committees receive related reports with respect to the committees’ respective areas of oversight. While the Board and its committees oversee risk management strategy, management is responsible for implementing and supervising day-to-day risk management processes and reporting to the Board and its committees on such matters.</w:t>
      </w:r>
    </w:p>
    <w:p>
      <w:pPr>
        <w:spacing w:after="0" w:line="200" w:lineRule="exact"/>
        <w:rPr>
          <w:sz w:val="20"/>
          <w:szCs w:val="20"/>
          <w:color w:val="auto"/>
        </w:rPr>
      </w:pPr>
    </w:p>
    <w:p>
      <w:pPr>
        <w:spacing w:after="0" w:line="24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Meetings of the Board of Directors</w:t>
      </w:r>
    </w:p>
    <w:p>
      <w:pPr>
        <w:spacing w:after="0" w:line="121"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met five times during the last fiscal year. Each director attended 75% or more of the aggregate number of meetings of the Board and of the committees on which he or she served, held during the portion of the last fiscal year for which he or she was a director or committee member.</w:t>
      </w:r>
    </w:p>
    <w:p>
      <w:pPr>
        <w:spacing w:after="0" w:line="68" w:lineRule="exact"/>
        <w:rPr>
          <w:sz w:val="20"/>
          <w:szCs w:val="20"/>
          <w:color w:val="auto"/>
        </w:rPr>
      </w:pPr>
    </w:p>
    <w:p>
      <w:pPr>
        <w:jc w:val="both"/>
        <w:ind w:left="1300" w:right="1320" w:firstLine="360"/>
        <w:spacing w:after="0" w:line="282" w:lineRule="auto"/>
        <w:rPr>
          <w:sz w:val="20"/>
          <w:szCs w:val="20"/>
          <w:color w:val="auto"/>
        </w:rPr>
      </w:pPr>
      <w:r>
        <w:rPr>
          <w:rFonts w:ascii="Times New Roman" w:cs="Times New Roman" w:eastAsia="Times New Roman" w:hAnsi="Times New Roman"/>
          <w:sz w:val="18"/>
          <w:szCs w:val="18"/>
          <w:color w:val="auto"/>
        </w:rPr>
        <w:t>Although we do not have a formal policy regarding attendance by Board members at annual meetings of stockholders, we encourage our directors to attend such meetings.</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Committees of the Board of Directors</w:t>
      </w:r>
    </w:p>
    <w:p>
      <w:pPr>
        <w:spacing w:after="0" w:line="121" w:lineRule="exact"/>
        <w:rPr>
          <w:sz w:val="20"/>
          <w:szCs w:val="20"/>
          <w:color w:val="auto"/>
        </w:rPr>
      </w:pPr>
    </w:p>
    <w:p>
      <w:pPr>
        <w:jc w:val="both"/>
        <w:ind w:left="1300" w:right="1300" w:firstLine="360"/>
        <w:spacing w:after="0" w:line="261" w:lineRule="auto"/>
        <w:rPr>
          <w:sz w:val="20"/>
          <w:szCs w:val="20"/>
          <w:color w:val="auto"/>
        </w:rPr>
      </w:pPr>
      <w:r>
        <w:rPr>
          <w:rFonts w:ascii="Times New Roman" w:cs="Times New Roman" w:eastAsia="Times New Roman" w:hAnsi="Times New Roman"/>
          <w:sz w:val="18"/>
          <w:szCs w:val="18"/>
          <w:color w:val="auto"/>
        </w:rPr>
        <w:t xml:space="preserve">Our Board has established an Audit Committee, a Compensation Committee, and a Nominating and Corporate Governance Committee. Our Board may establish other committees to facilitate the management of our business. Our Board has adopted a written charter for each of our committees, which are available to stockholders on our investor relations website at </w:t>
      </w:r>
      <w:r>
        <w:rPr>
          <w:rFonts w:ascii="Times New Roman" w:cs="Times New Roman" w:eastAsia="Times New Roman" w:hAnsi="Times New Roman"/>
          <w:sz w:val="18"/>
          <w:szCs w:val="18"/>
          <w:i w:val="1"/>
          <w:iCs w:val="1"/>
          <w:color w:val="auto"/>
        </w:rPr>
        <w:t>https://investors.adagiomedical.com/corporate-governance/documents-charters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1300" w:right="1300" w:firstLine="360"/>
        <w:spacing w:after="0" w:line="278" w:lineRule="auto"/>
        <w:rPr>
          <w:sz w:val="20"/>
          <w:szCs w:val="20"/>
          <w:color w:val="auto"/>
        </w:rPr>
      </w:pPr>
      <w:r>
        <w:rPr>
          <w:rFonts w:ascii="Times New Roman" w:cs="Times New Roman" w:eastAsia="Times New Roman" w:hAnsi="Times New Roman"/>
          <w:sz w:val="18"/>
          <w:szCs w:val="18"/>
          <w:color w:val="auto"/>
        </w:rPr>
        <w:t>The following table provides membership and meeting information for fiscal 2025 for each of the committees of our Board:</w:t>
      </w:r>
    </w:p>
    <w:tbl>
      <w:tblPr>
        <w:tblLayout w:type="fixed"/>
        <w:tblInd w:w="0" w:type="dxa"/>
        <w:tblCellMar>
          <w:top w:w="0" w:type="dxa"/>
          <w:left w:w="0" w:type="dxa"/>
          <w:bottom w:w="0" w:type="dxa"/>
          <w:right w:w="0" w:type="dxa"/>
        </w:tblCellMar>
      </w:tblPr>
      <w:tr>
        <w:trPr>
          <w:trHeight w:val="149"/>
        </w:trPr>
        <w:tc>
          <w:tcPr>
            <w:tcW w:w="1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Nominating</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260" w:type="dxa"/>
            <w:vAlign w:val="bottom"/>
          </w:tcPr>
          <w:p>
            <w:pPr>
              <w:spacing w:after="0"/>
              <w:rPr>
                <w:sz w:val="12"/>
                <w:szCs w:val="12"/>
                <w:color w:val="auto"/>
              </w:rPr>
            </w:pP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60" w:type="dxa"/>
            <w:vAlign w:val="bottom"/>
          </w:tcPr>
          <w:p>
            <w:pPr>
              <w:spacing w:after="0"/>
              <w:rPr>
                <w:sz w:val="12"/>
                <w:szCs w:val="12"/>
                <w:color w:val="auto"/>
              </w:rPr>
            </w:pPr>
          </w:p>
        </w:tc>
        <w:tc>
          <w:tcPr>
            <w:tcW w:w="9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Corporate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3280" w:type="dxa"/>
            <w:vAlign w:val="bottom"/>
            <w:tcBorders>
              <w:bottom w:val="single" w:sz="8" w:color="auto"/>
            </w:tcBorders>
            <w:gridSpan w:val="2"/>
            <w:vMerge w:val="continue"/>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bottom w:val="single" w:sz="8" w:color="auto"/>
            </w:tcBorders>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Usen</w:t>
            </w:r>
          </w:p>
        </w:tc>
        <w:tc>
          <w:tcPr>
            <w:tcW w:w="2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Orly Mishan</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X</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 Cox</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Sandra Gardiner</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Keyvan Mirsaeedi-Farahani</w:t>
            </w:r>
          </w:p>
        </w:tc>
        <w:tc>
          <w:tcPr>
            <w:tcW w:w="2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Moran</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1"/>
              </w:rPr>
              <w:t>X</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Sean Salmon</w:t>
            </w:r>
          </w:p>
        </w:tc>
        <w:tc>
          <w:tcPr>
            <w:tcW w:w="2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3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w:t>
            </w: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00" w:type="dxa"/>
            <w:vAlign w:val="bottom"/>
          </w:tcPr>
          <w:p>
            <w:pPr>
              <w:spacing w:after="0"/>
              <w:rPr>
                <w:sz w:val="19"/>
                <w:szCs w:val="19"/>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meetings in fiscal year 2025</w:t>
            </w:r>
          </w:p>
        </w:tc>
        <w:tc>
          <w:tcPr>
            <w:tcW w:w="2660" w:type="dxa"/>
            <w:vAlign w:val="bottom"/>
            <w:gridSpan w:val="4"/>
          </w:tcPr>
          <w:p>
            <w:pPr>
              <w:jc w:val="center"/>
              <w:ind w:left="24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7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30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30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*Committee Chairperson</w:t>
            </w: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Our Board has determined that each committee member and nominee meets the applicable Nasdaq rules and regulations regarding “independence” and each committee member and nominee is free of any relationship that would impair his or her individual exercise of independent judgment with regard to us. Current copies of the Audit Committee, Compensation Committee, and Nominating and Corporate Governance Committee charters are posted on the “Investor” section of our website located at </w:t>
      </w:r>
      <w:r>
        <w:rPr>
          <w:rFonts w:ascii="Times New Roman" w:cs="Times New Roman" w:eastAsia="Times New Roman" w:hAnsi="Times New Roman"/>
          <w:sz w:val="18"/>
          <w:szCs w:val="18"/>
          <w:i w:val="1"/>
          <w:iCs w:val="1"/>
          <w:color w:val="auto"/>
        </w:rPr>
        <w:t>investors.adagiomedical.com</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established an audit committee of the Board. Ms. Gardiner, Mr. Moran and Mr. Salmon serve as members of our Audit Committee. The Board has determined that each of Ms. Gardiner, Mr. Moran and Mr. Salmon is independent. Ms. Gardiner serves as the Chairperson of the Audit Committee. Each member of the Audit Committee meets the financial literacy requirements of Nasdaq and the Board has determined that Ms. Gardiner qualifies as an “audit committee financial expert” as defined in applicable SEC rules and has accounting or related financial management expertise.</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 is responsible for, among other things:</w:t>
      </w:r>
    </w:p>
    <w:p>
      <w:pPr>
        <w:spacing w:after="0" w:line="117" w:lineRule="exact"/>
        <w:rPr>
          <w:sz w:val="20"/>
          <w:szCs w:val="20"/>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retaining, compensating, evaluating, overseeing and, where appropriate, terminating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scope and plans for the audits and the audit fees and approving all non-audit and tax services to be performed by the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independence and qualifications of our independent registered public accounting firm;</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 and discussing with management and our independent registered public accounting firm the results of the annual audit and the quarterly reviews;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the quality and adequacy of our internal controls and our disclosure controls and procedures;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our procedures regarding the presentation of our financial information, and reviewing earnings press releases and guidance;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design, implementation and performance of our internal audit function, if 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hiring policies with regard to the hiring of employees and former employees of our independent registered public accounting firm and overseeing compliance with such policies;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monitoring related party transactions;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compliance with our Code of Business Conduct and Ethics and considering questions of actual or possible conflicts of interest of our directors and officers;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overseeing procedures to address complaints regarding accounting, internal accounting controls and auditing matters, including confidential, anonymous submissions by our employees of concerns regarding questionable accounting or auditing matters;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the adequacy and effectiveness of our legal, regulatory and ethical compliance programs;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guidelines and policies to identify, monitor and address enterprise risks.</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operates under a written charter, which became effective upon the consummation of the Business Combination and satisfies the applicable rules and regulations of the SEC and the listing standards of Nasdaq.</w:t>
      </w: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established a compensation committee of the Board. The members of our Compensation Committee are Ms. Mishan, Mr. Moran and Mr. Salmon. Mr. Moran serves as chairperson of the Compensation Committee. The Board has determined that each of Ms. Mishan, Mr. Moran and Mr. Salmon is independent.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Committee is responsible for, among other things:</w:t>
      </w:r>
    </w:p>
    <w:p>
      <w:pPr>
        <w:spacing w:after="0" w:line="117" w:lineRule="exact"/>
        <w:rPr>
          <w:sz w:val="20"/>
          <w:szCs w:val="20"/>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 to the Board for approval the compensation for our executive officers, including our chief executive officer;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administering our employee benefit and equity incentive plans;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on stockholder proposals related to executive compensation matters;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reviewing the compensation plans and programs of our employees, and ensuring that they are consistent with our general compensation strategy;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management of risks relating to executive compensation plans and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any stock ownership guidelines;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creation or revision of any clawback policy;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approval non-employee director compensation;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executive compensation disclosure in our SEC filings and preparing the compensation committee report required to be included in our annual proxy statement.</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Compensation Committee operates under a written charter, which became effective upon the consummation of the Business Combination and satisfies the applicable rules and regulations of the SEC and the listing standards of Nasdaq.</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Processes and Procedures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generally meets at least two times annually and with greater frequency if necessary. The Compensation Committee also acts periodically by unanimous written consent in lieu of a formal meeting. The agenda for each meeting is usually developed by the Chair of the Compensation Committee, in consultation with management. The Compensation Committee meets regularly in executive session.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Chief Executive Officer may not participate in, or be present during, any deliberations or determinations of the Compensation Committee regarding his compensation or individual performance objectives.</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the six factors prescribed by the SEC and Nasdaq that bear upon the advisor’s independence, the Compensation Committee engaged Willis Towers Watson US LLC (“Willis Towers Watson”) as compensation consultants.</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 part of its engagement, Willis Towers Watson was asked to develop a comparative group of companies and to perform analyses of competitive performance and compensation levels for that group. Willis Towers Watson ultimately developed recommendations that were presented to the Compensation Committee for its consideration.</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Under its charter, the Compensation Committee may form, and delegate authority to, subcommittees as appropriate. In fiscal year 2026, the Compensation Committee delegated authority to Todd Usen, the Company’s Chief Executive Officer, to grant, without any further action required by the Compensation Committee, stock options to employees who are below the senior vice president level. The purpose of this delegation of authority is to enhance the flexibility of option administration within the Company and to facilitate the timely grant of options to non-management employees, particularly new employees, within specified limits approved by the Compensation Committee.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Compensation Committee will make most of the significant adjustments to annual compensation, determined bonus and equity awards and established new performance objectives at one or more meetings held during the first quarter of the year. However, 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Generally, the Compensation Committee’s process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evaluation of his performance is conducted by the Compensation Committee,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established a nominating and corporate governance committee of the Board. The members of our Nominating and Corporate Governance Committee are Mr. Mirsaeedi-Farahani, Ms. Mishan and Mr. Cox. Mr. Mirsaeedi-Farahani serves as chairperson of the Nominating and Corporate Governance Committee. The Board has determined that each of Mr. Mirsaeedi-Farahani, Ms. Mishan and Mr. Cox is independent.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Nominating and Corporate Governance Committee is responsible for, among other things:</w:t>
      </w:r>
    </w:p>
    <w:p>
      <w:pPr>
        <w:spacing w:after="0" w:line="117" w:lineRule="exact"/>
        <w:rPr>
          <w:sz w:val="20"/>
          <w:szCs w:val="20"/>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assessing and making recommendations to the Board regarding desired qualifications, expertise and characteristics sought of Board members;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selecting or making recommendations to the Board regarding nominees for election to the Board;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policies and procedures for considering stockholder nominees for election to the Board;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succession planning process for our chief executive officer and any other members of our executive management team;</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the composition, organization and governance of the Board and its committees;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our corporate governance processes and corporate governance framework;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director orientation for new directors and continuing education for our directors;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Environmental, Social and Governance (“ESG”) programs and related disclosures and communications;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performance of the Board and its committees;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policies and procedures for communications with the non-management members of the Board.</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operates under a written charter, which became effective upon the consummation of the Business Combination and satisfies the applicable rules and regulations of the SEC and the listing standards of Nasdaq.</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Executive Sessions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Executive sessions, which are meetings at which only independent directors are present, are regularly scheduled throughout the year, typically at the time of each regular Board meeting and as frequently as such independent directors deem appropriate.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Board welcomes input and suggestions from all interested parties, including stockholders. Anyone may communicate with a member or members of our Board, including the Chair of the Board, Chair of the Audit, Compensation, or Nominating and Corporate Governance Committees, or to the non-management or independent directors, by sending a written communication to the attention of the Company’s Corporate Secretary by mail at 26051 Merit Circle, Suite 102, Laguna Hills, CA, 92653.</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Communications addressed to the Board or to a Board member are distributed to the Board or to any individual director or directors as appropriate. Any such communication is promptly distributed to the director or directors named therein unless such communication is considered, either presumptively or in the reasonable judgment of the Company’s Corporate Secretary, to be improper for submission to the intended recipient or recipients. Examples of communications that would presumptively be deemed improper for submission include, without limitation, solicitations, communications that raise grievances that are personal to the sender, communications that relate to the pricing of the Company’s products or services, communications that do not relate directly or indirectly to the Company and communications that are frivolous in nature.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Code of Ethics and Business Conduct</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Board adopted a Code of Ethics and Business Conduct (the “Code of Conduct”), applicable to all of our employees, executive officers and directors. The Code of Conduct is available on our website at </w:t>
      </w:r>
      <w:r>
        <w:rPr>
          <w:rFonts w:ascii="Times New Roman" w:cs="Times New Roman" w:eastAsia="Times New Roman" w:hAnsi="Times New Roman"/>
          <w:sz w:val="18"/>
          <w:szCs w:val="18"/>
          <w:i w:val="1"/>
          <w:iCs w:val="1"/>
          <w:color w:val="auto"/>
        </w:rPr>
        <w:t>https://us.adagiomedical.com/corporate</w:t>
      </w:r>
      <w:r>
        <w:rPr>
          <w:rFonts w:ascii="Times New Roman" w:cs="Times New Roman" w:eastAsia="Times New Roman" w:hAnsi="Times New Roman"/>
          <w:sz w:val="18"/>
          <w:szCs w:val="18"/>
          <w:color w:val="auto"/>
        </w:rPr>
        <w:t>. Information contained on or accessible through Adagio’s website is not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of this proxy statement, and the inclusion of our website address in this proxy statement is an inactive textual reference only. If the Company makes any substantive amendments to the Code of Conduct or grants any waiver from a provision of the Code to any executive officer or director, the Company will promptly disclose the nature of the amendment or waiver on its website.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adopted an Insider Trading Policy that governs the purchase, sale and/or other dispositions of our securities by our directors, officers and employees, as well as their immediate family members and entities controlled by them, and that is designed to promote compliance with insider trading laws, rules and regulations. A copy of our insider trading policy is filed as an exhibit to our Annual Report on Form 10 K for our fiscal year ended December 31, 2024, originally filed with the SEC on March 27, 2025. In addition, it is the Company’s intent to comply with applicable laws and regulations relating to insider trading.</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Hedging and Pledging Policy</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Insider Trading Policy prohibits our employees, including our executive officers, and the non-employee members of our Board from engaging in short sales, transactions in put or call options, hedging transactions, using margin accounts, or other inherently speculative transactions involving our equity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300" w:right="359"/>
        <w:spacing w:after="0" w:line="286" w:lineRule="auto"/>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5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has appointed WithumSmith+Brown, PC as our independent registered public accounting firm for the fiscal year ending December 31, 2026 and has further directed that management submit the selection of its independent registered public accounting firm for ratification by the stockholders at the annual meeting and recommended that stockholders ratify such selection. WithumSmith+Brown, PC has audited our financial statements, including those of Legacy Adagio prior to the Business Combination, since 2023. Representatives of WithumSmith+Brown, PC are expected to be present at the Annual Meeting. They will have an opportunity to make a statement if they so desire and will be available to respond to appropriate questions.</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stockholder ratification of the appointment of WithumSmith+Brown, PC as our independent registered public accounting firm. However, the Audit Committee is submitting the selection of WithumSmith+Brown, PC to the stockholders for ratification as a matter of good corporate practice. If the stockholders fail to ratify the appointment,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us and our stockholders.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(including Legacy Adagio) for the fiscal years ended December 31, 2025 and 2024, by WithumSmith+Brown, PC, the Company’s principal accountant.</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Fiscal Year Ended</w:t>
            </w:r>
          </w:p>
        </w:tc>
      </w:tr>
      <w:tr>
        <w:trPr>
          <w:trHeight w:val="190"/>
        </w:trPr>
        <w:tc>
          <w:tcPr>
            <w:tcW w:w="6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3"/>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6"/>
        </w:trPr>
        <w:tc>
          <w:tcPr>
            <w:tcW w:w="6480" w:type="dxa"/>
            <w:vAlign w:val="bottom"/>
          </w:tcPr>
          <w:p>
            <w:pPr>
              <w:spacing w:after="0"/>
              <w:rPr>
                <w:sz w:val="16"/>
                <w:szCs w:val="16"/>
                <w:color w:val="auto"/>
              </w:rPr>
            </w:pPr>
          </w:p>
        </w:tc>
        <w:tc>
          <w:tcPr>
            <w:tcW w:w="880" w:type="dxa"/>
            <w:vAlign w:val="bottom"/>
            <w:gridSpan w:val="2"/>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6"/>
                <w:szCs w:val="16"/>
                <w:color w:val="auto"/>
              </w:rPr>
            </w:pPr>
          </w:p>
        </w:tc>
      </w:tr>
      <w:tr>
        <w:trPr>
          <w:trHeight w:val="23"/>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5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900" w:type="dxa"/>
            <w:vAlign w:val="bottom"/>
            <w:gridSpan w:val="3"/>
            <w:shd w:val="clear" w:color="auto" w:fill="CCEEFF"/>
          </w:tcPr>
          <w:p>
            <w:pPr>
              <w:jc w:val="center"/>
              <w:ind w:left="139"/>
              <w:spacing w:after="0"/>
              <w:rPr>
                <w:sz w:val="20"/>
                <w:szCs w:val="20"/>
                <w:color w:val="auto"/>
              </w:rPr>
            </w:pPr>
            <w:r>
              <w:rPr>
                <w:rFonts w:ascii="Times New Roman" w:cs="Times New Roman" w:eastAsia="Times New Roman" w:hAnsi="Times New Roman"/>
                <w:sz w:val="18"/>
                <w:szCs w:val="18"/>
                <w:color w:val="auto"/>
              </w:rPr>
              <w:t>$580,392</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647,050</w:t>
            </w: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 Fees</w:t>
            </w:r>
          </w:p>
        </w:tc>
        <w:tc>
          <w:tcPr>
            <w:tcW w:w="220" w:type="dxa"/>
            <w:vAlign w:val="bottom"/>
          </w:tcPr>
          <w:p>
            <w:pPr>
              <w:spacing w:after="0"/>
              <w:rPr>
                <w:sz w:val="20"/>
                <w:szCs w:val="20"/>
                <w:color w:val="auto"/>
              </w:rPr>
            </w:pP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676,500</w:t>
            </w:r>
          </w:p>
        </w:tc>
      </w:tr>
      <w:tr>
        <w:trPr>
          <w:trHeight w:val="31"/>
        </w:trPr>
        <w:tc>
          <w:tcPr>
            <w:tcW w:w="6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2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$580,392</w:t>
            </w: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$1,323,550</w:t>
            </w:r>
          </w:p>
        </w:tc>
      </w:tr>
      <w:tr>
        <w:trPr>
          <w:trHeight w:val="54"/>
        </w:trPr>
        <w:tc>
          <w:tcPr>
            <w:tcW w:w="64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u w:val="single" w:color="auto"/>
          <w:color w:val="auto"/>
        </w:rPr>
        <w:t>Audit fees</w:t>
      </w:r>
      <w:r>
        <w:rPr>
          <w:rFonts w:ascii="Times New Roman" w:cs="Times New Roman" w:eastAsia="Times New Roman" w:hAnsi="Times New Roman"/>
          <w:sz w:val="18"/>
          <w:szCs w:val="18"/>
          <w:color w:val="auto"/>
        </w:rPr>
        <w:t xml:space="preserve"> consist of fees billed for professional services provided in connection with the audit of our annual financial statements, the review of our quarterly financial statements, and audit services that are normally provided by the independent registered public accounting firm in connection with regulatory filings.</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xml:space="preserve"> represent fees for reporting matters associated with the Business Combination and assistance with registration statements, including issuing comfort letters and consents in connection with SEC filings other than the annual audit.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other fees for the years ended December 31, 2025 and 2024.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reviews and pre-approves all audit and permissible non-audit services provided by the independent registered public accounting firm. These services may include audit services, audit-related services and tax services, as well as specifically designated non-audit services which, in the opinion of the Audit Committee, will not impair the independence of the independent registered public accounting firm. Pre-approval generally is provided for up to one year, and any pre-approval is detailed as to the particular service or category of services and generally is subject to a specific budget. The independent registered public accounting firm and our management are required to periodically report to the Audit Committee regarding the extent of services provided by the independent registered public accounting firm in accordance with this pre-approval, including the fees for the services performed to date. In addition, the Audit Committee also may pre-approve particular services on a case-by-case basis, as necessary or appropriate.</w:t>
      </w:r>
    </w:p>
    <w:p>
      <w:pPr>
        <w:spacing w:after="0" w:line="86"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has determined that the rendering of services other than audit services by WithumSmith+Brown, PC is compatible with maintaining the principal accountant’s independence.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consists solely of independent directors, as required by and in compliance with SEC rules and regulations and the Nasdaq listing standards. The Audit Committee operates pursuant to a written charter adopted by the Board.</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is responsible for assisting the Board in its oversight responsibilities related to accounting policies, internal controls, financial reporting, and legal and regulatory compliance. Management of the Company has the primary responsibility for the Company’s financial reporting processes, proper application of accounting principles, and internal controls as well as the preparation of its financial statements. The Company’s independent registered public accounting firm is responsible for performing an audit of the Company’s financial statements and expressing an opinion as to the conformity of such financial statements with accounting principles generally accepted in the United States (“U.S. GAAP”).</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as of and for the year ended December 31, 2025, with management and the independent registered public accounting firm. The Audit Committee has discussed with the independent registered public accounting firm the matters required to be discussed by the applicable requirements of the Public Company Accounting Oversight Board (“PCAOB”) and the SEC. In addition,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its independence.</w:t>
      </w:r>
    </w:p>
    <w:p>
      <w:pPr>
        <w:spacing w:after="0" w:line="8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Based on the review and discussions described above, the Audit Committee recommended to the Board that the Company’s audited financial statements be included in its Annual Report on Form 10-K for the year ended December 31, 2025, for filing with the SEC.</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Sandra Gardiner, (Chair)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Timothy Moran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Sean Salmon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4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as of March 31, 2026.</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3900" w:type="dxa"/>
            <w:vAlign w:val="bottom"/>
          </w:tcPr>
          <w:p>
            <w:pPr>
              <w:ind w:left="162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Usen</w:t>
            </w:r>
          </w:p>
        </w:tc>
        <w:tc>
          <w:tcPr>
            <w:tcW w:w="1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88"/>
              </w:rPr>
              <w:t>59</w:t>
            </w:r>
          </w:p>
        </w:tc>
        <w:tc>
          <w:tcPr>
            <w:tcW w:w="100" w:type="dxa"/>
            <w:vAlign w:val="bottom"/>
            <w:shd w:val="clear" w:color="auto" w:fill="CCEEFF"/>
          </w:tcPr>
          <w:p>
            <w:pPr>
              <w:spacing w:after="0"/>
              <w:rPr>
                <w:sz w:val="21"/>
                <w:szCs w:val="21"/>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Deborah Kaster</w:t>
            </w:r>
          </w:p>
        </w:tc>
        <w:tc>
          <w:tcPr>
            <w:tcW w:w="1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88"/>
              </w:rPr>
              <w:t>56</w:t>
            </w:r>
          </w:p>
        </w:tc>
        <w:tc>
          <w:tcPr>
            <w:tcW w:w="10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tc>
      </w:tr>
    </w:tbl>
    <w:p>
      <w:pPr>
        <w:spacing w:after="0" w:line="137"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Todd Usen. </w:t>
      </w:r>
      <w:r>
        <w:rPr>
          <w:rFonts w:ascii="Times New Roman" w:cs="Times New Roman" w:eastAsia="Times New Roman" w:hAnsi="Times New Roman"/>
          <w:sz w:val="18"/>
          <w:szCs w:val="18"/>
          <w:color w:val="auto"/>
        </w:rPr>
        <w:t>Biographical information for Todd Usen is included above with the director biographies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caption “</w:t>
      </w:r>
      <w:r>
        <w:rPr>
          <w:rFonts w:ascii="Times New Roman" w:cs="Times New Roman" w:eastAsia="Times New Roman" w:hAnsi="Times New Roman"/>
          <w:sz w:val="18"/>
          <w:szCs w:val="18"/>
          <w:i w:val="1"/>
          <w:iCs w:val="1"/>
          <w:color w:val="auto"/>
        </w:rPr>
        <w:t>Nominees for Election to the Board of Directors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Deborah Kaster </w:t>
      </w:r>
      <w:r>
        <w:rPr>
          <w:rFonts w:ascii="Times New Roman" w:cs="Times New Roman" w:eastAsia="Times New Roman" w:hAnsi="Times New Roman"/>
          <w:sz w:val="18"/>
          <w:szCs w:val="18"/>
          <w:color w:val="auto"/>
        </w:rPr>
        <w:t>has served as our Chief Financial Officer since September 2025 and has served as our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Officer since April 2025. From 2020 to June 2024, Ms. Kaster served as the Vice President of Investor Relations at Shockwave Medical, where she led the IR effort at Shockwave from IPO until the company’s acquisition by Johnson &amp; Johnson. From 2016 to 2020, Ms. Kaster was a Managing Director at Gilmartin Group, an investor relations and strategic advisory firm focused on healthcare. Prior to Gilmartin Group, she spent 5 years as Director of Business Development at Kyphon. Ms. Kaster came to Kyphon from Piper Jaffray, where she was a Vice President in the Medical Technology Investment Banking Group, during which time she led deal sourcing, financings and negotiations for over 40 medical device companies, including the Kyphon IPO. Ms. Kaster began her Wall Street career at JPMorgan in Equity Research. She has a BA in Economics from Cornell University and an MBA in Finance and Strategy from The Wharton School of Business at The University of Pennsylvania.</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Each executive officer serves at the discretion of our Board and holds office until the executive officer’s successor is duly elected and qualified or until the executive officer’s earlier resignation or removal.</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To the Company’s knowledge, based solely on a review of the copies of such reports furnished to the Company and written representations that no other reports were required, during the year ended December 31, 2025, all Section 16(a) filing requirements applicable to its officers, directors and greater than ten percent beneficial owners were complied with, except that due to administrative delays, Deborah Kaster had one late Form 3 filing reporting her initial statement of beneficial ownership and Dan George had one late Form 3 filing reporting his initial statement of beneficial ownership.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As an emerging growth company, we are exempt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w:t>
      </w:r>
    </w:p>
    <w:p>
      <w:pPr>
        <w:spacing w:after="0" w:line="7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This section provides an overview of our executive compensation programs as they relate to the executive officers named below (the “named executive officers,” or “NEOs”), including a narrative description of the material factors necessary to understand the information disclosed in the summary compensation table below.</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2025, our named executive officers were:</w:t>
      </w:r>
    </w:p>
    <w:p>
      <w:pPr>
        <w:spacing w:after="0" w:line="117"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Todd Usen, our Chief Executive Officer and Class I director;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Deborah Kaster, our Chief Financial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Hakon Bergheim, our former Chief Operating Officer;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Dahldorf, our former Chief Financial Officer</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February 28, 2025, we announced the departure of Hakon Bergheim, our former Chief Operating Officer, effective immediately. On March 11, 2025, John Dahldorf, our former Chief Financial Officer, announced his decision to resign such position, which resignation was effective March 21, 2025. On April 17, 2025, we appointed Daniel George to serve as Interim Chief Financial Officer.</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On September 5, 2025 (the “Kaster Effective Date”), we appointed Deborah Kaster, our then current Chief Business Officer, to also serve as Chief Financial Officer, and designated Ms. Kaster as our principal financial officer and principal accounting officer. In connection with Ms. Kaster’s appointment, our Interim Chief Financial Officer, principal financial officer and principal accounting officer, Daniel George, stepped down from serving in such capacities on the Kaster Effective Date.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 for the Fiscal Years Ended December 31, 2025 and 2024</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all of the compensation awarded to or earned by or paid to our named executive officers for the fiscal years ended December 31, 2025 and 2024.</w:t>
      </w:r>
    </w:p>
    <w:p>
      <w:pPr>
        <w:spacing w:after="0" w:line="3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0" w:type="dxa"/>
            <w:vAlign w:val="bottom"/>
          </w:tcPr>
          <w:p>
            <w:pPr>
              <w:spacing w:after="0"/>
              <w:rPr>
                <w:sz w:val="13"/>
                <w:szCs w:val="13"/>
                <w:color w:val="auto"/>
              </w:rPr>
            </w:pPr>
          </w:p>
        </w:tc>
        <w:tc>
          <w:tcPr>
            <w:tcW w:w="8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2"/>
                <w:szCs w:val="12"/>
                <w:color w:val="auto"/>
              </w:rPr>
            </w:pPr>
          </w:p>
        </w:tc>
        <w:tc>
          <w:tcPr>
            <w:tcW w:w="62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76"/>
              <w:spacing w:after="0" w:line="202"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17"/>
                <w:szCs w:val="17"/>
                <w:color w:val="auto"/>
              </w:rPr>
            </w:pPr>
          </w:p>
        </w:tc>
        <w:tc>
          <w:tcPr>
            <w:tcW w:w="74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(2)</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(3)</w:t>
            </w:r>
          </w:p>
        </w:tc>
        <w:tc>
          <w:tcPr>
            <w:tcW w:w="100" w:type="dxa"/>
            <w:vAlign w:val="bottom"/>
          </w:tcPr>
          <w:p>
            <w:pPr>
              <w:spacing w:after="0"/>
              <w:rPr>
                <w:sz w:val="17"/>
                <w:szCs w:val="17"/>
                <w:color w:val="auto"/>
              </w:rPr>
            </w:pPr>
          </w:p>
        </w:tc>
        <w:tc>
          <w:tcPr>
            <w:tcW w:w="7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Todd Usen</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1,631,865</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38,608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2,500,473</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22,917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22,917</w:t>
            </w:r>
          </w:p>
        </w:tc>
        <w:tc>
          <w:tcPr>
            <w:tcW w:w="0" w:type="dxa"/>
            <w:vAlign w:val="bottom"/>
          </w:tcPr>
          <w:p>
            <w:pPr>
              <w:spacing w:after="0"/>
              <w:rPr>
                <w:sz w:val="1"/>
                <w:szCs w:val="1"/>
                <w:color w:val="auto"/>
              </w:rPr>
            </w:pPr>
          </w:p>
        </w:tc>
      </w:tr>
      <w:tr>
        <w:trPr>
          <w:trHeight w:val="211"/>
        </w:trPr>
        <w:tc>
          <w:tcPr>
            <w:tcW w:w="2840" w:type="dxa"/>
            <w:vAlign w:val="bottom"/>
          </w:tcPr>
          <w:p>
            <w:pPr>
              <w:spacing w:after="0" w:line="211" w:lineRule="exact"/>
              <w:rPr>
                <w:sz w:val="20"/>
                <w:szCs w:val="20"/>
                <w:color w:val="auto"/>
              </w:rPr>
            </w:pPr>
            <w:r>
              <w:rPr>
                <w:rFonts w:ascii="Times New Roman" w:cs="Times New Roman" w:eastAsia="Times New Roman" w:hAnsi="Times New Roman"/>
                <w:sz w:val="15"/>
                <w:szCs w:val="15"/>
                <w:b w:val="1"/>
                <w:bCs w:val="1"/>
                <w:color w:val="auto"/>
              </w:rPr>
              <w:t>Deborah Kaster</w:t>
            </w:r>
            <w:r>
              <w:rPr>
                <w:rFonts w:ascii="Times New Roman" w:cs="Times New Roman" w:eastAsia="Times New Roman" w:hAnsi="Times New Roman"/>
                <w:sz w:val="24"/>
                <w:szCs w:val="24"/>
                <w:b w:val="1"/>
                <w:bCs w:val="1"/>
                <w:color w:val="auto"/>
                <w:vertAlign w:val="superscript"/>
              </w:rPr>
              <w:t>(4)</w:t>
            </w:r>
          </w:p>
        </w:tc>
        <w:tc>
          <w:tcPr>
            <w:tcW w:w="1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251,902</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101,097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483,038</w:t>
            </w:r>
          </w:p>
        </w:tc>
        <w:tc>
          <w:tcPr>
            <w:tcW w:w="100" w:type="dxa"/>
            <w:vAlign w:val="bottom"/>
          </w:tcPr>
          <w:p>
            <w:pPr>
              <w:spacing w:after="0"/>
              <w:rPr>
                <w:sz w:val="18"/>
                <w:szCs w:val="18"/>
                <w:color w:val="auto"/>
              </w:rPr>
            </w:pPr>
          </w:p>
        </w:tc>
        <w:tc>
          <w:tcPr>
            <w:tcW w:w="8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836,037</w:t>
            </w:r>
          </w:p>
        </w:tc>
        <w:tc>
          <w:tcPr>
            <w:tcW w:w="0" w:type="dxa"/>
            <w:vAlign w:val="bottom"/>
          </w:tcPr>
          <w:p>
            <w:pPr>
              <w:spacing w:after="0"/>
              <w:rPr>
                <w:sz w:val="1"/>
                <w:szCs w:val="1"/>
                <w:color w:val="auto"/>
              </w:rPr>
            </w:pPr>
          </w:p>
        </w:tc>
      </w:tr>
      <w:tr>
        <w:trPr>
          <w:trHeight w:val="268"/>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8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84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Hakon Bergheim</w:t>
            </w:r>
            <w:r>
              <w:rPr>
                <w:rFonts w:ascii="Times New Roman" w:cs="Times New Roman" w:eastAsia="Times New Roman" w:hAnsi="Times New Roman"/>
                <w:sz w:val="27"/>
                <w:szCs w:val="27"/>
                <w:b w:val="1"/>
                <w:bCs w:val="1"/>
                <w:color w:val="auto"/>
                <w:vertAlign w:val="superscript"/>
              </w:rPr>
              <w:t>(5)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53,937</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117,630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171,567</w:t>
            </w:r>
          </w:p>
        </w:tc>
        <w:tc>
          <w:tcPr>
            <w:tcW w:w="0" w:type="dxa"/>
            <w:vAlign w:val="bottom"/>
          </w:tcPr>
          <w:p>
            <w:pPr>
              <w:spacing w:after="0"/>
              <w:rPr>
                <w:sz w:val="1"/>
                <w:szCs w:val="1"/>
                <w:color w:val="auto"/>
              </w:rPr>
            </w:pPr>
          </w:p>
        </w:tc>
      </w:tr>
      <w:tr>
        <w:trPr>
          <w:trHeight w:val="257"/>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Operating Officer</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323,621</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48,543</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372,164</w:t>
            </w:r>
          </w:p>
        </w:tc>
        <w:tc>
          <w:tcPr>
            <w:tcW w:w="0" w:type="dxa"/>
            <w:vAlign w:val="bottom"/>
          </w:tcPr>
          <w:p>
            <w:pPr>
              <w:spacing w:after="0"/>
              <w:rPr>
                <w:sz w:val="1"/>
                <w:szCs w:val="1"/>
                <w:color w:val="auto"/>
              </w:rPr>
            </w:pPr>
          </w:p>
        </w:tc>
      </w:tr>
      <w:tr>
        <w:trPr>
          <w:trHeight w:val="211"/>
        </w:trPr>
        <w:tc>
          <w:tcPr>
            <w:tcW w:w="2840" w:type="dxa"/>
            <w:vAlign w:val="bottom"/>
          </w:tcPr>
          <w:p>
            <w:pPr>
              <w:spacing w:after="0" w:line="211" w:lineRule="exact"/>
              <w:rPr>
                <w:sz w:val="20"/>
                <w:szCs w:val="20"/>
                <w:color w:val="auto"/>
              </w:rPr>
            </w:pPr>
            <w:r>
              <w:rPr>
                <w:rFonts w:ascii="Times New Roman" w:cs="Times New Roman" w:eastAsia="Times New Roman" w:hAnsi="Times New Roman"/>
                <w:sz w:val="15"/>
                <w:szCs w:val="15"/>
                <w:b w:val="1"/>
                <w:bCs w:val="1"/>
                <w:color w:val="auto"/>
              </w:rPr>
              <w:t>John Dahldorf</w:t>
            </w:r>
            <w:r>
              <w:rPr>
                <w:rFonts w:ascii="Times New Roman" w:cs="Times New Roman" w:eastAsia="Times New Roman" w:hAnsi="Times New Roman"/>
                <w:sz w:val="24"/>
                <w:szCs w:val="24"/>
                <w:b w:val="1"/>
                <w:bCs w:val="1"/>
                <w:color w:val="auto"/>
                <w:vertAlign w:val="superscript"/>
              </w:rPr>
              <w:t>(6)</w:t>
            </w:r>
          </w:p>
        </w:tc>
        <w:tc>
          <w:tcPr>
            <w:tcW w:w="1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104,640</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49,037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153,677</w:t>
            </w:r>
          </w:p>
        </w:tc>
        <w:tc>
          <w:tcPr>
            <w:tcW w:w="0" w:type="dxa"/>
            <w:vAlign w:val="bottom"/>
          </w:tcPr>
          <w:p>
            <w:pPr>
              <w:spacing w:after="0"/>
              <w:rPr>
                <w:sz w:val="1"/>
                <w:szCs w:val="1"/>
                <w:color w:val="auto"/>
              </w:rPr>
            </w:pPr>
          </w:p>
        </w:tc>
      </w:tr>
      <w:tr>
        <w:trPr>
          <w:trHeight w:val="261"/>
        </w:trPr>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Former Chief Financial Officer</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67,575</w:t>
            </w:r>
          </w:p>
        </w:tc>
        <w:tc>
          <w:tcPr>
            <w:tcW w:w="1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8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492,575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4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for 2025 for each of Mr. Usen and Ms. Kaster have not been paid as of the date of this proxy statement. See “—Narrative to Summary Compensation Table—Annual Performance Bonuses” below for a description of the material terms of the program pursuant to which this compensation was awarded.</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reflects the aggregate grant date fair value of option awards granted during the year measured pursuant to Accounting Standards Board Accounting Standards Codification Topic 718 (“ASC Topic 718”), the basis for computing stock-based compensation in our financial statements. This calculation assumes that the named executive officer will perform the requisite service for the award to vest in full as required by SEC rules. The fair value of each stock option grant is estimated on the date of grant using the Black-Scholes option pricing model. The significant factors and assumptions incorporated in the Black-Scholes-Merton model used to estimate the value of the options are described in Note 14 to our consolidated financial statements included in our Annual Report on Form 10-K (File No. 001-42199) filed with the SEC on March 27, 2026. These amounts do not reflect the actual economic value that will be realized by the named executive officer upon vesting of the stock options, the exercise of the stock options or the sale of the common stock underlying such stock options.</w:t>
      </w:r>
    </w:p>
    <w:p>
      <w:pPr>
        <w:spacing w:after="0" w:line="102"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(i) $38,608 as a housing allowance for Mr. Usen in 2025, (ii) severance benefits of $80,905 paid to Mr. Bergheim, and (iii) cash payments for accrued but unused vacation in the amounts of $36,725 and $49,037 to Mr. Bergheim and Mr. Dahldorf,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right="379" w:hanging="348"/>
        <w:spacing w:after="0" w:line="261" w:lineRule="auto"/>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Kaster joined the Company in April 2025. The amount shown reflects compensation earned solely during her period of employment in 2025.</w:t>
      </w:r>
    </w:p>
    <w:p>
      <w:pPr>
        <w:ind w:left="640"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Bergheim’s employment with us terminated in February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Dahldorf’s employment with us terminated in March 2025.</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to the Summary Compensation Table</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review compensation annually for all employees, including our executives. In setting executive base salaries and bonuses and granting equity incentive awards,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 We do not target a specific competitive position or a specific mix of compensation among base salary, bonus or long-term incentives.</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Board or the Compensation Committee of our Board determines our executives’ compensation, as appropriate. Our Compensation Committee typically reviews and discusses management’s proposed compensation with the Chief Executive Officer for all executives other than the Chief Executive Officer, which is recommended by our Board. Based on those discussions and its discretion, the Compensation Committee then, without members of management present, discusses and ultimately approves the compensation of our executive officers. In 2024, the Compensation Committee retained Willis Towers Watson, a compensation consulting firm, to evaluate and make recommendations with respect to our executive compensation program and our non-executive director compensation program.</w:t>
      </w:r>
    </w:p>
    <w:p>
      <w:pPr>
        <w:spacing w:after="0" w:line="8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There are three main components to our executive compensation program: base salary, annual performance bonuses and equity incentive compensation.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Annual Base Salary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that establish annual base salaries, which are generally determined, approved and reviewed periodically by our Compensation Committee in order to compensate our named executive officers for the satisfactory performance of duties to the Company. Annual base salaries are intended to provide a fixed component of compensation to our named executive officers, reflecting their expertise, experience, knowledge, roles and responsibilities. Base salaries for our named executive officers have generally been set at levels deemed necessary to attract and retain individuals with superior talent. Merit-based increases to salaries are based on management’s assessment of the named executive officer’s individual performance.</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Mr. Usen’s base salary was $500,000. Ms. Kaster was appointed as our Chief Business Officer in April 2025 and has served as our Chief Financial Officer since September 2025. In connection with her appointment as Chief Financial Officer in September 2025, our Board approved an increase in Ms. Kaster’s base salary to $366,000 from $305,000, and which was subsequently increased to 380,640 in October 2025. Prior to their respective employment terminations, Mr. Bergheim’s and Mr. Dahldorf’s base salaries were $323,621 and $425,000, respectively.</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Annual Performance Bonuses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Each of our executive officers is eligible to receive an annual cash performance bonus under our annual incentive compensation program. Under our 2025 annual incentive compensation program, each of our named executive officers was eligible to receive a cash incentive payment equal to (1) his or her target incentive, expressed as a percentage of annual base salary, multiplied by (2) the percentage achievement of certain 2025 corporate goals established by our Compensation Committee in its sole discretion, and approved by our Board, subject to the named executive officer remaining employed by us through the payment date.</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For 2025, Mr. Usen’s target incentive was set at 50% of his annual base salary, Ms. Kaster’s target incentive was set at 40% of her annual base salary, Mr. Bergheim’s target incentive was set at 40% of his annual base salary, and Mr. Dahldorf’s target incentive was set at 50% of his annual base salary. No formal corporate performance goals were established for 2025; instead, the Compensation Committee exercised discretion in evaluating overall Company performance and individual contributions. Payment of the 2025 annual cash performance bonus for the Chief Executive Officer and the Chief Financial Officer was deferred until the Company meets certain financing goals during 2026. Following their respective employment terminations in early 2025, neither Mr. Bergheim nor Mr. Dahldorf remained eligible for an annual cash performance bonus in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Compensation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equity-based incentive awards granted to our named executive officers are designed to align the interests of our named executive officers with those of our stockholders. Vesting of equity awards is generally tied to each officer’s continuous service with us and serves as an additional retention measure. Our executives generally are awarded an initial new hire grant upon commencement of employment and thereafter on an annual basis. Additional grants may occur periodically in order to specifically incentivize executives with respect to achieving certain corporate goals or to reward executives for exceptional performance. All equity awards granted to our named executive officers are granted pursuant to our 2024 Equity Incentive Plan. See “—Agreements with NEOs” for a description of the options granted to the named executive officers in 2025.</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Benefits Plans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provide benefits to our named executive officers on the same basis as provided to all of our employees, including health, dental and vision insurance, life insurance, accidental death and dismemberment insurance, short-and long-term disability insurance and a tax-qualified Section 401(k) plan for which no match is provided. We do not maintain any executive-specific benefit or perquisite programs.</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maintain a 401(k) retirement savings plan for the benefit of employees, including our named executive officers, who satisfy certain eligibility requirements. The 401(k) plan provides eligible employees with an opportunity to save for retirement on a tax-advantaged basis. Under the 401(k) plan, eligible employees may elect to defer a portion of their compensation, within the limits prescribed by the Internal Revenue Code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We do not provide a match for participants’ elective contributions to the 401(k) plan, nor do we provide to employees, including its named executive officers, any other retirement benefits, including without limitation any tax-qualified defined benefit plans, supplemental executive retirement plans and nonqualified defined contribution plans.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as of December 31, 2025</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equity incentive awards (consisting solely of stock options) held by our named executive officers as of December 31, 2025.</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27"/>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of</w:t>
            </w: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0" w:type="dxa"/>
            <w:vAlign w:val="bottom"/>
          </w:tcPr>
          <w:p>
            <w:pPr>
              <w:spacing w:after="0"/>
              <w:rPr>
                <w:sz w:val="1"/>
                <w:szCs w:val="1"/>
                <w:color w:val="auto"/>
              </w:rPr>
            </w:pPr>
          </w:p>
        </w:tc>
      </w:tr>
      <w:tr>
        <w:trPr>
          <w:trHeight w:val="149"/>
        </w:trPr>
        <w:tc>
          <w:tcPr>
            <w:tcW w:w="1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620" w:type="dxa"/>
            <w:vAlign w:val="bottom"/>
            <w:vMerge w:val="continue"/>
          </w:tcPr>
          <w:p>
            <w:pPr>
              <w:spacing w:after="0"/>
              <w:rPr>
                <w:sz w:val="12"/>
                <w:szCs w:val="12"/>
                <w:color w:val="auto"/>
              </w:rPr>
            </w:pPr>
          </w:p>
        </w:tc>
        <w:tc>
          <w:tcPr>
            <w:tcW w:w="980" w:type="dxa"/>
            <w:vAlign w:val="bottom"/>
            <w:gridSpan w:val="2"/>
          </w:tcPr>
          <w:p>
            <w:pPr>
              <w:jc w:val="center"/>
              <w:ind w:left="26"/>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140" w:type="dxa"/>
            <w:vAlign w:val="bottom"/>
            <w:gridSpan w:val="2"/>
          </w:tcPr>
          <w:p>
            <w:pPr>
              <w:jc w:val="center"/>
              <w:ind w:left="45"/>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195"/>
        </w:trPr>
        <w:tc>
          <w:tcPr>
            <w:tcW w:w="12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20" w:type="dxa"/>
            <w:vAlign w:val="bottom"/>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6"/>
                <w:szCs w:val="16"/>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8"/>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Todd Usen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2/11/2025</w:t>
            </w:r>
          </w:p>
        </w:tc>
        <w:tc>
          <w:tcPr>
            <w:tcW w:w="98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5"/>
                <w:szCs w:val="15"/>
                <w:color w:val="auto"/>
              </w:rPr>
              <w:t>455,141</w:t>
            </w:r>
          </w:p>
        </w:tc>
        <w:tc>
          <w:tcPr>
            <w:tcW w:w="1140" w:type="dxa"/>
            <w:vAlign w:val="bottom"/>
            <w:gridSpan w:val="2"/>
            <w:shd w:val="clear" w:color="auto" w:fill="CCEEFF"/>
          </w:tcPr>
          <w:p>
            <w:pPr>
              <w:jc w:val="right"/>
              <w:spacing w:after="0" w:line="228" w:lineRule="exact"/>
              <w:rPr>
                <w:sz w:val="20"/>
                <w:szCs w:val="20"/>
                <w:color w:val="auto"/>
              </w:rPr>
            </w:pPr>
            <w:r>
              <w:rPr>
                <w:rFonts w:ascii="Times New Roman" w:cs="Times New Roman" w:eastAsia="Times New Roman" w:hAnsi="Times New Roman"/>
                <w:sz w:val="15"/>
                <w:szCs w:val="15"/>
                <w:color w:val="auto"/>
              </w:rPr>
              <w:t>1,365,426</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1.13</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2/11/2035</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6"/>
        </w:trPr>
        <w:tc>
          <w:tcPr>
            <w:tcW w:w="14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Deborah</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4/1/2025</w:t>
            </w:r>
          </w:p>
        </w:tc>
        <w:tc>
          <w:tcPr>
            <w:tcW w:w="100" w:type="dxa"/>
            <w:vAlign w:val="bottom"/>
          </w:tcPr>
          <w:p>
            <w:pPr>
              <w:spacing w:after="0"/>
              <w:rPr>
                <w:sz w:val="18"/>
                <w:szCs w:val="18"/>
                <w:color w:val="auto"/>
              </w:rPr>
            </w:pP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5"/>
                <w:szCs w:val="15"/>
                <w:color w:val="auto"/>
              </w:rPr>
              <w:t>728,000</w:t>
            </w:r>
            <w:r>
              <w:rPr>
                <w:rFonts w:ascii="Times New Roman" w:cs="Times New Roman" w:eastAsia="Times New Roman" w:hAnsi="Times New Roman"/>
                <w:sz w:val="25"/>
                <w:szCs w:val="25"/>
                <w:color w:val="auto"/>
                <w:vertAlign w:val="superscript"/>
              </w:rPr>
              <w:t>(2)</w:t>
            </w:r>
          </w:p>
        </w:tc>
        <w:tc>
          <w:tcPr>
            <w:tcW w:w="120" w:type="dxa"/>
            <w:vAlign w:val="bottom"/>
          </w:tcPr>
          <w:p>
            <w:pPr>
              <w:spacing w:after="0"/>
              <w:rPr>
                <w:sz w:val="18"/>
                <w:szCs w:val="18"/>
                <w:color w:val="auto"/>
              </w:rPr>
            </w:pPr>
          </w:p>
        </w:tc>
        <w:tc>
          <w:tcPr>
            <w:tcW w:w="7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0.84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4/1/2035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Kaster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4/1/2025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5"/>
                <w:szCs w:val="15"/>
                <w:color w:val="auto"/>
              </w:rPr>
              <w:t>91,000</w:t>
            </w:r>
            <w:r>
              <w:rPr>
                <w:rFonts w:ascii="Times New Roman" w:cs="Times New Roman" w:eastAsia="Times New Roman" w:hAnsi="Times New Roman"/>
                <w:sz w:val="25"/>
                <w:szCs w:val="25"/>
                <w:color w:val="auto"/>
                <w:vertAlign w:val="superscript"/>
              </w:rPr>
              <w:t>(3)</w:t>
            </w:r>
          </w:p>
        </w:tc>
        <w:tc>
          <w:tcPr>
            <w:tcW w:w="6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0.84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4/1/2035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9"/>
        </w:trPr>
        <w:tc>
          <w:tcPr>
            <w:tcW w:w="14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Hakon Bergheim</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80" w:type="dxa"/>
            <w:vAlign w:val="bottom"/>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2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72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4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800" w:type="dxa"/>
            <w:vAlign w:val="bottom"/>
          </w:tcPr>
          <w:p>
            <w:pPr>
              <w:jc w:val="right"/>
              <w:ind w:right="2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John Dahldorf</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4"/>
        </w:trPr>
        <w:tc>
          <w:tcPr>
            <w:tcW w:w="12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41" w:lineRule="exact"/>
        <w:rPr>
          <w:sz w:val="20"/>
          <w:szCs w:val="20"/>
          <w:color w:val="auto"/>
        </w:rPr>
      </w:pPr>
    </w:p>
    <w:p>
      <w:pPr>
        <w:jc w:val="both"/>
        <w:ind w:left="640" w:right="299" w:hanging="348"/>
        <w:spacing w:after="0" w:line="24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Twenty-five percent (25%) of the total number of shares subject to the option vested on December 13, 2025 and the remainder shall vest and become exercisable in 36 equal monthly installments thereafter, generally subject to the named executive officer’s continuous service through each applicable vesting date.</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Twenty-five percent (25%) of the total number of shares subject to the option vested on April 1, 2026 and the remainder shall vest and become exercisable in 36 equal monthly installments thereafter, generally subject to the named executive officer’s continuous service through each applicable vesting date.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640" w:right="319" w:hanging="348"/>
        <w:spacing w:after="0" w:line="241" w:lineRule="auto"/>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subject to the option will vest immediately at the time of the consummation of a Change in Control, within the meaning of the 2024 Equity Incentive Plan, that results in total consideration to the Company’s stockholders of more than $250,000,000, generally subject to continued employment through the consummation of such transaction.</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Agreements with NEOs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We have entered into various agreements with each of our named executive officers, the material terms of which are summarized below.</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his appointment as Chief Executive Officer, we entered into an agreement with Mr. Usen (the “Usen Offer Letter”), dated December 12, 2024, pursuant to which Mr. Usen is receiving an annual base salary of $500,000, paid semi-monthly in accordance with our normal payroll practice. Further, the Usen Offer Letter provides that Mr. Usen will receive (i) an annual discretionary performance and retention bonus of up to 50% of his base salary, (ii) a financing bonus in the amount of 16% of the base salary, conditioned upon the Company’s successful closing of an equity financing of the Company and/or non-equity dilutive business development transaction(s) approved by the Board raising a certain amount of gross proceeds; (iii) standard employee benefits offered to executive level employees; and (iv) relocation expenses, up to a maximum of $100,000. Additionally, as provided in the Usen Offer Letter, on February 11, 2025, Mr. Usen received an option to purchase shares of the Company’s Common Stock that represents approximately 5% of the Company’s fully diluted shares outstanding with an exercise price equal to the closing per-share trading price of the Common Stock on the date of grant.</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Pursuant to the Usen Offer Letter, if we terminate Mr. Usen’s employment without “Cause” or if Mr. Usen terminates his employment for “Good Reason” (each as defined in the Usen Offer Letter, a “Qualifying Termination”), he will be entitled to (i) continued payment of his base salary for 12 months and (ii) a prorated amount of the bonus he would have received had he remained employed with us. If however the Qualifying Termination occurs during the period beginning three (3) months before and ending twelve (12) months after a Change in Control (as defined in the Usen Offer Letter), Mr. Usen will instead be entitled to (i) continued payment of his base salary for 18 months and (ii) a lump sum payment equal to his target annual bonus for the year of termination, prorated for the time of his employment during the applicable year. Such severance benefits are conditioned upon Mr. Usen’s execution of a general release of claims among certain other obligations.</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his appointment as Chief Financial Officer of Adagio, we entered into an agreement with John Dahldorf (the “Dahldorf Offer Letter,”) dated April 18, 2023, pursuant to which Mr. Dahldorf received an annual base salary of $425,000, paid semi-monthly in accordance with the Company’s normal payroll practice. Further, the Dahldorf Offer Letter provided that Mr. Dahldorf would receive (i) an annual, discretionary bonus of up to 50% of Mr. Dahldorf’s base salary, based upon specific Company and individual milestones being met. The Dahldorf Offer Letter established “at will” employment, and provided that the Company would recommend to the Board the approval of an option grant to purchase shares of the Company’s common stock. Mr. Dahldorf resigned from his position in March 2025.</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As part of our corporate restructuring announced on February 28, 2025, Hakon Bergheim, departed as our Chief Operating Officer, effective February 28, 2025. In connection with his departure, on February 28, 2025 we entered into a Separation Agreement and General Release with Mr. Bergheim (the “Separation Agreement”). The Separation Agreement provided that Mr. Bergheim would receive all unpaid wages through February 28, 2025 and payment in the amount of $80,905 as severance. As a condition to such severance, Mr. Bergheim provided us with a general release of claims.</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On September 5, 2025, the Board appointed Deborah Kaster, our then current Chief Business Officer, to also serve as Chief Financial Officer, and designated Ms. Kaster as our principal financial officer and principal accounting officer, each effective September 5, 2025. In connection with her appointment as our Chief Financial Officer, effective as of the Kaster Effective Date, we entered into an amended and restated offer letter agreement (the “Amended Offer Letter”) with Ms. Kaster, which, among other terms, provides for an annual base salary of $366,000, per year paid semi-monthly in accordance with our normal payroll practice. Pursuant to the Amended Offer Letter, Ms. Kaster was eligible to receive a salary increase of no less than 4% upon the Company’s successful closing of an equity financing approved by the Board raising gross cash proceeds of at least $5 million, which such financing occurred in October 2025. Further, the Amended Offer Letter provides that Ms. Kaster will receive (i) an annual discretionary performance and retention bonus of up to 40% of her base salary and (ii) standard employee benefits offered to executive level employees. Further, in April 2025 the Company granted Ms. Kaster options to purchase 819,000 shares of the Company’s common stock. Pursuant to the terms of the Amended Offer Letter, such options will vest as follows: (i) options to purchase 728,000 shares of the Company’s common stock (the “Time-Based Option”) shall vest generally subject to</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Ms. Kaster’s continued employment over a four-year period, whereby twenty-five percent (25%) of Ms. Kaster Time-Based Option shares will vest on April 1, 2026, with the remaining shares subject to the Time-Based Option vesting in thirty-six (36) equal monthly installments thereafter, in each case generally subject to Ms. Kaster’s continued employment with the Company through the applicable vesting dates, and (ii) the remaining options to purchase 91,000 shares of the Company’s common stock will vest immediately at the time of the consummation of a Change in Control, within the meaning of the Company’s 2024 Equity Incentive Plan, that results in total consideration to the Company’s stockholders of more than $250,000,000, generally subject to continued employment through the consummation of such transaction.</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Pursuant to the Amended Offer Letter, if the Company terminates Ms. Kaster’s employment without “Cause” or if Ms. Kaster terminates her employment for “Good Reason” (each as defined in the Amended Offer Letter, a “Qualifying Termination”), she will be entitled to (i) continued payment of her base salary for 6 months and (ii) a prorated amount of the bonus she would have received had she remained employed with the Company. If however the Qualifying Termination occurs during the period beginning three (3) months before and ending twelve (12) months after a Change in Control, Ms. Kaster will instead be entitled to (i) continued payment of her base salary for 12 months and (ii) a lump sum payment equal to her target annual bonus for the year of termination, prorated for the time of her employment during the applicable year. Such severance benefits are conditioned upon Ms. Kaster’s execution of a general release of claims among certain other obligations. Pursuant to the Amended Offer Letter, Ms. Kaster is employed on an “at will” basis.</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July 2024, the Compensation Committee of our Board adopted our Incentive Compensation Recoupment Policy (the “Clawback Policy”), designed to comply with Rule 10D-1 of the Exchange Act and Nasdaq Listing Rule 5608, which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 (as defined in the Clawback Policy) is subject to recoupment.</w:t>
      </w:r>
    </w:p>
    <w:p>
      <w:pPr>
        <w:spacing w:after="0" w:line="333" w:lineRule="exact"/>
        <w:rPr>
          <w:sz w:val="20"/>
          <w:szCs w:val="20"/>
          <w:color w:val="auto"/>
        </w:rPr>
      </w:pPr>
    </w:p>
    <w:p>
      <w:pPr>
        <w:ind w:left="300" w:right="1019"/>
        <w:spacing w:after="0" w:line="286" w:lineRule="auto"/>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5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From time to time, we grant stock options to our employees, including our named executive officers. Also, non-employee directors receive automatic grants of initial and annual stock option awards, on the date of each annual meeting of stockholders, pursuant to the non-employee director compensation policy, as further described under the heading, “Director Compensation- Non-Employee Director Compensation Program” below. We do not otherwise maintain any written policies on the timing of awards of stock options, stock appreciation rights, or similar instruments with option-like features. The Compensation Committee considers whether there is any material nonpublic information (“MNPI”) about the Company when determining the timing of stock option grants and does not seek to time the award of stock options in relation to our public disclosure of MNPI. We have not timed the release of MNPI for the purpose of affecting the value of executive compensation.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Program</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is a description of the standard compensation arrangements under which our non-employee directors are compensated for their service as directors, including as members of the various committees of our Board, which was adopted in March 2025 after consultation with Willis Towers Watson.</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Each non-employee director receives an annual base retainer of $40,000. In addition, our non-employee directors receive the following cash compensation for committee services, as applicable:</w:t>
      </w:r>
    </w:p>
    <w:p>
      <w:pPr>
        <w:spacing w:after="0" w:line="54" w:lineRule="exact"/>
        <w:rPr>
          <w:sz w:val="20"/>
          <w:szCs w:val="20"/>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chair of our Audit, Compensation and Nominating and Corporate Governance committees receives an additional annual retainer of $20,000, $13,000 and $10,000, respectively; and</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non-chair member of our Audit, Compensation and Nominating and Corporate Governance committees receives an additional annual retainer of $10,000, $7,000 and $5,000, respectively</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These retainers are payable in arrears in four equal quarterly installments, with payments made in the month following the end of each quarter. Payments are prorated for any partial periods of service.</w:t>
      </w:r>
    </w:p>
    <w:p>
      <w:pPr>
        <w:spacing w:after="0" w:line="5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addition, non-employee directors, when first appointed to the Board, other than the chairperson of the Board, are eligible to receive an initial option to purchase 90,000 shares of our common stock. The shares subject to each such stock option will vest in equal monthly installments over a three-year period, generally subject to the director’s continued service as a director. Further, on the date of each annual meeting of stockholders, each non-employee director, other than the chairperson of the Board, who continues to serve as a non-employee member on our Board will receive an option to purchase 30,000 shares of our common stock. The shares subject to each such stock option will vest in equal monthly installments over a one-year period, generally subject to the director’s continued service as a director. In addition, a chairperson, when first appointed to the Board is eligible to receive an initial option to purchase 300,000 shares of our common stock. The shares subject to each such stock option will vest in equal monthly installments over a three-year period, generally subject to the chairperson’s continued service as a director. Moreover, on the date of each annual meeting of stockholders, if the chairperson continues to serve as the chairperson of our Board, the chairperson will receive an option to purchase 100,000 shares of our common stock. The shares subject to each such stock option will vest in equal monthly installments over a one-year period, generally subject to the chairperson’s continued service as a director. The exercise price of these options will equal the fair market value of our common stock on the date of grant. Vested stock options will be exercisable during any period of service to the Company and for one-year thereafter; provided, that no stock option shall be exercisable more than ten years after the date of the stock option grant. Upon the adoption of the non-employee director compensation policy described above, in March 2025, our then current non-employee directors were granted initial stock options consistent with those available to non-employee directors first appointed to the Board, with vesting service commencing from July 31, 2024.</w:t>
      </w:r>
    </w:p>
    <w:p>
      <w:pPr>
        <w:spacing w:after="0" w:line="8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This policy is intended to provide a total compensation package that enables us to attract and retain qualified and experienced individuals to serve as directors and to align our directors’ interests with those of our stockholders.</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All directors are entitled to reimbursement of ordinary expenses incurred in connection with attendance at meetings of our Board.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Non-Employee Director Compensation Table</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for the year ended December 31, 2025, regarding the compensation awarded to or earned by our non-employee directors. Mr. Usen is not included in the table below, as he was an employee and received no additional compensation for his service as director. As a named executive officer, the compensation received by Mr. Usen is shown above in “Executive Compensation—Summary Compensation Table for the Fiscal Years Ended December 31, 2025 and 2024.”</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60" w:type="dxa"/>
            <w:vAlign w:val="bottom"/>
          </w:tcPr>
          <w:p>
            <w:pPr>
              <w:spacing w:after="0"/>
              <w:rPr>
                <w:sz w:val="13"/>
                <w:szCs w:val="13"/>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5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16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8"/>
                <w:szCs w:val="18"/>
                <w:color w:val="auto"/>
              </w:rPr>
            </w:pPr>
          </w:p>
        </w:tc>
        <w:tc>
          <w:tcPr>
            <w:tcW w:w="600" w:type="dxa"/>
            <w:vAlign w:val="bottom"/>
            <w:tcBorders>
              <w:bottom w:val="single" w:sz="8" w:color="auto"/>
            </w:tcBorders>
          </w:tcPr>
          <w:p>
            <w:pPr>
              <w:ind w:left="80"/>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1"/>
                <w:szCs w:val="11"/>
                <w:b w:val="1"/>
                <w:bCs w:val="1"/>
                <w:color w:val="auto"/>
              </w:rPr>
              <w:t>(1)(2)</w:t>
            </w: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 Cox</w:t>
            </w:r>
          </w:p>
        </w:tc>
        <w:tc>
          <w:tcPr>
            <w:tcW w:w="10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45,000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286,336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331,336</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Sandra Gardiner</w:t>
            </w:r>
          </w:p>
        </w:tc>
        <w:tc>
          <w:tcPr>
            <w:tcW w:w="1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60,000</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60,460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120,460</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Keyvan Mirsaeedi-Farahani</w:t>
            </w:r>
          </w:p>
        </w:tc>
        <w:tc>
          <w:tcPr>
            <w:tcW w:w="10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50,000</w:t>
            </w: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60,460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110,460</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Orly Mishan</w:t>
            </w:r>
          </w:p>
        </w:tc>
        <w:tc>
          <w:tcPr>
            <w:tcW w:w="1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6"/>
              </w:rPr>
              <w:t>52,000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201,534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253,534</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Moran</w:t>
            </w:r>
          </w:p>
        </w:tc>
        <w:tc>
          <w:tcPr>
            <w:tcW w:w="108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6"/>
              </w:rPr>
              <w:t>57,000</w:t>
            </w: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60,460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117,460</w:t>
            </w:r>
          </w:p>
        </w:tc>
        <w:tc>
          <w:tcPr>
            <w:tcW w:w="0" w:type="dxa"/>
            <w:vAlign w:val="bottom"/>
          </w:tcPr>
          <w:p>
            <w:pPr>
              <w:spacing w:after="0"/>
              <w:rPr>
                <w:sz w:val="1"/>
                <w:szCs w:val="1"/>
                <w:color w:val="auto"/>
              </w:rPr>
            </w:pPr>
          </w:p>
        </w:tc>
      </w:tr>
      <w:tr>
        <w:trPr>
          <w:trHeight w:val="39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Sean Salmon</w:t>
            </w:r>
            <w:r>
              <w:rPr>
                <w:rFonts w:ascii="Times New Roman" w:cs="Times New Roman" w:eastAsia="Times New Roman" w:hAnsi="Times New Roman"/>
                <w:sz w:val="29"/>
                <w:szCs w:val="29"/>
                <w:color w:val="auto"/>
                <w:vertAlign w:val="superscript"/>
              </w:rPr>
              <w:t>(3)</w:t>
            </w:r>
          </w:p>
        </w:tc>
        <w:tc>
          <w:tcPr>
            <w:tcW w:w="10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4,750</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61,734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109855</wp:posOffset>
            </wp:positionV>
            <wp:extent cx="822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8" w:lineRule="exact"/>
        <w:rPr>
          <w:sz w:val="20"/>
          <w:szCs w:val="20"/>
          <w:color w:val="auto"/>
        </w:rPr>
      </w:pPr>
    </w:p>
    <w:p>
      <w:pPr>
        <w:jc w:val="both"/>
        <w:ind w:left="640" w:right="299" w:hanging="348"/>
        <w:spacing w:after="0" w:line="23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disclosed represent the aggregate grant date fair value of the stock options granted under our 2024 Equity Incentive Plan, computed in accordance with ASC Topic 718. The fair value of each stock option grant is estimated on the date of grant using the Black-Scholes option pricing model. The significant factors and assumptions incorporated in the Black-Scholes-Merton model used to estimate the value of the options are described in Note 14 to our consolidated financial statements included in our Annual Report on Form 10-K (File No. 001-42199) filed with the SEC on March 27, 2026. This amount does not reflect the actual economic value that may be realized by such director.</w:t>
      </w:r>
    </w:p>
    <w:p>
      <w:pPr>
        <w:spacing w:after="0" w:line="15"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below shows the aggregate number of option awards outstanding for each of our directors who is not a named executive officer, as of December 31, 2025:</w:t>
      </w:r>
    </w:p>
    <w:p>
      <w:pPr>
        <w:spacing w:after="0" w:line="17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8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6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23"/>
        </w:trPr>
        <w:tc>
          <w:tcPr>
            <w:tcW w:w="6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James L. Cox</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454,000</w:t>
            </w:r>
          </w:p>
        </w:tc>
        <w:tc>
          <w:tcPr>
            <w:tcW w:w="0" w:type="dxa"/>
            <w:vAlign w:val="bottom"/>
          </w:tcPr>
          <w:p>
            <w:pPr>
              <w:spacing w:after="0"/>
              <w:rPr>
                <w:sz w:val="1"/>
                <w:szCs w:val="1"/>
                <w:color w:val="auto"/>
              </w:rPr>
            </w:pPr>
          </w:p>
        </w:tc>
      </w:tr>
      <w:tr>
        <w:trPr>
          <w:trHeight w:val="188"/>
        </w:trPr>
        <w:tc>
          <w:tcPr>
            <w:tcW w:w="6280" w:type="dxa"/>
            <w:vAlign w:val="bottom"/>
          </w:tcPr>
          <w:p>
            <w:pPr>
              <w:spacing w:after="0"/>
              <w:rPr>
                <w:sz w:val="20"/>
                <w:szCs w:val="20"/>
                <w:color w:val="auto"/>
              </w:rPr>
            </w:pPr>
            <w:r>
              <w:rPr>
                <w:rFonts w:ascii="Times New Roman" w:cs="Times New Roman" w:eastAsia="Times New Roman" w:hAnsi="Times New Roman"/>
                <w:sz w:val="14"/>
                <w:szCs w:val="14"/>
                <w:color w:val="auto"/>
              </w:rPr>
              <w:t>Sandra Gardiner</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90,000</w:t>
            </w:r>
          </w:p>
        </w:tc>
        <w:tc>
          <w:tcPr>
            <w:tcW w:w="0" w:type="dxa"/>
            <w:vAlign w:val="bottom"/>
          </w:tcPr>
          <w:p>
            <w:pPr>
              <w:spacing w:after="0"/>
              <w:rPr>
                <w:sz w:val="1"/>
                <w:szCs w:val="1"/>
                <w:color w:val="auto"/>
              </w:rPr>
            </w:pPr>
          </w:p>
        </w:tc>
      </w:tr>
      <w:tr>
        <w:trPr>
          <w:trHeight w:val="19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Keyvan Mirsaeedi-Farahani</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90,000</w:t>
            </w:r>
          </w:p>
        </w:tc>
        <w:tc>
          <w:tcPr>
            <w:tcW w:w="0" w:type="dxa"/>
            <w:vAlign w:val="bottom"/>
          </w:tcPr>
          <w:p>
            <w:pPr>
              <w:spacing w:after="0"/>
              <w:rPr>
                <w:sz w:val="1"/>
                <w:szCs w:val="1"/>
                <w:color w:val="auto"/>
              </w:rPr>
            </w:pPr>
          </w:p>
        </w:tc>
      </w:tr>
      <w:tr>
        <w:trPr>
          <w:trHeight w:val="188"/>
        </w:trPr>
        <w:tc>
          <w:tcPr>
            <w:tcW w:w="6280" w:type="dxa"/>
            <w:vAlign w:val="bottom"/>
          </w:tcPr>
          <w:p>
            <w:pPr>
              <w:spacing w:after="0"/>
              <w:rPr>
                <w:sz w:val="20"/>
                <w:szCs w:val="20"/>
                <w:color w:val="auto"/>
              </w:rPr>
            </w:pPr>
            <w:r>
              <w:rPr>
                <w:rFonts w:ascii="Times New Roman" w:cs="Times New Roman" w:eastAsia="Times New Roman" w:hAnsi="Times New Roman"/>
                <w:sz w:val="14"/>
                <w:szCs w:val="14"/>
                <w:color w:val="auto"/>
              </w:rPr>
              <w:t>Orly Mishan</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300,000</w:t>
            </w:r>
          </w:p>
        </w:tc>
        <w:tc>
          <w:tcPr>
            <w:tcW w:w="0" w:type="dxa"/>
            <w:vAlign w:val="bottom"/>
          </w:tcPr>
          <w:p>
            <w:pPr>
              <w:spacing w:after="0"/>
              <w:rPr>
                <w:sz w:val="1"/>
                <w:szCs w:val="1"/>
                <w:color w:val="auto"/>
              </w:rPr>
            </w:pPr>
          </w:p>
        </w:tc>
      </w:tr>
      <w:tr>
        <w:trPr>
          <w:trHeight w:val="19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Timothy Moran</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90,000</w:t>
            </w:r>
          </w:p>
        </w:tc>
        <w:tc>
          <w:tcPr>
            <w:tcW w:w="0" w:type="dxa"/>
            <w:vAlign w:val="bottom"/>
          </w:tcPr>
          <w:p>
            <w:pPr>
              <w:spacing w:after="0"/>
              <w:rPr>
                <w:sz w:val="1"/>
                <w:szCs w:val="1"/>
                <w:color w:val="auto"/>
              </w:rPr>
            </w:pPr>
          </w:p>
        </w:tc>
      </w:tr>
      <w:tr>
        <w:trPr>
          <w:trHeight w:val="188"/>
        </w:trPr>
        <w:tc>
          <w:tcPr>
            <w:tcW w:w="6280" w:type="dxa"/>
            <w:vAlign w:val="bottom"/>
          </w:tcPr>
          <w:p>
            <w:pPr>
              <w:spacing w:after="0"/>
              <w:rPr>
                <w:sz w:val="20"/>
                <w:szCs w:val="20"/>
                <w:color w:val="auto"/>
              </w:rPr>
            </w:pPr>
            <w:r>
              <w:rPr>
                <w:rFonts w:ascii="Times New Roman" w:cs="Times New Roman" w:eastAsia="Times New Roman" w:hAnsi="Times New Roman"/>
                <w:sz w:val="14"/>
                <w:szCs w:val="14"/>
                <w:color w:val="auto"/>
              </w:rPr>
              <w:t>Sean Salmon</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90,000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640" w:hanging="34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Sean Salmon, amounts are prorated for Mr. Salmon’s partial period of service. Mr. Salmon joined our Board in December 2025</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actual beneficial ownership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as of March 31, 2026, by:</w:t>
      </w:r>
    </w:p>
    <w:p>
      <w:pPr>
        <w:spacing w:after="0" w:line="99"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nominee for director;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the Company to be the beneficial owner of more than 5% of the Company’s outstanding shares Common Stock;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and directors of the Company as a group</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in accordance with SEC rules, which generally provides that a person has beneficial ownership of a security if he, she or it possesses sole or shared voting or investment power with respect to the security. Under SEC rules, beneficial ownership includes securities that the individual or entity has the right to acquire, such as through exercise of stock options or warrants, within 60 days and are deemed to be outstanding and beneficially owned by the persons holding those options or warrants for the purpose of computing the number of shares beneficially owned and the percentage ownership of that person. They are not, however, deemed to be outstanding and beneficially owned for the purpose of computing the percentage ownership of any other person.</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beneficial ownership percentages set forth in the table below are based on 22,210,459 shares of Common Stock issued and outstanding as of March 31, 2026, adjusted as required by rules promulgated by the SEC. Unless otherwise noted in the footnotes to the following table, and subject to applicable community property laws, the persons and entities named in the table have sole voting and investment power with respect to their beneficially owned Common Stock.</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Owners</w:t>
            </w:r>
            <w:r>
              <w:rPr>
                <w:rFonts w:ascii="Times New Roman" w:cs="Times New Roman" w:eastAsia="Times New Roman" w:hAnsi="Times New Roman"/>
                <w:sz w:val="23"/>
                <w:szCs w:val="23"/>
                <w:b w:val="1"/>
                <w:bCs w:val="1"/>
                <w:color w:val="auto"/>
                <w:vertAlign w:val="superscript"/>
              </w:rPr>
              <w:t>(1)</w:t>
            </w:r>
          </w:p>
        </w:tc>
        <w:tc>
          <w:tcPr>
            <w:tcW w:w="300" w:type="dxa"/>
            <w:vAlign w:val="bottom"/>
          </w:tcPr>
          <w:p>
            <w:pPr>
              <w:spacing w:after="0"/>
              <w:rPr>
                <w:sz w:val="13"/>
                <w:szCs w:val="13"/>
                <w:color w:val="auto"/>
              </w:rPr>
            </w:pPr>
          </w:p>
        </w:tc>
        <w:tc>
          <w:tcPr>
            <w:tcW w:w="82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4"/>
        </w:trPr>
        <w:tc>
          <w:tcPr>
            <w:tcW w:w="66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Executive Officers and Directors</w:t>
            </w:r>
          </w:p>
        </w:tc>
        <w:tc>
          <w:tcPr>
            <w:tcW w:w="300" w:type="dxa"/>
            <w:vAlign w:val="bottom"/>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6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James L. Cox</w:t>
            </w:r>
            <w:r>
              <w:rPr>
                <w:rFonts w:ascii="Times New Roman" w:cs="Times New Roman" w:eastAsia="Times New Roman" w:hAnsi="Times New Roman"/>
                <w:sz w:val="29"/>
                <w:szCs w:val="29"/>
                <w:color w:val="auto"/>
                <w:vertAlign w:val="superscript"/>
              </w:rPr>
              <w:t>(2)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453,198</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83"/>
        </w:trPr>
        <w:tc>
          <w:tcPr>
            <w:tcW w:w="66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Deborah Kaster</w:t>
            </w:r>
            <w:r>
              <w:rPr>
                <w:rFonts w:ascii="Times New Roman" w:cs="Times New Roman" w:eastAsia="Times New Roman" w:hAnsi="Times New Roman"/>
                <w:sz w:val="29"/>
                <w:szCs w:val="29"/>
                <w:color w:val="auto"/>
                <w:vertAlign w:val="superscript"/>
              </w:rPr>
              <w:t>(3)</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212,166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6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Sandra Gardiner</w:t>
            </w:r>
            <w:r>
              <w:rPr>
                <w:rFonts w:ascii="Times New Roman" w:cs="Times New Roman" w:eastAsia="Times New Roman" w:hAnsi="Times New Roman"/>
                <w:sz w:val="29"/>
                <w:szCs w:val="29"/>
                <w:color w:val="auto"/>
                <w:vertAlign w:val="superscript"/>
              </w:rPr>
              <w:t>(4)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6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Keyvan Mirsaeedi-Farahani</w:t>
            </w:r>
            <w:r>
              <w:rPr>
                <w:rFonts w:ascii="Times New Roman" w:cs="Times New Roman" w:eastAsia="Times New Roman" w:hAnsi="Times New Roman"/>
                <w:sz w:val="29"/>
                <w:szCs w:val="29"/>
                <w:color w:val="auto"/>
                <w:vertAlign w:val="superscript"/>
              </w:rPr>
              <w:t>(5)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6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Orly Mishan</w:t>
            </w:r>
            <w:r>
              <w:rPr>
                <w:rFonts w:ascii="Times New Roman" w:cs="Times New Roman" w:eastAsia="Times New Roman" w:hAnsi="Times New Roman"/>
                <w:sz w:val="29"/>
                <w:szCs w:val="29"/>
                <w:color w:val="auto"/>
                <w:vertAlign w:val="superscript"/>
              </w:rPr>
              <w:t>(6)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6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Timothy Moran</w:t>
            </w:r>
            <w:r>
              <w:rPr>
                <w:rFonts w:ascii="Times New Roman" w:cs="Times New Roman" w:eastAsia="Times New Roman" w:hAnsi="Times New Roman"/>
                <w:sz w:val="29"/>
                <w:szCs w:val="29"/>
                <w:color w:val="auto"/>
                <w:vertAlign w:val="superscript"/>
              </w:rPr>
              <w:t>(7)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66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Sean Salmon</w:t>
            </w:r>
            <w:r>
              <w:rPr>
                <w:rFonts w:ascii="Times New Roman" w:cs="Times New Roman" w:eastAsia="Times New Roman" w:hAnsi="Times New Roman"/>
                <w:sz w:val="29"/>
                <w:szCs w:val="29"/>
                <w:color w:val="auto"/>
                <w:vertAlign w:val="superscript"/>
              </w:rPr>
              <w:t>(8)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66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Todd Usen</w:t>
            </w:r>
            <w:r>
              <w:rPr>
                <w:rFonts w:ascii="Times New Roman" w:cs="Times New Roman" w:eastAsia="Times New Roman" w:hAnsi="Times New Roman"/>
                <w:sz w:val="29"/>
                <w:szCs w:val="29"/>
                <w:color w:val="auto"/>
                <w:vertAlign w:val="superscript"/>
              </w:rPr>
              <w:t>(9)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852,099</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83"/>
        </w:trPr>
        <w:tc>
          <w:tcPr>
            <w:tcW w:w="66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All current directors and executive officers as a group (eight individuals)</w:t>
            </w:r>
            <w:r>
              <w:rPr>
                <w:rFonts w:ascii="Times New Roman" w:cs="Times New Roman" w:eastAsia="Times New Roman" w:hAnsi="Times New Roman"/>
                <w:sz w:val="29"/>
                <w:szCs w:val="29"/>
                <w:color w:val="auto"/>
                <w:vertAlign w:val="superscript"/>
              </w:rPr>
              <w:t>(10)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1,859,963</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4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Former Executive Officers</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Hakon Bergheim</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6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Entities affiliated with Perceptive Advisors LLC</w:t>
            </w:r>
            <w:r>
              <w:rPr>
                <w:rFonts w:ascii="Times New Roman" w:cs="Times New Roman" w:eastAsia="Times New Roman" w:hAnsi="Times New Roman"/>
                <w:sz w:val="29"/>
                <w:szCs w:val="29"/>
                <w:color w:val="auto"/>
                <w:vertAlign w:val="superscript"/>
              </w:rPr>
              <w:t>(11)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15,321,655</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84"/>
        </w:trPr>
        <w:tc>
          <w:tcPr>
            <w:tcW w:w="66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Alyeska Master Fund, L.P.</w:t>
            </w:r>
            <w:r>
              <w:rPr>
                <w:rFonts w:ascii="Times New Roman" w:cs="Times New Roman" w:eastAsia="Times New Roman" w:hAnsi="Times New Roman"/>
                <w:sz w:val="29"/>
                <w:szCs w:val="29"/>
                <w:color w:val="auto"/>
                <w:vertAlign w:val="superscript"/>
              </w:rPr>
              <w:t>(12)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2,336,384</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w:t>
            </w:r>
          </w:p>
        </w:tc>
        <w:tc>
          <w:tcPr>
            <w:tcW w:w="0" w:type="dxa"/>
            <w:vAlign w:val="bottom"/>
          </w:tcPr>
          <w:p>
            <w:pPr>
              <w:spacing w:after="0"/>
              <w:rPr>
                <w:sz w:val="1"/>
                <w:szCs w:val="1"/>
                <w:color w:val="auto"/>
              </w:rPr>
            </w:pPr>
          </w:p>
        </w:tc>
      </w:tr>
      <w:tr>
        <w:trPr>
          <w:trHeight w:val="283"/>
        </w:trPr>
        <w:tc>
          <w:tcPr>
            <w:tcW w:w="6600" w:type="dxa"/>
            <w:vAlign w:val="bottom"/>
          </w:tcPr>
          <w:p>
            <w:pPr>
              <w:spacing w:after="0" w:line="284" w:lineRule="exact"/>
              <w:rPr>
                <w:sz w:val="20"/>
                <w:szCs w:val="20"/>
                <w:color w:val="auto"/>
              </w:rPr>
            </w:pPr>
            <w:r>
              <w:rPr>
                <w:rFonts w:ascii="Times New Roman" w:cs="Times New Roman" w:eastAsia="Times New Roman" w:hAnsi="Times New Roman"/>
                <w:sz w:val="18"/>
                <w:szCs w:val="18"/>
                <w:color w:val="auto"/>
              </w:rPr>
              <w:t>Entities affiliated with RA Capital Management, L.P.</w:t>
            </w:r>
            <w:r>
              <w:rPr>
                <w:rFonts w:ascii="Times New Roman" w:cs="Times New Roman" w:eastAsia="Times New Roman" w:hAnsi="Times New Roman"/>
                <w:sz w:val="29"/>
                <w:szCs w:val="29"/>
                <w:color w:val="auto"/>
                <w:vertAlign w:val="superscript"/>
              </w:rPr>
              <w:t>(13)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83"/>
        </w:trPr>
        <w:tc>
          <w:tcPr>
            <w:tcW w:w="6600" w:type="dxa"/>
            <w:vAlign w:val="bottom"/>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Entities affiliated with Sio Capital Management, LLC</w:t>
            </w:r>
            <w:r>
              <w:rPr>
                <w:rFonts w:ascii="Times New Roman" w:cs="Times New Roman" w:eastAsia="Times New Roman" w:hAnsi="Times New Roman"/>
                <w:sz w:val="29"/>
                <w:szCs w:val="29"/>
                <w:color w:val="auto"/>
                <w:vertAlign w:val="superscript"/>
              </w:rPr>
              <w:t>(14)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1,288,461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39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ADAR1 Capital Management LLC</w:t>
            </w:r>
            <w:r>
              <w:rPr>
                <w:rFonts w:ascii="Times New Roman" w:cs="Times New Roman" w:eastAsia="Times New Roman" w:hAnsi="Times New Roman"/>
                <w:sz w:val="29"/>
                <w:szCs w:val="29"/>
                <w:color w:val="auto"/>
                <w:vertAlign w:val="superscript"/>
              </w:rPr>
              <w:t>(15)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1,205,447</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109855</wp:posOffset>
            </wp:positionV>
            <wp:extent cx="8229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8" w:lineRule="exact"/>
        <w:rPr>
          <w:sz w:val="20"/>
          <w:szCs w:val="20"/>
          <w:color w:val="auto"/>
        </w:rPr>
      </w:pPr>
    </w:p>
    <w:p>
      <w:pPr>
        <w:ind w:left="640" w:hanging="348"/>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42" w:lineRule="exact"/>
        <w:rPr>
          <w:sz w:val="20"/>
          <w:szCs w:val="20"/>
          <w:color w:val="auto"/>
        </w:rPr>
      </w:pPr>
    </w:p>
    <w:p>
      <w:pPr>
        <w:jc w:val="both"/>
        <w:ind w:left="640" w:right="299"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table is based upon information supplied by officers, directors and principal stockholders and Schedules 13D and 13G filed with the SEC.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The business address of each beneficial owner unless otherwise stated is 26051 Merit Cir #102, Laguna Hills, CA 92653.</w:t>
      </w:r>
    </w:p>
    <w:p>
      <w:pPr>
        <w:spacing w:after="0" w:line="152"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36,698 shares of common stock and (b) 416,500 shares of common stock issuable upon exercise of options exercisable within 60 days of March 31, 2026.</w:t>
      </w:r>
    </w:p>
    <w:p>
      <w:pPr>
        <w:ind w:left="640" w:right="319" w:hanging="348"/>
        <w:spacing w:after="0" w:line="261" w:lineRule="auto"/>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15,000 shares of common stock and (b) 197,166 shares of common stock issuable upon exercise of options exercisable within 60 days of March 31, 2026.</w:t>
      </w:r>
    </w:p>
    <w:p>
      <w:pPr>
        <w:ind w:left="640" w:hanging="348"/>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52,500 shares of common stock issuable upon exercise of options exercisable within 60 days of March 31, 2026.</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52,500 shares of common stock issuable upon exercise of options exercisable within 60 days of March 31,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175,000 shares of common stock issuable upon exercise of options exercisable within 60 days of March 31,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52,500 shares of common stock issuable upon exercise of options exercisable within 60 days of March 31,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10,000 shares of common stock issuable upon exercise of options exercisable within 60 days of March 31, 2026.</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207,315 shares of common stock and (b) 644,784 shares of common stock issuable upon exercise of options exercisable within 60 days of March 31, 2026.</w:t>
      </w:r>
    </w:p>
    <w:p>
      <w:pPr>
        <w:ind w:left="640" w:right="319" w:hanging="348"/>
        <w:spacing w:after="0" w:line="261"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(a) 259,013 shares of common stock and (b) 1,600,950 shares of common stock issuable upon exercise of options exercisable within 60 days of March 31, 2026.</w:t>
      </w:r>
    </w:p>
    <w:p>
      <w:pPr>
        <w:ind w:left="640" w:hanging="348"/>
        <w:spacing w:after="0"/>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9,675,684 shares of Common Stock directly held by Perceptive Life Sciences Master Fund, Ltd. (the “Master Fund”),</w:t>
      </w:r>
    </w:p>
    <w:p>
      <w:pPr>
        <w:spacing w:after="0" w:line="3" w:lineRule="exact"/>
        <w:rPr>
          <w:rFonts w:ascii="Times New Roman" w:cs="Times New Roman" w:eastAsia="Times New Roman" w:hAnsi="Times New Roman"/>
          <w:sz w:val="14"/>
          <w:szCs w:val="14"/>
          <w:color w:val="auto"/>
        </w:rPr>
      </w:pPr>
    </w:p>
    <w:p>
      <w:pPr>
        <w:jc w:val="both"/>
        <w:ind w:left="640" w:right="299" w:firstLine="3"/>
        <w:spacing w:after="0" w:line="225" w:lineRule="auto"/>
        <w:tabs>
          <w:tab w:leader="none" w:pos="864"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directly held by the Master Fund exercisable into 5,445,069 shares of Common Stock, and (iii) 200,902 shares of Common Stock directly held by C2 Life Sciences LLC (“C2”). Such amounts do not include shares of common stock issuable upon exercise of pre-funded warrants and warrants that may not be exercised if the aggregate number of shares of common stock beneficially owned by entities affiliated with Master Fund would exceed 9.99% of the total number of shares of our common stock then issued and outstanding after giving effect to such exercise. Perceptive Advisors LLC (the “Advisor”) serves as the investment manager of the Master Fund and C2. Joseph Edelman serves as the managing member of the Advisor. Accordingly, the Advisor and Mr. Edelman have voting and investment discretion with respect to, and may be deemed to beneficially own, the shares of Common Stock and warrants held of record by the Master Fund and C2. The Advisor does not directly hold any shares of Common Stock or warrants. The principal business address of each of these persons and entities is 51 Astor Place, 10th Floor, New York, NY 10003.</w:t>
      </w:r>
    </w:p>
    <w:p>
      <w:pPr>
        <w:spacing w:after="0" w:line="16"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1,159,615 shares of Common Stock and (ii) Milestone Warrants (as defined below) exercisable into 1,176,769 shares of Common Stock, in each case held by Alyeska Master Fund, L.P. Such amounts do not include shares of common stock issuable upon exercise of warrants that may not be exercised if the aggregate number of shares of common stock beneficially owned by entities affiliated with Alyeska Master Fund, L.P. would exceed 9.99% of the total number of shares of our common stock then issued and outstanding after giving effect to such exercise. Alyeska Investment Group, L.P., the investment manager of Alyeska Master Fund, L.P., has voting and investment control of the shares held by Alyeska Master Fund, L.P. Anand Parekh is the Chief Executive Officer of Alyeska Investment Group, L.P. and may be deemed to be the beneficial owner of such shares. Mr. Parekh, however, disclaims any beneficial ownership of the shares held by Alyeska Master Fund, L.P.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16"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warrants held directly by RA Capital Healthcare Fund, L.P. (“RA Capital Fund”) that are exercisable for an aggregate of up to 1,140,000 shares of Common Stock and (ii) warrants held directly by RA Capital Nexus Fund II, L.P. (“Nexus Fund II”) that are exercisable for an aggregate of up to 60,000 shares of Common Stock. RA Capital Healthcare Fund GP, LLC is the general partner of RA Capital Fund and RA Capital Nexus Fund II GP, LLC is the general partner of Nexus Fund II. The general partner of RA Capital is RA Capital Management GP, LLC, of which Peter Kolchinsky and Rajeev Shah are the controlling persons. RA Capital serves as investment adviser for each of RA Capital Fund and Nexus Fund II and may be deemed a beneficial owner, for purposes of Section 13(d) of the Act, of any securities of Adagio held by RA Capital Fund or Nexus Fund II. Each of RA Capital Fund and Nexus Fund II has delegated to RA Capital Management, L.P. (“RA Capital”) the sole power to vote and the sole power to dispose of all securities held in its portfolio, including the shares of Common Stock reported herein. As managers of RA Capital, Dr. Kolchinsky and Mr. Shah may be deemed beneficial owners, for purposes of Section 13(d) of the Act, of any securities of the Issuer beneficially owned by RA Capital. The principal business address of the persons and entities listed above is 200 Berkeley Street, 18th Floor, Boston, MA 02116.</w:t>
      </w:r>
    </w:p>
    <w:p>
      <w:pPr>
        <w:spacing w:after="0" w:line="19" w:lineRule="exact"/>
        <w:rPr>
          <w:rFonts w:ascii="Times New Roman" w:cs="Times New Roman" w:eastAsia="Times New Roman" w:hAnsi="Times New Roman"/>
          <w:sz w:val="14"/>
          <w:szCs w:val="14"/>
          <w:color w:val="auto"/>
        </w:rPr>
      </w:pPr>
    </w:p>
    <w:p>
      <w:pPr>
        <w:jc w:val="both"/>
        <w:ind w:left="640" w:right="299" w:hanging="348"/>
        <w:spacing w:after="0" w:line="223"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191,845 shares of common stock held by Compass Offshore SAV II PCC Limited (“Compass Offshore”), (ii) 287,788 shares of common stock held by Compass SAV II (“Compass SAV”), (iii) 345,311 shares of common stock held by Sio Partners Offshore LTD (“Sio Offshore”), and (iv) 463,517 shares of common stock held by Sio Partners, LP (“Sio Partners”). Such amounts do not include shares of common stock issuable upon exercise of warrants that may not be exercised if the aggregate number of shares of common stock beneficially owned by entities affiliated with Sio Capital Management, LLC would exceed 4.99% of the total number of shares of our common stock then issued and outstanding after giving effect to such exercise. Sio Capital Management, LLC (“Sio Management”) is the investment manager of Sio Partners, Sio Offshore, Compass SAV, and Compass Offshore, and Michael Castor is the sole owner and Managing Member of Sio Management. Sio Management and Mr. Castor may be deemed to beneficially own the securities held by Sio Partners, Sio Offshore, Compass SAV, and Compass Offshore. Sio GP LLC is the General Partner of Sio Partners. Each of Sio Capital Management LLC, Sio GP LLC and Michael Castor disclaims beneficial ownership over the securities held of record by stockholders, except to the extent of its or his pecuniary interest therein. The business address of each of the foregoing entities and persons is c/o Sio Capital Management, LLC, 600 Third Avenue,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4"/>
          <w:szCs w:val="14"/>
          <w:color w:val="auto"/>
        </w:rPr>
        <w:t xml:space="preserve"> Floor, New York, NY 10016.</w:t>
      </w:r>
    </w:p>
    <w:p>
      <w:pPr>
        <w:spacing w:after="0" w:line="1" w:lineRule="exact"/>
        <w:rPr>
          <w:rFonts w:ascii="Times New Roman" w:cs="Times New Roman" w:eastAsia="Times New Roman" w:hAnsi="Times New Roman"/>
          <w:sz w:val="14"/>
          <w:szCs w:val="14"/>
          <w:color w:val="auto"/>
        </w:rPr>
      </w:pPr>
    </w:p>
    <w:p>
      <w:pPr>
        <w:jc w:val="both"/>
        <w:ind w:left="640" w:right="299" w:hanging="348"/>
        <w:spacing w:after="0" w:line="225" w:lineRule="auto"/>
        <w:tabs>
          <w:tab w:leader="none" w:pos="6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1,054,697 shares of common stock held by ADAR1 Partners, LP (“ADAR1 LP”) and (ii) 150,750 shares of common stock held by Spearhead Insurance Solutions IDF, LLC - Series ADAR1 (“Spearhead”). Such amounts do not include shares of common stock issuable upon exercise of warrants that may not be exercised if the aggregate number of shares of common stock beneficially owned by entities affiliated with ADAR1 Capital Management LLC would exceed 4.99% of the total number of shares of our common stock then issued and outstanding after giving effect to such exercise. As the investment manager of ADAR1 LP and as the sub-advisor of Spearhead, ADAR1 Capital Management, LLC, or ADAR1, may be deemed to indirectly beneficially own securities held by ADAR1 LP and Spearhead. Mr. Daniel Schneeberger is the Manager of ADAR1 and may be deemed to indirectly beneficially own securities held by ADAR1 LP and Spearhead. The address of ADAR1 is 3503 Wild Cherry Drive, Building 9, Austin, TX 78738. The address of Spearhead is 3828 Kennett Pike, Suite 202, Greenville, DE 19807.</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our equity incentive plans, which were our only equity compensation plans in effect as of December 31, 2025.</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40" w:type="dxa"/>
            <w:vAlign w:val="bottom"/>
          </w:tcPr>
          <w:p>
            <w:pPr>
              <w:spacing w:after="0"/>
              <w:rPr>
                <w:sz w:val="12"/>
                <w:szCs w:val="12"/>
                <w:color w:val="auto"/>
              </w:rPr>
            </w:pPr>
          </w:p>
        </w:tc>
        <w:tc>
          <w:tcPr>
            <w:tcW w:w="13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w:t>
            </w:r>
          </w:p>
        </w:tc>
        <w:tc>
          <w:tcPr>
            <w:tcW w:w="24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40" w:type="dxa"/>
            <w:vAlign w:val="bottom"/>
          </w:tcPr>
          <w:p>
            <w:pPr>
              <w:spacing w:after="0"/>
              <w:rPr>
                <w:sz w:val="12"/>
                <w:szCs w:val="12"/>
                <w:color w:val="auto"/>
              </w:rPr>
            </w:pPr>
          </w:p>
        </w:tc>
        <w:tc>
          <w:tcPr>
            <w:tcW w:w="13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24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40" w:type="dxa"/>
            <w:vAlign w:val="bottom"/>
          </w:tcPr>
          <w:p>
            <w:pPr>
              <w:spacing w:after="0"/>
              <w:rPr>
                <w:sz w:val="12"/>
                <w:szCs w:val="12"/>
                <w:color w:val="auto"/>
              </w:rPr>
            </w:pPr>
          </w:p>
        </w:tc>
        <w:tc>
          <w:tcPr>
            <w:tcW w:w="12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3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149"/>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2"/>
                <w:szCs w:val="12"/>
                <w:color w:val="auto"/>
              </w:rPr>
            </w:pPr>
          </w:p>
        </w:tc>
        <w:tc>
          <w:tcPr>
            <w:tcW w:w="12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40" w:type="dxa"/>
            <w:vAlign w:val="bottom"/>
          </w:tcPr>
          <w:p>
            <w:pPr>
              <w:spacing w:after="0"/>
              <w:rPr>
                <w:sz w:val="12"/>
                <w:szCs w:val="12"/>
                <w:color w:val="auto"/>
              </w:rPr>
            </w:pPr>
          </w:p>
        </w:tc>
        <w:tc>
          <w:tcPr>
            <w:tcW w:w="12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190"/>
        </w:trPr>
        <w:tc>
          <w:tcPr>
            <w:tcW w:w="38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(b)</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3"/>
        </w:trPr>
        <w:tc>
          <w:tcPr>
            <w:tcW w:w="3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152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5,785,552</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4,215,510</w:t>
            </w:r>
            <w:r>
              <w:rPr>
                <w:rFonts w:ascii="Times New Roman" w:cs="Times New Roman" w:eastAsia="Times New Roman" w:hAnsi="Times New Roman"/>
                <w:sz w:val="29"/>
                <w:szCs w:val="29"/>
                <w:color w:val="auto"/>
                <w:vertAlign w:val="superscript"/>
              </w:rPr>
              <w:t>(2)</w:t>
            </w:r>
          </w:p>
        </w:tc>
        <w:tc>
          <w:tcPr>
            <w:tcW w:w="0" w:type="dxa"/>
            <w:vAlign w:val="bottom"/>
          </w:tcPr>
          <w:p>
            <w:pPr>
              <w:spacing w:after="0"/>
              <w:rPr>
                <w:sz w:val="1"/>
                <w:szCs w:val="1"/>
                <w:color w:val="auto"/>
              </w:rPr>
            </w:pPr>
          </w:p>
        </w:tc>
      </w:tr>
      <w:tr>
        <w:trPr>
          <w:trHeight w:val="24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1520" w:type="dxa"/>
            <w:vAlign w:val="bottom"/>
            <w:gridSpan w:val="4"/>
            <w:vMerge w:val="continue"/>
            <w:shd w:val="clear" w:color="auto" w:fill="CCEEFF"/>
          </w:tcPr>
          <w:p>
            <w:pPr>
              <w:spacing w:after="0"/>
              <w:rPr>
                <w:sz w:val="21"/>
                <w:szCs w:val="21"/>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460" w:type="dxa"/>
            <w:vAlign w:val="bottom"/>
            <w:shd w:val="clear" w:color="auto" w:fill="CCEEFF"/>
          </w:tcPr>
          <w:p>
            <w:pPr>
              <w:spacing w:after="0"/>
              <w:rPr>
                <w:sz w:val="21"/>
                <w:szCs w:val="21"/>
                <w:color w:val="auto"/>
              </w:rPr>
            </w:pPr>
          </w:p>
        </w:tc>
        <w:tc>
          <w:tcPr>
            <w:tcW w:w="1540" w:type="dxa"/>
            <w:vAlign w:val="bottom"/>
            <w:gridSpan w:val="4"/>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holders</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gridSpan w:val="2"/>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5,785,552</w:t>
            </w:r>
          </w:p>
        </w:tc>
        <w:tc>
          <w:tcPr>
            <w:tcW w:w="2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w:t>
            </w:r>
            <w:r>
              <w:rPr>
                <w:rFonts w:ascii="Times New Roman" w:cs="Times New Roman" w:eastAsia="Times New Roman" w:hAnsi="Times New Roman"/>
                <w:sz w:val="18"/>
                <w:szCs w:val="18"/>
                <w:u w:val="single" w:color="auto"/>
                <w:color w:val="auto"/>
                <w:w w:val="95"/>
              </w:rPr>
              <w:t>95</w:t>
            </w:r>
          </w:p>
        </w:tc>
        <w:tc>
          <w:tcPr>
            <w:tcW w:w="46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4,215,510</w:t>
            </w:r>
          </w:p>
        </w:tc>
        <w:tc>
          <w:tcPr>
            <w:tcW w:w="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underlying options granted pursuant to our 2024 Equity Incentive Plan.</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our 2024 Equity Incentive Plan, 2024 Employee Stock Purchase Plan and 2024 Key Employee Equity Incentive Plan. The number of shares of our common stock reserved for issuance under our 2024 Equity Incentive Plan automatically increases on January 1 of each year, continuing through and including January 1, 2034 by 5% of the total number of shares of our common stock outstanding on December 31 of the preceding calendar year, or a lesser number of shares determined by our Board of Directors. Pursuant to this provision, we added 3,273,751 shares of common stock that are available for issuance under the 2024 Equity Incentive Plan on January 1, 2026, which is not reflected in the table above. No shares have been issued under the 2024 Employee Stock Purchase Plan as of December 31, 2025.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Our Board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Common Stock), including any of their immediate family members and affiliates, including entities owned or controlled by such persons.</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Under the policy, the related person in question or, in the case of transactions with a holder of more than 5% of any class of our voting securities, an officer with knowledge of a proposed transaction, must present information regarding the proposed related person transaction to the Audit Committee (or, where review by the Audit Committee would be inappropriate, to another independent body of the Board) for review. To identify related person transactions in advance, we will rely on information supplied by our executive officers, directors and certain significant stockholders. In considering related person transactions, the Audit Committee will take into account the relevant available facts and circumstances, which may include, but are not limited to:</w:t>
      </w:r>
    </w:p>
    <w:p>
      <w:pPr>
        <w:spacing w:after="0" w:line="81"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us;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will approve only those transactions that it determines are fair to us and in our best interests. All of the transactions described above were entered into prior to the adoption of such policy.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2024 to which we have been a party, in which the amount involved in the transaction exceeded $120,000 and in which any of our directors, executive officers or, to our knowledge, beneficial owners of more than 5% of our voting securities or any member of the immediate family of any of the foregoing persons had or will have a direct or indirect material interest. Other than described below, there have not been, nor are there currently any proposed, transactions or series of similar transactions to which we have been or will be a party other than compensation arrangements, which include equity and other compensation, termination, change in control and other arrangements, which are described under “Executive Compensation” and “Director Compensation.”</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2025 PIPE Financing</w:t>
      </w:r>
    </w:p>
    <w:p>
      <w:pPr>
        <w:spacing w:after="0" w:line="121" w:lineRule="exact"/>
        <w:rPr>
          <w:sz w:val="20"/>
          <w:szCs w:val="20"/>
          <w:color w:val="auto"/>
        </w:rPr>
      </w:pPr>
    </w:p>
    <w:p>
      <w:pPr>
        <w:jc w:val="both"/>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On October 14, 2025, we entered into a Securities Purchase Agreement (the “Securities Purchase Agreement”) with certain accredited investors (the “Purchasers”) whereby the Company issued and sold to the Purchasers in a private placement (the “2025 PIPE Financing”): (i) 9,792,506 shares of our common stock, par value $0.0001 (the “Shares”), or pre-funded warrants to purchase shares of Common Stock in lieu thereof, and (ii) accompanying</w:t>
      </w:r>
    </w:p>
    <w:p>
      <w:pPr>
        <w:spacing w:after="0" w:line="3" w:lineRule="exact"/>
        <w:rPr>
          <w:sz w:val="20"/>
          <w:szCs w:val="20"/>
          <w:color w:val="auto"/>
        </w:rPr>
      </w:pPr>
    </w:p>
    <w:p>
      <w:pPr>
        <w:jc w:val="both"/>
        <w:ind w:left="300" w:right="299" w:hanging="8"/>
        <w:spacing w:after="0" w:line="251" w:lineRule="auto"/>
        <w:tabs>
          <w:tab w:leader="none" w:pos="55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Tranche A Warrants to purchase an aggregate of 6,012,943 shares of Common Stock (or pre-funded warrants in lieu thereof) (the “Tranche A Warrants”), Tranche B Warrants to purchase an aggregate of 6,012,943 shares of Common Stock (or pre-funded warrants in lieu thereof) (the “Tranche B Warrants”) and Tranche C Warrants to purchase an aggregate of 6,012,943 shares of Common Stock (or pre-funded warrants in lieu thereof) (the “Tranche C Warrants” and, together with the Tranche A and Tranche B Warrants, the “Milestone Warrants”), for aggregate gross proceeds of approximately $19 million (excluding up to approximately $31 million of aggregate gross proceeds that may be received in the future upon the cash exercise in full of the Milestone Warrants), before deducting placement agent fees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81" w:lineRule="auto"/>
        <w:rPr>
          <w:sz w:val="20"/>
          <w:szCs w:val="20"/>
          <w:color w:val="auto"/>
        </w:rPr>
      </w:pPr>
      <w:r>
        <w:rPr>
          <w:rFonts w:ascii="Times New Roman" w:cs="Times New Roman" w:eastAsia="Times New Roman" w:hAnsi="Times New Roman"/>
          <w:sz w:val="17"/>
          <w:szCs w:val="17"/>
          <w:color w:val="auto"/>
        </w:rPr>
        <w:t>and other expenses payable by the Company. Each Share and each pre-funded warrant sold pursuant to the Securities Purchase Agreement will be accompanied by one Tranche A Warrant, one Tranche B Warrant and one Tranche C Warrant. The combined purchase price of each Share and accompanying Milestone Warrants was $1.9403 and the combined purchase price of each pre-funded warrant and accompanying Milestone Warrants was $1.9402.</w:t>
      </w:r>
    </w:p>
    <w:p>
      <w:pPr>
        <w:spacing w:after="0" w:line="56"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table below sets for the aggregate number of shares of our common stock and pre-funded warrants to purchase shares of our common stock issued to our related parties in the 2025 PIPE Financing:</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Pre-funded</w:t>
            </w:r>
          </w:p>
        </w:tc>
        <w:tc>
          <w:tcPr>
            <w:tcW w:w="120" w:type="dxa"/>
            <w:vAlign w:val="bottom"/>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Milestone</w:t>
            </w: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purchase</w:t>
            </w:r>
          </w:p>
        </w:tc>
        <w:tc>
          <w:tcPr>
            <w:tcW w:w="0" w:type="dxa"/>
            <w:vAlign w:val="bottom"/>
          </w:tcPr>
          <w:p>
            <w:pPr>
              <w:spacing w:after="0"/>
              <w:rPr>
                <w:sz w:val="1"/>
                <w:szCs w:val="1"/>
                <w:color w:val="auto"/>
              </w:rPr>
            </w:pPr>
          </w:p>
        </w:tc>
      </w:tr>
      <w:tr>
        <w:trPr>
          <w:trHeight w:val="148"/>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0" w:type="dxa"/>
            <w:vAlign w:val="bottom"/>
          </w:tcPr>
          <w:p>
            <w:pPr>
              <w:spacing w:after="0"/>
              <w:rPr>
                <w:sz w:val="1"/>
                <w:szCs w:val="1"/>
                <w:color w:val="auto"/>
              </w:rPr>
            </w:pPr>
          </w:p>
        </w:tc>
      </w:tr>
      <w:tr>
        <w:trPr>
          <w:trHeight w:val="190"/>
        </w:trPr>
        <w:tc>
          <w:tcPr>
            <w:tcW w:w="4120" w:type="dxa"/>
            <w:vAlign w:val="bottom"/>
            <w:vMerge w:val="continue"/>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20" w:type="dxa"/>
            <w:vAlign w:val="bottom"/>
            <w:gridSpan w:val="2"/>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gridSpan w:val="2"/>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80" w:type="dxa"/>
            <w:vAlign w:val="bottom"/>
            <w:gridSpan w:val="2"/>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4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Perceptive Advisors LLC</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2,190,496</w:t>
            </w:r>
          </w:p>
        </w:tc>
        <w:tc>
          <w:tcPr>
            <w:tcW w:w="84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4,034,997</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4,250,000.34</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Alyeska Master Fund, L.P.</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1,159,615</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2,136,177</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2,250,000.98</w:t>
            </w:r>
          </w:p>
        </w:tc>
        <w:tc>
          <w:tcPr>
            <w:tcW w:w="0" w:type="dxa"/>
            <w:vAlign w:val="bottom"/>
          </w:tcPr>
          <w:p>
            <w:pPr>
              <w:spacing w:after="0"/>
              <w:rPr>
                <w:sz w:val="1"/>
                <w:szCs w:val="1"/>
                <w:color w:val="auto"/>
              </w:rPr>
            </w:pPr>
          </w:p>
        </w:tc>
      </w:tr>
      <w:tr>
        <w:trPr>
          <w:trHeight w:val="252"/>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Armistice Capital Master Fund Ltd.</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1,030,822</w:t>
            </w:r>
          </w:p>
        </w:tc>
        <w:tc>
          <w:tcPr>
            <w:tcW w:w="84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1,898,820</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2,000,000.84</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Sio Capital Management, LLC</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1,288,461</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w w:val="99"/>
              </w:rPr>
              <w:t>2,373,531</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2,500,000.88</w:t>
            </w: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ADAR1 Capital Management</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LLC</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1,159,614</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w w:val="99"/>
              </w:rPr>
              <w:t>2,136,177</w:t>
            </w:r>
          </w:p>
        </w:tc>
        <w:tc>
          <w:tcPr>
            <w:tcW w:w="10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2,249,999.04</w:t>
            </w:r>
          </w:p>
        </w:tc>
        <w:tc>
          <w:tcPr>
            <w:tcW w:w="0" w:type="dxa"/>
            <w:vAlign w:val="bottom"/>
          </w:tcPr>
          <w:p>
            <w:pPr>
              <w:spacing w:after="0"/>
              <w:rPr>
                <w:sz w:val="1"/>
                <w:szCs w:val="1"/>
                <w:color w:val="auto"/>
              </w:rPr>
            </w:pPr>
          </w:p>
        </w:tc>
      </w:tr>
      <w:tr>
        <w:trPr>
          <w:trHeight w:val="54"/>
        </w:trPr>
        <w:tc>
          <w:tcPr>
            <w:tcW w:w="4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Private Placement, the Company entered into a Registration Rights Agreement, dated October 14, 2025, with the Purchasers (the “PIPE Registration Rights Agreement”), pursuant to which the Company has agreed to file a registration statement under the Securities Act of 1933, as amended (the “Securities Act”), with the Securities and Exchange Commission (the “SEC”), covering the resale of the Shares and the shares of Common</w:t>
      </w:r>
    </w:p>
    <w:p>
      <w:pPr>
        <w:spacing w:after="0" w:line="3" w:lineRule="exact"/>
        <w:rPr>
          <w:sz w:val="20"/>
          <w:szCs w:val="20"/>
          <w:color w:val="auto"/>
        </w:rPr>
      </w:pPr>
    </w:p>
    <w:p>
      <w:pPr>
        <w:jc w:val="both"/>
        <w:ind w:left="300" w:right="299"/>
        <w:spacing w:after="0" w:line="231" w:lineRule="auto"/>
        <w:rPr>
          <w:sz w:val="20"/>
          <w:szCs w:val="20"/>
          <w:color w:val="auto"/>
        </w:rPr>
      </w:pPr>
      <w:r>
        <w:rPr>
          <w:rFonts w:ascii="Times New Roman" w:cs="Times New Roman" w:eastAsia="Times New Roman" w:hAnsi="Times New Roman"/>
          <w:sz w:val="18"/>
          <w:szCs w:val="18"/>
          <w:color w:val="auto"/>
        </w:rPr>
        <w:t>Stock issuable upon exercise of the Pre-Funded Warrants and the Milestone Warrants no later than the 45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date of the PIPE Registration Rights Agreement (the “Filing Deadline”), and to use reasonable best efforts to have the registration statement declared effective within a specified period after the Filing Deadline. Certain cash penalties will apply to the Company in the event of registration failures, as described in the PIPE Registration Rights Agreement.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2024 PIPE Financing</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color w:val="auto"/>
        </w:rPr>
        <w:t>Pursuant to amended and restated subscription agreements, dated July 31, 2024 (the “Subscription Agreements”), by and among the Company, ARYA and, certain investors (the “2024 PIPE Investors”), the 2024 PIPE Investors committed financing valued at approximately $64,500,000 (the “2024 PIPE Financing”). The 2024 PIPE Financing is comprised of: (i) commitments by certain investors to subscribe for and purchase Class A ordinary shares of ARYA in the open market for $2,500,000 and not to redeem such shares prior to the Closing Date;</w:t>
      </w:r>
    </w:p>
    <w:p>
      <w:pPr>
        <w:spacing w:after="0" w:line="3" w:lineRule="exact"/>
        <w:rPr>
          <w:sz w:val="20"/>
          <w:szCs w:val="20"/>
          <w:color w:val="auto"/>
        </w:rPr>
      </w:pPr>
    </w:p>
    <w:p>
      <w:pPr>
        <w:jc w:val="both"/>
        <w:ind w:left="300" w:right="299" w:hanging="8"/>
        <w:spacing w:after="0" w:line="251" w:lineRule="auto"/>
        <w:tabs>
          <w:tab w:leader="none" w:pos="60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by certain investors that were shareholders of ARYA not to redeem approximately 247,700 Class A ordinary shares of ARYA; (iii) agreements to subscribe for and purchase on the Closing Date approximately 1,036,666 shares of Common Stock and approximately 1,440,000 warrants and 670,000 pre-funded warrants for an aggregate purchase price of approximately $12,000,000; (iv) the contribution of $29,500,000 of convertible promissory notes to Legacy Adagio and any interest that has been accruing and will remain unpaid thereon prior to the Closing Date pursuant to the terms of the Subscription Agreement executed by Perceptive Life Sciences Master Fund, Ltd. (the “Perceptive PIPE Investor”); and (v) an additional cash investment by the Perceptive PIPE Investor of approximately $15,875,568.</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Security Financing</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the Business Combination, certain investors (“Convert Investors”) executed a securities purchase agreement, dated February 13, 2024, with ListCo (the “Convertible Security Subscription Agreement”), pursuant to which we issued on the Closing Date to the Convert Investors $20.0 million of 13% senior secured convertible notes (the “Convertible Notes”), which will be convertible into shares of Common Stock at a conversion price of $10.00 per share, subject to adjustment, and warrants (the “Convert Warrants”), each Convert Warrant being exercisable on a cashless basis or for cash at a price of $24.00 per share, subject to adjustment (the “Convertible Security Financing”). Such $20,000,000 of financing in the form of Convertible Notes included the conversion of a $7.0 million convertible promissory note of Legacy Adagio (the “2024 Bridge Financing Note”) concurrently issued pursuant to a note purchase agreement, dated February 13, 2024, by and among the Perceptive PIPE Investor, Legacy Adagio and ListCo (the “2024 Bridge Financing Note Subscription Agreement”), into a Convertible Note and Convert Warrants on the Closing Date. The Convertible Notes have a maturity of three years and nine months after the Closing Date and interest will be payable in cash or compound as additional principal outstanding. On the Closing Date, pursuant to the terms of the 2024 Bridge Financing Note and the 2024 Bridge Financing Note Subscription Agreement,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2024 Bridge Financing Note converted into $7,000,000 in aggregate principal amount Convertible Note and 525,000 Convert Warrants on the same terms as the other Convert Investors that executed the Convertible Security Subscription Agreement.</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February 13, 2024, ARYA, ListCo, and the other parties thereto, entered into that certain Investor Rights Agreement (the “Investor Rights Agreement”) pursuant to which, among other things, certain stockholders and investors were granted certain customary registration rights. Further, subject to customary exceptions set forth in the Investor Rights Agreement, the shares of Common Stock beneficially owned or owned of record by ARYA Sciences Holdings IV, a Cayman Islands exempted company (the “Sponsor”), certain officers and directors of ARYA and Adagio Medical, Inc., and certain other holders (including any shares of Common Stock issued pursuant to the Business Combination Agreement or the 2024 PIPE Financing) will be subject to a lock-up period beginning on the Closing Date until the date that is the earlier of (i) 365 days following the Closing Date (or six months after the Closing Date for certain holders) or (ii) the first date subsequent to the Closing Date with respect to which the closing price of the shares of Common Stock equals or exceeds $12.00 per share for any 20 trading days within any 30-trading day period commencing at least 150 days after the Closing Date.</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Sponsor Letter Agreement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the Sponsor, each holder of Class B ordinary shares of ARYA (together with the Sponsor, the “Class B Shareholders”), including ARYA’s directors and officers (together with the Class B Shareholders, the “Insiders”), Adagio and Legacy Adagio entered into a letter agreement (the “Sponsor Letter Agreement”), pursuant to which, among other things, (i) each of the Insiders and ARYA agreed to terminate the lock-up provisions contained in that certain Letter Agreement, dated as of February 25, 2021 between ARYA, the Sponsor and the other parties thereto, and to replace such lock-up provisions with the transfer restrictions included in the Investor Rights Agreement and (ii) the Sponsor agreed that 1,147,500 shares of Common Stock issued to the Sponsor will be subject to the vesting of the 1,147,500 shares of Common Stock, which will vest if, after the Closing Date, the share price of the Common Stock exceeds $24.00 per share.</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Adagio Stockholder Transaction Support Agreements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Pursuant to the Business Combination Agreement, certain stockholders of Legacy Adagio entered into transaction support agreements with ARYA and Legacy Adagio, pursuant to which such stockholders of Legacy Adagio agreed to, among other things, (i) vote in favor of the Business Combination Agreement and the transactions contemplated thereby and (ii) be bound by certain other covenants and agreements related to the Business Combination.</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Convert Registration Rights Agreement</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the Convertible Security Financing, Adagio and the Convert Investors entered into a registration rights agreement, dated as of July 31, 2024 (the “Convert Registration Rights Agreement”), pursuant to which we are required to file a registration statement on Form S-3 or, if not available, Form S-1 (the “Convert Registration Statement”) with the SEC to register for resale all of the Registrable Securities (as defined in the Convert Registration Rights Agreement), as soon as practicable, but in no event later than 45 calendar days after the Closing Date. In the event that the number of shares registered for resale under the Convert Registration Statement is insufficient to cover all of the Registrable Securities (as defined in the Convert Registration Rights Agreement), we will amend the Convert Registration Statement or file with the SEC a new registration statement to cover at least the Required Registration Amount (as defined in the Convert Registration Rights Agreement) as of the trading day immediately preceding the date of the filing of such amendment or new registration statement, as soon as practicable, but in any event not later than 15 days after the necessity therefor arises.</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we failed to file the Convert Registration Statement when required, failed to obtain effectiveness by the SEC when required or fail to maintain the effectiveness of the Convert Registration Statement pursuant to the terms of Section 2(e) of the Convert Registration Rights Agreement, then as partial relief for the damages to any holder by reason of any such delay in or reduction of, its ability to sell the underlying shares of Common Stock, we will be required to pay each holder of Registrable Securities (as defined in the Convert Registration Rights Agreement) relating to such Convert Registration Statement an amount equal to one percent of such Convert Investor’s original principal amount according to the timelines laid out in Section 2(e) of the Convert Registration Rights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foregoing descriptions of the Convert Registration Rights Agreement does not purport to be complete and is qualified in its entirety by the terms and conditions thereof, the form of which is incorporated herein by reference.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Our Charter provides that we will indemnify our directors and officers to the fullest extent permitted by Delaware law, subject to certain exceptions.</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also entered into indemnification agreements with each of our directors and executive officers. The indemnification agreements provide the indemnitees with contractual rights to indemnification, and expense advancement and reimbursement, to the fullest extent permitted under Delaware law, subject to certain exceptions contained in those agreements.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Olav Bergheim, our former Chief Executive Officer and Chairman of the Board, is father to Hakon Bergheim, our former Chief Operating Officer. There are no family relationships among any of our current directors or executive officers.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 FOR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for the 2027 Annual Meeting of Stockholders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Stockholders of the Company may submit proposals that they believe should be voted upon at the Company’s annual meeting of Stockholders or nominate persons for election to the Board.</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Pursuant to Rule 14a-8 under the Exchange Act, stockholder proposals meeting certain requirements may be eligible for inclusion in the Company’s proxy statement for the Company’s 2027 Annual Meeting of Stockholders. To be eligible for inclusion in the Company’s 2027 proxy statement, any such stockholder proposals must be submitted in writing no later than December 31, 2026, to 26051 Merit Circle, Suite 102, Laguna Hills, CA, 92653, in addition to complying with certain rules and regulations promulgated by the SEC. The submission of a stockholder proposal does not guarantee that it will be included in the Company’s proxy statement.</w:t>
      </w:r>
    </w:p>
    <w:p>
      <w:pPr>
        <w:spacing w:after="0" w:line="7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Alternatively, in accordance with the “advance notice” provisions of our bylaws, stockholders seeking to present a stockholder proposal or nomination at the Company’s 2027 Annual Meeting of Stockholders, without having it included in the Company’s proxy statement, must timely submit notice of such proposal or nomination. To be timely, a stockholder’s notice must be received by the Corporate Secretary at the principal executive offices of the Company not later than the close of business on the 90th day nor earlier than the close of business on the 120th day before the first anniversary of the 2027 Annual Meeting of Stockholders, unless the date of the 2027 Annual Meeting of Stockholders is advanced by more than 25 days or delayed by more than 25 days from the anniversary of the 2026 Annual Meeting of Stockholders. For the Company’s 2027 Annual Meeting of Stockholders, this means that any such proposal or nomination must be submitted no earlier than February 16, 2027 and no later than March 18, 2027. If the date of the 2027 Annual Meeting of Stockholders is advanced by more than 25 days or delayed by more than 25 days from the anniversary of the 2026 Annual Meeting of Stockholders, the stockholder must submit any such proposal or nomination no earlier than the close of business on the 120th day prior to the 2027 Annual Meeting of Stockholders and not later than the 10th day following the day on which public announcement of the date of the 2027 Annual Meeting of Stockholders is first made by the Company.</w:t>
      </w:r>
    </w:p>
    <w:p>
      <w:pPr>
        <w:spacing w:after="0" w:line="8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addition to satisfying the deadlines in the “advance notice” provisions of our bylaws, a stockholder who intends to solicit proxies in support of nominees submitted under these “advance notice” provisions, to comply with the universal proxy rules, stockholders who intend to solicit proxies in support of director nominees other than Adagio’s nominees must include in their notice the information required by Rule 14a-19 under the Exchange Act.</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Notices of any proposals or nominations for the Company’s 2027 Annual Meeting of Stockholders should be sent to the Corporate Secretary of the Company at 26051 Merit Circle, Suite 102, Laguna Hills, CA, 92653. A courtesy copy should also be submitted by email to </w:t>
      </w:r>
      <w:r>
        <w:rPr>
          <w:rFonts w:ascii="Times New Roman" w:cs="Times New Roman" w:eastAsia="Times New Roman" w:hAnsi="Times New Roman"/>
          <w:sz w:val="18"/>
          <w:szCs w:val="18"/>
          <w:i w:val="1"/>
          <w:iCs w:val="1"/>
          <w:color w:val="auto"/>
        </w:rPr>
        <w:t>ir@adagiomedical.com</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 are receiving duplicate copies of these materials and wish to have householding apply, please notify your broker.</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Filings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We make available, free of charge on our website, all of our filings that are made electronically with the SEC, including Forms 10-K, 10-Q and 8-K. To access these filings, go to investors section of our website at investors.adagiomedical.com and click on “SEC Filings” under the “FINANCIAL INFORMATION” heading. Copies of our Annual Report on Form 10-K for the year ended December 31, 2025, including financial statements and schedules thereto, filed with the SEC, are also available without charge to stockholders by contacting Adagio Medical Holdings, Inc. by mail at 26051 Merit Circle, Suite 102, Laguna Hills, CA, 92653, by telephone at (949) 348-1188, or by email at </w:t>
      </w:r>
      <w:r>
        <w:rPr>
          <w:rFonts w:ascii="Times New Roman" w:cs="Times New Roman" w:eastAsia="Times New Roman" w:hAnsi="Times New Roman"/>
          <w:sz w:val="18"/>
          <w:szCs w:val="18"/>
          <w:i w:val="1"/>
          <w:iCs w:val="1"/>
          <w:color w:val="auto"/>
        </w:rPr>
        <w:t>ir@adagiomedical.com</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Board does not know of any other matters to be brought before the meeting. If other matters are presented, the proxy holders have discretionary authority to vote all proxies in accordance with their best judgement. Discretionary authority for them to do so is provided for in the proxy card and other forms of proxy.</w:t>
      </w:r>
    </w:p>
    <w:p>
      <w:pPr>
        <w:spacing w:after="0" w:line="1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/s/ Deborah Kaster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35560</wp:posOffset>
            </wp:positionV>
            <wp:extent cx="2606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Deborah Kaster</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Chief Financial Officer and Chief Business Officer</w:t>
      </w:r>
    </w:p>
    <w:p>
      <w:pPr>
        <w:spacing w:after="0" w:line="3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April 30, 2026</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102870</wp:posOffset>
            </wp:positionV>
            <wp:extent cx="6292215" cy="8143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
      <w:numFmt w:val="bullet"/>
      <w:start w:val="1"/>
    </w:lvl>
    <w:lvl w:ilvl="1">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4"/>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3"/>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3"/>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5"/>
    </w:lvl>
    <w:lvl w:ilvl="1">
      <w:lvlJc w:val="left"/>
      <w:lvlText w:val="(%2)"/>
      <w:numFmt w:val="lowerRoman"/>
      <w:start w:val="2"/>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2026-04-30T16:16:15Z</dcterms:created>
  <dcterms:modified xsi:type="dcterms:W3CDTF">2026-04-30T16:16:15Z</dcterms:modified>
</cp:coreProperties>
</file>