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050849.xml.htm"/>
      <w:bookmarkStart w:id="1" w:name="ksform408122026_0508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Moran Timothy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ADAGIO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26051 MERIT CIRCLE,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LAGUNA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Adagio Medical Holdings, Inc.</w:t>
              </w:r>
            </w:hyperlink>
            <w:r>
              <w:rPr/>
              <w:t xml:space="preserve"> [ </w:t>
            </w:r>
            <w:r>
              <w:rPr>
                <w:rFonts w:ascii="Times;serif" w:hAnsi="Times;serif"/>
                <w:color w:val="0000FF"/>
                <w:sz w:val="24"/>
                <w:shd w:fill="FFFFFF" w:val="clear"/>
              </w:rPr>
              <w:t>ADGM</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09"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5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Non-qualified stock option (right to buy)</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0.7103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stock option granted under the Issuer's Non-Employee Director Compensation Policy and the Issuer's 2024 Equity Incentive Plan (the "Option"). The Option will vest in equal monthly installments over a one-year period, whereby 1/12th of shares underlying the Option shall vest in equal monthly installments at the conclusion of each month of continuous service after the vesting commencement date of 06/16/2026.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Deborah Kaster,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122026_050851.htm"/>
      <w:bookmarkStart w:id="3" w:name="ksex2408122026_050851"/>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Deborah Kaster and Todd Usen of Adagio Medical,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75260"/>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75260"/>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tbl>
      <w:tblPr>
        <w:tblW w:w="2750" w:type="dxa"/>
        <w:jc w:val="center"/>
        <w:tblInd w:w="0" w:type="dxa"/>
        <w:tblLayout w:type="fixed"/>
        <w:tblCellMar>
          <w:top w:w="0" w:type="dxa"/>
          <w:left w:w="0" w:type="dxa"/>
          <w:bottom w:w="0" w:type="dxa"/>
          <w:right w:w="0" w:type="dxa"/>
        </w:tblCellMar>
      </w:tblPr>
      <w:tblGrid>
        <w:gridCol w:w="365"/>
        <w:gridCol w:w="2385"/>
      </w:tblGrid>
      <w:tr>
        <w:trPr/>
        <w:tc>
          <w:tcPr>
            <w:tcW w:w="36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5" w:type="dxa"/>
            <w:tcBorders/>
            <w:shd w:fill="FFFFFF" w:val="clear"/>
          </w:tcPr>
          <w:p>
            <w:pPr>
              <w:pStyle w:val="TableContents"/>
              <w:bidi w:val="0"/>
              <w:spacing w:before="0" w:after="0"/>
              <w:ind w:left="0" w:right="0" w:hanging="0"/>
              <w:jc w:val="left"/>
              <w:rPr>
                <w:sz w:val="18"/>
              </w:rPr>
            </w:pPr>
            <w:r>
              <w:rPr>
                <w:sz w:val="18"/>
              </w:rPr>
              <w:t>Date</w:t>
            </w:r>
            <w:r>
              <w:rPr>
                <w:b w:val="false"/>
                <w:sz w:val="20"/>
              </w:rPr>
              <w:t>:</w:t>
            </w:r>
          </w:p>
        </w:tc>
        <w:tc>
          <w:tcPr>
            <w:tcW w:w="238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8/11/2026</w:t>
            </w:r>
          </w:p>
        </w:tc>
      </w:tr>
      <w:tr>
        <w:trPr>
          <w:trHeight w:val="255" w:hRule="atLeast"/>
        </w:trPr>
        <w:tc>
          <w:tcPr>
            <w:tcW w:w="365" w:type="dxa"/>
            <w:tcBorders/>
            <w:shd w:fill="FFFFFF" w:val="clear"/>
          </w:tcPr>
          <w:p>
            <w:pPr>
              <w:pStyle w:val="TableContents"/>
              <w:bidi w:val="0"/>
              <w:spacing w:before="0" w:after="0"/>
              <w:ind w:left="0" w:right="0" w:hanging="0"/>
              <w:jc w:val="left"/>
              <w:rPr/>
            </w:pPr>
            <w:r>
              <w:rPr/>
              <w:t> </w:t>
            </w:r>
          </w:p>
        </w:tc>
        <w:tc>
          <w:tcPr>
            <w:tcW w:w="2385" w:type="dxa"/>
            <w:tcBorders/>
            <w:shd w:fill="FFFFFF" w:val="clear"/>
          </w:tcPr>
          <w:p>
            <w:pPr>
              <w:pStyle w:val="TableContents"/>
              <w:bidi w:val="0"/>
              <w:spacing w:before="0" w:after="0"/>
              <w:ind w:left="0" w:right="0" w:hanging="0"/>
              <w:jc w:val="both"/>
              <w:rPr/>
            </w:pPr>
            <w:r>
              <w:rPr/>
            </w:r>
          </w:p>
        </w:tc>
      </w:tr>
    </w:tbl>
    <w:p>
      <w:pPr>
        <w:pStyle w:val="TextBody"/>
        <w:bidi w:val="0"/>
        <w:spacing w:before="0" w:after="0"/>
        <w:ind w:left="0" w:right="0" w:hanging="0"/>
        <w:jc w:val="both"/>
        <w:rPr/>
      </w:pPr>
      <w:r>
        <w:rPr/>
      </w:r>
    </w:p>
    <w:tbl>
      <w:tblPr>
        <w:tblW w:w="2705" w:type="dxa"/>
        <w:jc w:val="center"/>
        <w:tblInd w:w="0" w:type="dxa"/>
        <w:tblLayout w:type="fixed"/>
        <w:tblCellMar>
          <w:top w:w="0" w:type="dxa"/>
          <w:left w:w="0" w:type="dxa"/>
          <w:bottom w:w="0" w:type="dxa"/>
          <w:right w:w="0" w:type="dxa"/>
        </w:tblCellMar>
      </w:tblPr>
      <w:tblGrid>
        <w:gridCol w:w="320"/>
        <w:gridCol w:w="2385"/>
      </w:tblGrid>
      <w:tr>
        <w:trPr/>
        <w:tc>
          <w:tcPr>
            <w:tcW w:w="320"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20" w:type="dxa"/>
            <w:tcBorders/>
            <w:shd w:fill="FFFFFF" w:val="clear"/>
          </w:tcPr>
          <w:p>
            <w:pPr>
              <w:pStyle w:val="TableContents"/>
              <w:bidi w:val="0"/>
              <w:spacing w:before="0" w:after="0"/>
              <w:ind w:left="0" w:right="0" w:hanging="0"/>
              <w:jc w:val="left"/>
              <w:rPr/>
            </w:pPr>
            <w:r>
              <w:rPr/>
              <w:t>By:</w:t>
            </w:r>
          </w:p>
        </w:tc>
        <w:tc>
          <w:tcPr>
            <w:tcW w:w="238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/s/ Timothy P. Moran</w:t>
            </w:r>
          </w:p>
        </w:tc>
      </w:tr>
      <w:tr>
        <w:trPr>
          <w:trHeight w:val="255" w:hRule="atLeast"/>
        </w:trPr>
        <w:tc>
          <w:tcPr>
            <w:tcW w:w="320" w:type="dxa"/>
            <w:tcBorders/>
            <w:shd w:fill="FFFFFF" w:val="clear"/>
          </w:tcPr>
          <w:p>
            <w:pPr>
              <w:pStyle w:val="TableContents"/>
              <w:bidi w:val="0"/>
              <w:spacing w:before="0" w:after="0"/>
              <w:ind w:left="0" w:right="0" w:hanging="0"/>
              <w:jc w:val="left"/>
              <w:rPr/>
            </w:pPr>
            <w:r>
              <w:rPr/>
              <w:t> </w:t>
            </w:r>
          </w:p>
        </w:tc>
        <w:tc>
          <w:tcPr>
            <w:tcW w:w="2385" w:type="dxa"/>
            <w:tcBorders/>
            <w:shd w:fill="FFFFFF" w:val="clear"/>
          </w:tcPr>
          <w:p>
            <w:pPr>
              <w:pStyle w:val="TableContents"/>
              <w:bidi w:val="0"/>
              <w:spacing w:before="0" w:after="0"/>
              <w:ind w:left="0" w:right="0" w:hanging="0"/>
              <w:jc w:val="both"/>
              <w:rPr/>
            </w:pPr>
            <w:r>
              <w:rPr/>
              <w:t>Name: Timothy P. Moran</w:t>
            </w:r>
          </w:p>
          <w:p>
            <w:pPr>
              <w:pStyle w:val="TableContents"/>
              <w:bidi w:val="0"/>
              <w:spacing w:before="0" w:after="0"/>
              <w:ind w:left="0" w:right="0" w:hanging="0"/>
              <w:jc w:val="left"/>
              <w:rPr/>
            </w:pPr>
            <w:r>
              <w:rPr/>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958" TargetMode="External"/><Relationship Id="rId5" Type="http://schemas.openxmlformats.org/officeDocument/2006/relationships/hyperlink" Target="http://www.sec.gov/cgi-bin/browse-edgar?action=getcompany&amp;CIK=0002006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1146</Words>
  <Characters>6115</Characters>
  <CharactersWithSpaces>7180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