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22026_050851.xml.htm"/>
      <w:bookmarkStart w:id="1" w:name="ksform408122026_05085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Mirsaeedi-Farahani Keyvan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ADAGIO MEDICAL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26051 MERIT CIRCLE, SUITE 102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LAGUNA HILLS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Adagio Medical Holdings, Inc.</w:t>
              </w:r>
            </w:hyperlink>
            <w:r>
              <w:rPr/>
              <w:t xml:space="preserve"> [ </w:t>
            </w:r>
            <w:r>
              <w:rPr>
                <w:rFonts w:ascii="Times;serif" w:hAnsi="Times;serif"/>
                <w:color w:val="0000FF"/>
                <w:sz w:val="24"/>
                <w:shd w:fill="FFFFFF" w:val="clear"/>
              </w:rPr>
              <w:t>ADGM</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06/16/2026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509" w:type="dxa"/>
        <w:jc w:val="left"/>
        <w:tblInd w:w="-7" w:type="dxa"/>
        <w:tblLayout w:type="fixed"/>
        <w:tblCellMar>
          <w:top w:w="60" w:type="dxa"/>
          <w:left w:w="60" w:type="dxa"/>
          <w:bottom w:w="60" w:type="dxa"/>
          <w:right w:w="60" w:type="dxa"/>
        </w:tblCellMar>
      </w:tblPr>
      <w:tblGrid>
        <w:gridCol w:w="129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50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Non-qualified stock option (right to buy)</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0.7103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06/16/2036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Annual stock option granted under the Issuer's Non-Employee Director Compensation Policy and the Issuer's 2024 Equity Incentive Plan (the "Option"). The Option will vest in equal monthly installments over a one-year period, whereby 1/12th of shares underlying the Option shall vest in equal monthly installments at the conclusion of each month of continuous service after the vesting commencement date of 06/16/2026.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Deborah Kaster,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center"/>
        <w:rPr>
          <w:b/>
        </w:rPr>
      </w:pPr>
      <w:bookmarkStart w:id="2" w:name="ex24-08122026_050851.htm"/>
      <w:bookmarkStart w:id="3" w:name="ksex2408122026_050851"/>
      <w:bookmarkEnd w:id="2"/>
      <w:bookmarkEnd w:id="3"/>
      <w:r>
        <w:rPr>
          <w:b/>
        </w:rPr>
        <w:t>POWER OF ATTORNEY</w:t>
      </w:r>
      <w:r>
        <w:br w:type="page"/>
      </w:r>
    </w:p>
    <w:p>
      <w:pPr>
        <w:pStyle w:val="TextBody"/>
        <w:bidi w:val="0"/>
        <w:spacing w:before="0" w:after="0"/>
        <w:ind w:left="0" w:right="0" w:hanging="0"/>
        <w:jc w:val="center"/>
        <w:rPr/>
      </w:pPr>
      <w:r>
        <w:rPr/>
      </w:r>
    </w:p>
    <w:p>
      <w:pPr>
        <w:pStyle w:val="TextBody"/>
        <w:bidi w:val="0"/>
        <w:spacing w:before="0" w:after="0"/>
        <w:ind w:left="0" w:right="0" w:hanging="0"/>
        <w:jc w:val="center"/>
        <w:rPr/>
      </w:pPr>
      <w:r>
        <w:rPr/>
        <w:t>(For Executing Forms 3, 4, and 5)</w:t>
      </w:r>
    </w:p>
    <w:p>
      <w:pPr>
        <w:pStyle w:val="TextBody"/>
        <w:bidi w:val="0"/>
        <w:spacing w:before="0" w:after="0"/>
        <w:ind w:left="0" w:right="0" w:hanging="0"/>
        <w:jc w:val="center"/>
        <w:rPr/>
      </w:pPr>
      <w:r>
        <w:rPr/>
      </w:r>
    </w:p>
    <w:p>
      <w:pPr>
        <w:pStyle w:val="TextBody"/>
        <w:bidi w:val="0"/>
        <w:spacing w:before="0" w:after="0"/>
        <w:ind w:left="0" w:right="0" w:firstLine="915"/>
        <w:jc w:val="both"/>
        <w:rPr/>
      </w:pPr>
      <w:r>
        <w:rPr/>
        <w:t>Know all by these presents, that the undersigned hereby constitutes and appoints each of Deborah Kaster and Todd Usen of Adagio Medical, Inc. (the "</w:t>
      </w:r>
      <w:r>
        <w:rPr>
          <w:b/>
          <w:i/>
        </w:rPr>
        <w:t>Company</w:t>
      </w:r>
      <w:r>
        <w:rPr/>
        <w:t>"), signing individually, the undersigned's true and lawful attorneys-in-fact and agents to:</w:t>
      </w:r>
    </w:p>
    <w:p>
      <w:pPr>
        <w:pStyle w:val="TextBody"/>
        <w:bidi w:val="0"/>
        <w:spacing w:before="0" w:after="0"/>
        <w:ind w:left="0" w:right="0" w:hanging="0"/>
        <w:jc w:val="both"/>
        <w:rPr/>
      </w:pPr>
      <w:r>
        <w:rPr/>
      </w:r>
    </w:p>
    <w:p>
      <w:pPr>
        <w:pStyle w:val="TextBody"/>
        <w:bidi w:val="0"/>
        <w:spacing w:before="0" w:after="0"/>
        <w:ind w:left="0" w:right="0" w:hanging="30"/>
        <w:jc w:val="both"/>
        <w:rPr/>
      </w:pPr>
      <w:r>
        <w:rPr/>
        <w:t>prepare, execute in the undersigned's name and on the undersigned's behalf, and submit to the Securities and Exchange Commission (the "</w:t>
      </w:r>
      <w:r>
        <w:rPr>
          <w:b/>
          <w:i/>
        </w:rPr>
        <w:t>SEC</w:t>
      </w:r>
      <w:r>
        <w:rPr/>
        <w:t>") Forms 3, 4 and 5 (including any amendments thereto) in accordance with Section 16(a) of the Securities Exchange Act of 1934, as amended (the "</w:t>
      </w:r>
      <w:r>
        <w:rPr>
          <w:b/>
          <w:i/>
        </w:rPr>
        <w:t>Exchange Act</w:t>
      </w:r>
      <w:r>
        <w:rPr/>
        <w:t>"), and the rules thereunder in the undersigned's capacity as an officer, director or beneficial owner of more than 10% of a registered class of securities of the Company;</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162050" cy="175260"/>
                <wp:effectExtent l="0" t="0" r="0" b="0"/>
                <wp:wrapSquare wrapText="right"/>
                <wp:docPr id="5" name="Frame1"/>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do and perform any and all acts for and on behalf of the undersigned that may be necessary or desirable to execute such Forms 3, 4 or 5 (including amendments thereto) and timely file such forms with the SEC and any stock exchange or any similar authority; and</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1162050" cy="175260"/>
                <wp:effectExtent l="0" t="0" r="0" b="0"/>
                <wp:wrapSquare wrapText="right"/>
                <wp:docPr id="6" name="Frame2"/>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1162050" cy="175260"/>
                <wp:effectExtent l="0" t="0" r="0" b="0"/>
                <wp:wrapSquare wrapText="right"/>
                <wp:docPr id="7" name="Frame3"/>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915"/>
        <w:jc w:val="both"/>
        <w:rPr/>
      </w:pPr>
      <w:r>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915"/>
        <w:jc w:val="both"/>
        <w:rPr/>
      </w:pPr>
      <w:r>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w:t>
      </w:r>
    </w:p>
    <w:p>
      <w:pPr>
        <w:pStyle w:val="TextBody"/>
        <w:bidi w:val="0"/>
        <w:spacing w:before="0" w:after="0"/>
        <w:ind w:left="0" w:right="0" w:hanging="0"/>
        <w:jc w:val="both"/>
        <w:rPr/>
      </w:pPr>
      <w:r>
        <w:rPr/>
      </w:r>
    </w:p>
    <w:p>
      <w:pPr>
        <w:pStyle w:val="TextBody"/>
        <w:bidi w:val="0"/>
        <w:spacing w:before="0" w:after="0"/>
        <w:ind w:left="0" w:right="0" w:firstLine="915"/>
        <w:jc w:val="both"/>
        <w:rPr/>
      </w:pPr>
      <w:r>
        <w:rPr/>
        <w:t>IN WITNESS WHEREOF, the undersigned has caused this Power of Attorney to be executed as of the date written below.</w:t>
      </w:r>
    </w:p>
    <w:p>
      <w:pPr>
        <w:pStyle w:val="TextBody"/>
        <w:bidi w:val="0"/>
        <w:spacing w:before="0" w:after="0"/>
        <w:ind w:left="0" w:right="0" w:hanging="0"/>
        <w:jc w:val="both"/>
        <w:rPr/>
      </w:pPr>
      <w:r>
        <w:rPr/>
      </w:r>
    </w:p>
    <w:tbl>
      <w:tblPr>
        <w:tblW w:w="2750" w:type="dxa"/>
        <w:jc w:val="center"/>
        <w:tblInd w:w="0" w:type="dxa"/>
        <w:tblLayout w:type="fixed"/>
        <w:tblCellMar>
          <w:top w:w="0" w:type="dxa"/>
          <w:left w:w="0" w:type="dxa"/>
          <w:bottom w:w="0" w:type="dxa"/>
          <w:right w:w="0" w:type="dxa"/>
        </w:tblCellMar>
      </w:tblPr>
      <w:tblGrid>
        <w:gridCol w:w="365"/>
        <w:gridCol w:w="2385"/>
      </w:tblGrid>
      <w:tr>
        <w:trPr/>
        <w:tc>
          <w:tcPr>
            <w:tcW w:w="365" w:type="dxa"/>
            <w:tcBorders/>
            <w:vAlign w:val="center"/>
          </w:tcPr>
          <w:p>
            <w:pPr>
              <w:pStyle w:val="TableContents"/>
              <w:bidi w:val="0"/>
              <w:spacing w:before="0" w:after="283"/>
              <w:jc w:val="left"/>
              <w:rPr>
                <w:sz w:val="4"/>
                <w:szCs w:val="4"/>
              </w:rPr>
            </w:pPr>
            <w:r>
              <w:rPr>
                <w:sz w:val="4"/>
                <w:szCs w:val="4"/>
              </w:rPr>
            </w:r>
          </w:p>
        </w:tc>
        <w:tc>
          <w:tcPr>
            <w:tcW w:w="2385"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65" w:type="dxa"/>
            <w:tcBorders/>
            <w:shd w:fill="FFFFFF" w:val="clear"/>
          </w:tcPr>
          <w:p>
            <w:pPr>
              <w:pStyle w:val="TableContents"/>
              <w:bidi w:val="0"/>
              <w:spacing w:before="0" w:after="0"/>
              <w:ind w:left="0" w:right="0" w:hanging="0"/>
              <w:jc w:val="left"/>
              <w:rPr>
                <w:sz w:val="18"/>
              </w:rPr>
            </w:pPr>
            <w:r>
              <w:rPr>
                <w:sz w:val="18"/>
              </w:rPr>
              <w:t>Date</w:t>
            </w:r>
            <w:r>
              <w:rPr>
                <w:b w:val="false"/>
                <w:sz w:val="20"/>
              </w:rPr>
              <w:t>:</w:t>
            </w:r>
          </w:p>
        </w:tc>
        <w:tc>
          <w:tcPr>
            <w:tcW w:w="2385" w:type="dxa"/>
            <w:tcBorders>
              <w:bottom w:val="single" w:sz="12" w:space="0" w:color="000000"/>
            </w:tcBorders>
            <w:shd w:fill="FFFFFF" w:val="clear"/>
            <w:tcMar>
              <w:bottom w:w="28" w:type="dxa"/>
            </w:tcMar>
          </w:tcPr>
          <w:p>
            <w:pPr>
              <w:pStyle w:val="TableContents"/>
              <w:bidi w:val="0"/>
              <w:spacing w:before="0" w:after="0"/>
              <w:ind w:left="0" w:right="0" w:hanging="0"/>
              <w:jc w:val="left"/>
              <w:rPr/>
            </w:pPr>
            <w:r>
              <w:rPr/>
              <w:t>  </w:t>
            </w:r>
            <w:r>
              <w:rPr>
                <w:sz w:val="18"/>
              </w:rPr>
              <w:t>8/12/2026</w:t>
            </w:r>
          </w:p>
        </w:tc>
      </w:tr>
      <w:tr>
        <w:trPr>
          <w:trHeight w:val="255" w:hRule="atLeast"/>
        </w:trPr>
        <w:tc>
          <w:tcPr>
            <w:tcW w:w="365" w:type="dxa"/>
            <w:tcBorders/>
            <w:shd w:fill="FFFFFF" w:val="clear"/>
          </w:tcPr>
          <w:p>
            <w:pPr>
              <w:pStyle w:val="TableContents"/>
              <w:bidi w:val="0"/>
              <w:spacing w:before="0" w:after="0"/>
              <w:ind w:left="0" w:right="0" w:hanging="0"/>
              <w:jc w:val="left"/>
              <w:rPr/>
            </w:pPr>
            <w:r>
              <w:rPr/>
              <w:t> </w:t>
            </w:r>
          </w:p>
        </w:tc>
        <w:tc>
          <w:tcPr>
            <w:tcW w:w="2385" w:type="dxa"/>
            <w:tcBorders/>
            <w:shd w:fill="FFFFFF" w:val="clear"/>
          </w:tcPr>
          <w:p>
            <w:pPr>
              <w:pStyle w:val="TableContents"/>
              <w:bidi w:val="0"/>
              <w:spacing w:before="0" w:after="0"/>
              <w:ind w:left="0" w:right="0" w:hanging="0"/>
              <w:jc w:val="both"/>
              <w:rPr/>
            </w:pPr>
            <w:r>
              <w:rPr/>
            </w:r>
          </w:p>
        </w:tc>
      </w:tr>
    </w:tbl>
    <w:p>
      <w:pPr>
        <w:pStyle w:val="TextBody"/>
        <w:bidi w:val="0"/>
        <w:spacing w:before="0" w:after="0"/>
        <w:ind w:left="0" w:right="0" w:hanging="0"/>
        <w:jc w:val="both"/>
        <w:rPr/>
      </w:pPr>
      <w:r>
        <w:rPr/>
      </w:r>
    </w:p>
    <w:tbl>
      <w:tblPr>
        <w:tblW w:w="3675" w:type="dxa"/>
        <w:jc w:val="center"/>
        <w:tblInd w:w="0" w:type="dxa"/>
        <w:tblLayout w:type="fixed"/>
        <w:tblCellMar>
          <w:top w:w="0" w:type="dxa"/>
          <w:left w:w="0" w:type="dxa"/>
          <w:bottom w:w="0" w:type="dxa"/>
          <w:right w:w="0" w:type="dxa"/>
        </w:tblCellMar>
      </w:tblPr>
      <w:tblGrid>
        <w:gridCol w:w="420"/>
        <w:gridCol w:w="3255"/>
      </w:tblGrid>
      <w:tr>
        <w:trPr/>
        <w:tc>
          <w:tcPr>
            <w:tcW w:w="420" w:type="dxa"/>
            <w:tcBorders/>
            <w:vAlign w:val="center"/>
          </w:tcPr>
          <w:p>
            <w:pPr>
              <w:pStyle w:val="TableContents"/>
              <w:bidi w:val="0"/>
              <w:spacing w:before="0" w:after="283"/>
              <w:jc w:val="left"/>
              <w:rPr>
                <w:sz w:val="4"/>
                <w:szCs w:val="4"/>
              </w:rPr>
            </w:pPr>
            <w:r>
              <w:rPr>
                <w:sz w:val="4"/>
                <w:szCs w:val="4"/>
              </w:rPr>
            </w:r>
          </w:p>
        </w:tc>
        <w:tc>
          <w:tcPr>
            <w:tcW w:w="3255" w:type="dxa"/>
            <w:tcBorders/>
            <w:vAlign w:val="center"/>
          </w:tcPr>
          <w:p>
            <w:pPr>
              <w:pStyle w:val="TableContents"/>
              <w:bidi w:val="0"/>
              <w:spacing w:before="0" w:after="283"/>
              <w:jc w:val="left"/>
              <w:rPr>
                <w:sz w:val="4"/>
                <w:szCs w:val="4"/>
              </w:rPr>
            </w:pPr>
            <w:r>
              <w:rPr>
                <w:sz w:val="4"/>
                <w:szCs w:val="4"/>
              </w:rPr>
            </w:r>
          </w:p>
        </w:tc>
      </w:tr>
      <w:tr>
        <w:trPr>
          <w:trHeight w:val="270" w:hRule="atLeast"/>
        </w:trPr>
        <w:tc>
          <w:tcPr>
            <w:tcW w:w="420" w:type="dxa"/>
            <w:tcBorders/>
            <w:shd w:fill="FFFFFF" w:val="clear"/>
          </w:tcPr>
          <w:p>
            <w:pPr>
              <w:pStyle w:val="TableContents"/>
              <w:bidi w:val="0"/>
              <w:spacing w:before="0" w:after="0"/>
              <w:ind w:left="0" w:right="0" w:hanging="0"/>
              <w:jc w:val="left"/>
              <w:rPr/>
            </w:pPr>
            <w:r>
              <w:rPr/>
              <w:t>By:</w:t>
            </w:r>
          </w:p>
        </w:tc>
        <w:tc>
          <w:tcPr>
            <w:tcW w:w="3255" w:type="dxa"/>
            <w:tcBorders>
              <w:bottom w:val="single" w:sz="12" w:space="0" w:color="000000"/>
            </w:tcBorders>
            <w:shd w:fill="FFFFFF" w:val="clear"/>
            <w:tcMar>
              <w:bottom w:w="28" w:type="dxa"/>
            </w:tcMar>
          </w:tcPr>
          <w:p>
            <w:pPr>
              <w:pStyle w:val="TableContents"/>
              <w:bidi w:val="0"/>
              <w:spacing w:before="0" w:after="0"/>
              <w:ind w:left="0" w:right="0" w:hanging="0"/>
              <w:jc w:val="left"/>
              <w:rPr/>
            </w:pPr>
            <w:r>
              <w:rPr/>
              <w:t> </w:t>
            </w:r>
            <w:r>
              <w:rPr>
                <w:sz w:val="18"/>
              </w:rPr>
              <w:t>/s/ Keyvan Mirsaeedi-Farahani</w:t>
            </w:r>
          </w:p>
        </w:tc>
      </w:tr>
      <w:tr>
        <w:trPr>
          <w:trHeight w:val="285" w:hRule="atLeast"/>
        </w:trPr>
        <w:tc>
          <w:tcPr>
            <w:tcW w:w="420" w:type="dxa"/>
            <w:tcBorders/>
            <w:shd w:fill="FFFFFF" w:val="clear"/>
          </w:tcPr>
          <w:p>
            <w:pPr>
              <w:pStyle w:val="TableContents"/>
              <w:bidi w:val="0"/>
              <w:spacing w:before="0" w:after="0"/>
              <w:ind w:left="0" w:right="0" w:hanging="0"/>
              <w:jc w:val="left"/>
              <w:rPr/>
            </w:pPr>
            <w:r>
              <w:rPr/>
              <w:t> </w:t>
            </w:r>
          </w:p>
        </w:tc>
        <w:tc>
          <w:tcPr>
            <w:tcW w:w="3255" w:type="dxa"/>
            <w:tcBorders/>
            <w:shd w:fill="FFFFFF" w:val="clear"/>
          </w:tcPr>
          <w:p>
            <w:pPr>
              <w:pStyle w:val="TableContents"/>
              <w:bidi w:val="0"/>
              <w:spacing w:before="0" w:after="0"/>
              <w:ind w:left="0" w:right="0" w:hanging="0"/>
              <w:jc w:val="both"/>
              <w:rPr/>
            </w:pPr>
            <w:r>
              <w:rPr/>
              <w:t>Name: Keyvan Mirsaeedi-Farahani</w:t>
            </w:r>
          </w:p>
          <w:p>
            <w:pPr>
              <w:pStyle w:val="TableContents"/>
              <w:bidi w:val="0"/>
              <w:spacing w:before="0" w:after="0"/>
              <w:ind w:left="0" w:right="0" w:hanging="0"/>
              <w:jc w:val="left"/>
              <w:rPr/>
            </w:pPr>
            <w:r>
              <w:rPr/>
            </w:r>
          </w:p>
        </w:tc>
      </w:tr>
    </w:tbl>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lineRule="atLeast" w:line="200"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1256" TargetMode="External"/><Relationship Id="rId5" Type="http://schemas.openxmlformats.org/officeDocument/2006/relationships/hyperlink" Target="http://www.sec.gov/cgi-bin/browse-edgar?action=getcompany&amp;CIK=00020069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1143</Words>
  <Characters>6145</Characters>
  <CharactersWithSpaces>7207</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