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ADAGIO MEDICAL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99-1151466</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80" w:type="dxa"/>
            <w:vAlign w:val="bottom"/>
          </w:tcPr>
          <w:p>
            <w:pPr>
              <w:spacing w:after="0"/>
              <w:rPr>
                <w:sz w:val="12"/>
                <w:szCs w:val="12"/>
                <w:color w:val="auto"/>
              </w:rPr>
            </w:pPr>
          </w:p>
        </w:tc>
        <w:tc>
          <w:tcPr>
            <w:tcW w:w="15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80" w:type="dxa"/>
            <w:vAlign w:val="bottom"/>
          </w:tcPr>
          <w:p>
            <w:pPr>
              <w:spacing w:after="0"/>
              <w:rPr>
                <w:sz w:val="16"/>
                <w:szCs w:val="16"/>
                <w:color w:val="auto"/>
              </w:rPr>
            </w:pPr>
          </w:p>
        </w:tc>
        <w:tc>
          <w:tcPr>
            <w:tcW w:w="15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26051 Merit Circle, Suite 102</w:t>
            </w:r>
          </w:p>
        </w:tc>
        <w:tc>
          <w:tcPr>
            <w:tcW w:w="2880" w:type="dxa"/>
            <w:vAlign w:val="bottom"/>
          </w:tcPr>
          <w:p>
            <w:pPr>
              <w:spacing w:after="0"/>
              <w:rPr>
                <w:sz w:val="22"/>
                <w:szCs w:val="22"/>
                <w:color w:val="auto"/>
              </w:rPr>
            </w:pPr>
          </w:p>
        </w:tc>
        <w:tc>
          <w:tcPr>
            <w:tcW w:w="15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92653</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Laguna Hills, CA</w:t>
            </w:r>
          </w:p>
        </w:tc>
        <w:tc>
          <w:tcPr>
            <w:tcW w:w="28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spacing w:after="0"/>
              <w:rPr>
                <w:sz w:val="24"/>
                <w:szCs w:val="24"/>
                <w:color w:val="auto"/>
              </w:rPr>
            </w:pPr>
          </w:p>
        </w:tc>
        <w:tc>
          <w:tcPr>
            <w:tcW w:w="15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1"/>
        </w:trPr>
        <w:tc>
          <w:tcPr>
            <w:tcW w:w="2420" w:type="dxa"/>
            <w:vAlign w:val="bottom"/>
          </w:tcPr>
          <w:p>
            <w:pPr>
              <w:spacing w:after="0"/>
              <w:rPr>
                <w:sz w:val="21"/>
                <w:szCs w:val="21"/>
                <w:color w:val="auto"/>
              </w:rPr>
            </w:pPr>
          </w:p>
        </w:tc>
        <w:tc>
          <w:tcPr>
            <w:tcW w:w="2880" w:type="dxa"/>
            <w:vAlign w:val="bottom"/>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(949) 348-1188</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2880" w:type="dxa"/>
            <w:vAlign w:val="bottom"/>
          </w:tcPr>
          <w:p>
            <w:pPr>
              <w:jc w:val="center"/>
              <w:ind w:right="254"/>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86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73"/>
        </w:trPr>
        <w:tc>
          <w:tcPr>
            <w:tcW w:w="40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117"/>
        </w:trPr>
        <w:tc>
          <w:tcPr>
            <w:tcW w:w="3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par value $0.0001</w:t>
            </w:r>
          </w:p>
        </w:tc>
        <w:tc>
          <w:tcPr>
            <w:tcW w:w="2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540" w:type="dxa"/>
            <w:vAlign w:val="bottom"/>
            <w:tcBorders>
              <w:top w:val="single" w:sz="8" w:color="auto"/>
            </w:tcBorders>
          </w:tcPr>
          <w:p>
            <w:pPr>
              <w:jc w:val="center"/>
              <w:ind w:right="570"/>
              <w:spacing w:after="0" w:line="118" w:lineRule="exact"/>
              <w:rPr>
                <w:sz w:val="20"/>
                <w:szCs w:val="20"/>
                <w:color w:val="auto"/>
              </w:rPr>
            </w:pPr>
            <w:r>
              <w:rPr>
                <w:rFonts w:ascii="Times New Roman" w:cs="Times New Roman" w:eastAsia="Times New Roman" w:hAnsi="Times New Roman"/>
                <w:sz w:val="13"/>
                <w:szCs w:val="13"/>
                <w:b w:val="1"/>
                <w:bCs w:val="1"/>
                <w:color w:val="auto"/>
              </w:rPr>
              <w:t>ADGM</w:t>
            </w: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60" w:type="dxa"/>
            <w:vAlign w:val="bottom"/>
            <w:tcBorders>
              <w:top w:val="single" w:sz="8" w:color="auto"/>
            </w:tcBorders>
          </w:tcPr>
          <w:p>
            <w:pPr>
              <w:jc w:val="center"/>
              <w:ind w:right="230"/>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190"/>
        </w:trPr>
        <w:tc>
          <w:tcPr>
            <w:tcW w:w="402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tcPr>
          <w:p>
            <w:pPr>
              <w:spacing w:after="0"/>
              <w:rPr>
                <w:sz w:val="16"/>
                <w:szCs w:val="16"/>
                <w:color w:val="auto"/>
              </w:rPr>
            </w:pPr>
          </w:p>
        </w:tc>
      </w:tr>
    </w:tbl>
    <w:p>
      <w:pPr>
        <w:spacing w:after="0" w:line="82"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16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2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258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8, 2026, there were 22,210,459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572770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152400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195580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8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00" w:type="dxa"/>
            <w:vAlign w:val="bottom"/>
            <w:gridSpan w:val="16"/>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MARCH 31, 2026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2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5880" w:type="dxa"/>
            <w:vAlign w:val="bottom"/>
            <w:gridSpan w:val="11"/>
            <w:vMerge w:val="restart"/>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180" w:type="dxa"/>
            <w:vAlign w:val="bottom"/>
            <w:tcBorders>
              <w:bottom w:val="single" w:sz="8" w:color="0000EE"/>
            </w:tcBorders>
            <w:gridSpan w:val="13"/>
            <w:vMerge w:val="continue"/>
          </w:tcPr>
          <w:p>
            <w:pPr>
              <w:spacing w:after="0"/>
              <w:rPr>
                <w:sz w:val="14"/>
                <w:szCs w:val="14"/>
                <w:color w:val="auto"/>
              </w:rPr>
            </w:pPr>
          </w:p>
        </w:tc>
        <w:tc>
          <w:tcPr>
            <w:tcW w:w="5880" w:type="dxa"/>
            <w:vAlign w:val="bottom"/>
            <w:gridSpan w:val="1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gridSpan w:val="2"/>
          </w:tcPr>
          <w:p>
            <w:pPr>
              <w:spacing w:after="0"/>
              <w:rPr>
                <w:sz w:val="24"/>
                <w:szCs w:val="24"/>
                <w:color w:val="auto"/>
              </w:rPr>
            </w:pPr>
          </w:p>
        </w:tc>
        <w:tc>
          <w:tcPr>
            <w:tcW w:w="3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488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months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2026 and March 31, 2025</w:t>
            </w:r>
          </w:p>
        </w:tc>
        <w:tc>
          <w:tcPr>
            <w:tcW w:w="42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 for the three months ended March 31,</w:t>
            </w:r>
          </w:p>
        </w:tc>
        <w:tc>
          <w:tcPr>
            <w:tcW w:w="28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2026 and March 31, 2025</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2026 and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March 31, 2025</w:t>
            </w:r>
          </w:p>
        </w:tc>
        <w:tc>
          <w:tcPr>
            <w:tcW w:w="6820" w:type="dxa"/>
            <w:vAlign w:val="bottom"/>
            <w:tcBorders>
              <w:top w:val="single" w:sz="8" w:color="0000EE"/>
            </w:tcBorders>
            <w:gridSpan w:val="16"/>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3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2"/>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20" w:type="dxa"/>
            <w:vAlign w:val="bottom"/>
            <w:tcBorders>
              <w:top w:val="single" w:sz="8" w:color="0000EE"/>
            </w:tcBorders>
            <w:gridSpan w:val="2"/>
          </w:tcPr>
          <w:p>
            <w:pPr>
              <w:spacing w:after="0"/>
              <w:rPr>
                <w:sz w:val="24"/>
                <w:szCs w:val="24"/>
                <w:color w:val="auto"/>
              </w:rPr>
            </w:pPr>
          </w:p>
        </w:tc>
        <w:tc>
          <w:tcPr>
            <w:tcW w:w="19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8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88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320" w:type="dxa"/>
            <w:vAlign w:val="bottom"/>
            <w:gridSpan w:val="2"/>
          </w:tcPr>
          <w:p>
            <w:pPr>
              <w:spacing w:after="0"/>
              <w:rPr>
                <w:sz w:val="24"/>
                <w:szCs w:val="24"/>
                <w:color w:val="auto"/>
              </w:rPr>
            </w:pP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590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320" w:type="dxa"/>
            <w:vAlign w:val="bottom"/>
            <w:gridSpan w:val="2"/>
          </w:tcPr>
          <w:p>
            <w:pPr>
              <w:spacing w:after="0"/>
              <w:rPr>
                <w:sz w:val="24"/>
                <w:szCs w:val="24"/>
                <w:color w:val="auto"/>
              </w:rPr>
            </w:pPr>
          </w:p>
        </w:tc>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320" w:type="dxa"/>
            <w:vAlign w:val="bottom"/>
            <w:gridSpan w:val="2"/>
          </w:tcPr>
          <w:p>
            <w:pPr>
              <w:spacing w:after="0"/>
              <w:rPr>
                <w:sz w:val="24"/>
                <w:szCs w:val="24"/>
                <w:color w:val="auto"/>
              </w:rPr>
            </w:pP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6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3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3"/>
          </w:tcPr>
          <w:p>
            <w:pPr>
              <w:spacing w:after="0"/>
              <w:rPr>
                <w:sz w:val="24"/>
                <w:szCs w:val="24"/>
                <w:color w:val="auto"/>
              </w:rPr>
            </w:pPr>
          </w:p>
        </w:tc>
        <w:tc>
          <w:tcPr>
            <w:tcW w:w="690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90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581"/>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jc w:val="both"/>
        <w:ind w:left="1000" w:hanging="317"/>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innovative, proprietary products that address significant clinical needs in a manner that is safe and effective for patients and easy-to-use for physicians;</w:t>
      </w: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clearances or approvals;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safety and effectiveness in our sponsored and third-party clinical trials;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physician awareness;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coverage and adequate reimbursement for procedures using our products;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research, development, sales and clinical personnel;</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manufacture, market and sell our products;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protection from intellectual property rights covering our products;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results from our clinical trials and other studies;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clearances and authorization from the FDA and regulators in other jurisdictions;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regulatory filings and feedback;</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our products;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of our products to patients, providers, and payors;</w:t>
      </w:r>
    </w:p>
    <w:p>
      <w:pPr>
        <w:spacing w:after="0" w:line="9"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proposed tariffs on our business, including the impact on gross margins related to our international product sales and the impact of resulting economic uncertainty on demand for our products;</w:t>
      </w:r>
    </w:p>
    <w:p>
      <w:pPr>
        <w:ind w:left="1000" w:right="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or increase demand for our products;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expansion;</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our corporate prioritization initiative and our expectations regarding our ability to retain and recruit key personnel;</w:t>
      </w: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employees, including those with specialized skills and experience;</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strategic operations;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and needs for additional financing;</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References in this Quarterly Report on Form 10-Q to “we,” “us,” “ListCo” or the “Company” refer to Adagio Medical Holdings, Inc. and its consolidated subsidiaries at and after the consummation of the Business Combination (as defined below). References to our “management” or our “management team” refer to our officers and directors. We do not intend our use or display of other companies’ trade names or trademarks to imply an endorsement or sponsorship of us by such companies, or any relationship with any of these companies.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(investors.adagiomedical.com). We therefore encourage investors and others interested in Adagio Medical Holdings, Inc. to review the information that we make available on our website, in addition to following our filings with the Securities and Exchange Commission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ind w:left="70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12,909</w:t>
            </w:r>
          </w:p>
        </w:tc>
        <w:tc>
          <w:tcPr>
            <w:tcW w:w="2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17,105</w:t>
            </w:r>
          </w:p>
        </w:tc>
        <w:tc>
          <w:tcPr>
            <w:tcW w:w="0" w:type="dxa"/>
            <w:vAlign w:val="bottom"/>
          </w:tcPr>
          <w:p>
            <w:pPr>
              <w:spacing w:after="0"/>
              <w:rPr>
                <w:sz w:val="1"/>
                <w:szCs w:val="1"/>
                <w:color w:val="auto"/>
              </w:rPr>
            </w:pPr>
          </w:p>
        </w:tc>
      </w:tr>
      <w:tr>
        <w:trPr>
          <w:trHeight w:val="149"/>
        </w:trPr>
        <w:tc>
          <w:tcPr>
            <w:tcW w:w="7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48"/>
        </w:trPr>
        <w:tc>
          <w:tcPr>
            <w:tcW w:w="71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2"/>
        </w:trPr>
        <w:tc>
          <w:tcPr>
            <w:tcW w:w="718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15,855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20,082</w:t>
            </w:r>
          </w:p>
        </w:tc>
        <w:tc>
          <w:tcPr>
            <w:tcW w:w="0" w:type="dxa"/>
            <w:vAlign w:val="bottom"/>
          </w:tcPr>
          <w:p>
            <w:pPr>
              <w:spacing w:after="0"/>
              <w:rPr>
                <w:sz w:val="1"/>
                <w:szCs w:val="1"/>
                <w:color w:val="auto"/>
              </w:rPr>
            </w:pPr>
          </w:p>
        </w:tc>
      </w:tr>
      <w:tr>
        <w:trPr>
          <w:trHeight w:val="149"/>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net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 net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0" w:type="dxa"/>
            <w:vAlign w:val="bottom"/>
          </w:tcPr>
          <w:p>
            <w:pPr>
              <w:spacing w:after="0"/>
              <w:rPr>
                <w:sz w:val="1"/>
                <w:szCs w:val="1"/>
                <w:color w:val="auto"/>
              </w:rPr>
            </w:pPr>
          </w:p>
        </w:tc>
      </w:tr>
      <w:tr>
        <w:trPr>
          <w:trHeight w:val="148"/>
        </w:trPr>
        <w:tc>
          <w:tcPr>
            <w:tcW w:w="7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39,308</w:t>
            </w:r>
          </w:p>
        </w:tc>
        <w:tc>
          <w:tcPr>
            <w:tcW w:w="2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260" w:type="dxa"/>
            <w:vAlign w:val="bottom"/>
          </w:tcPr>
          <w:p>
            <w:pPr>
              <w:spacing w:after="0"/>
              <w:rPr>
                <w:sz w:val="12"/>
                <w:szCs w:val="12"/>
                <w:color w:val="auto"/>
              </w:rPr>
            </w:pP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6,996</w:t>
            </w:r>
          </w:p>
        </w:tc>
        <w:tc>
          <w:tcPr>
            <w:tcW w:w="0" w:type="dxa"/>
            <w:vAlign w:val="bottom"/>
          </w:tcPr>
          <w:p>
            <w:pPr>
              <w:spacing w:after="0"/>
              <w:rPr>
                <w:sz w:val="1"/>
                <w:szCs w:val="1"/>
                <w:color w:val="auto"/>
              </w:rPr>
            </w:pPr>
          </w:p>
        </w:tc>
      </w:tr>
      <w:tr>
        <w:trPr>
          <w:trHeight w:val="148"/>
        </w:trPr>
        <w:tc>
          <w:tcPr>
            <w:tcW w:w="71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42"/>
        </w:trPr>
        <w:tc>
          <w:tcPr>
            <w:tcW w:w="718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8,233</w:t>
            </w: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long-term</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 payable, net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22,872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21,040</w:t>
            </w:r>
          </w:p>
        </w:tc>
        <w:tc>
          <w:tcPr>
            <w:tcW w:w="0" w:type="dxa"/>
            <w:vAlign w:val="bottom"/>
          </w:tcPr>
          <w:p>
            <w:pPr>
              <w:spacing w:after="0"/>
              <w:rPr>
                <w:sz w:val="1"/>
                <w:szCs w:val="1"/>
                <w:color w:val="auto"/>
              </w:rPr>
            </w:pPr>
          </w:p>
        </w:tc>
      </w:tr>
      <w:tr>
        <w:trPr>
          <w:trHeight w:val="148"/>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33,583</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30,851</w:t>
            </w:r>
          </w:p>
        </w:tc>
        <w:tc>
          <w:tcPr>
            <w:tcW w:w="0" w:type="dxa"/>
            <w:vAlign w:val="bottom"/>
          </w:tcPr>
          <w:p>
            <w:pPr>
              <w:spacing w:after="0"/>
              <w:rPr>
                <w:sz w:val="1"/>
                <w:szCs w:val="1"/>
                <w:color w:val="auto"/>
              </w:rPr>
            </w:pPr>
          </w:p>
        </w:tc>
      </w:tr>
      <w:tr>
        <w:trPr>
          <w:trHeight w:val="142"/>
        </w:trPr>
        <w:tc>
          <w:tcPr>
            <w:tcW w:w="7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180" w:type="dxa"/>
            <w:vAlign w:val="bottom"/>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Common stock, $0.0001 par value; 210,000,000 shares authorized at March 31, 2026 and December 31, 2025;</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8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22,210,459 and 22,210,459 shares issued and outstanding at March 31, 2026 and December 31, 2025,</w:t>
            </w:r>
          </w:p>
        </w:tc>
        <w:tc>
          <w:tcPr>
            <w:tcW w:w="1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108,497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108,108</w:t>
            </w:r>
          </w:p>
        </w:tc>
        <w:tc>
          <w:tcPr>
            <w:tcW w:w="0" w:type="dxa"/>
            <w:vAlign w:val="bottom"/>
          </w:tcPr>
          <w:p>
            <w:pPr>
              <w:spacing w:after="0"/>
              <w:rPr>
                <w:sz w:val="1"/>
                <w:szCs w:val="1"/>
                <w:color w:val="auto"/>
              </w:rPr>
            </w:pPr>
          </w:p>
        </w:tc>
      </w:tr>
      <w:tr>
        <w:trPr>
          <w:trHeight w:val="149"/>
        </w:trPr>
        <w:tc>
          <w:tcPr>
            <w:tcW w:w="71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71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(102,631)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(95,609)</w:t>
            </w:r>
          </w:p>
        </w:tc>
        <w:tc>
          <w:tcPr>
            <w:tcW w:w="0" w:type="dxa"/>
            <w:vAlign w:val="bottom"/>
          </w:tcPr>
          <w:p>
            <w:pPr>
              <w:spacing w:after="0"/>
              <w:rPr>
                <w:sz w:val="1"/>
                <w:szCs w:val="1"/>
                <w:color w:val="auto"/>
              </w:rPr>
            </w:pPr>
          </w:p>
        </w:tc>
      </w:tr>
      <w:tr>
        <w:trPr>
          <w:trHeight w:val="142"/>
        </w:trPr>
        <w:tc>
          <w:tcPr>
            <w:tcW w:w="718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12,402</w:t>
            </w:r>
          </w:p>
        </w:tc>
        <w:tc>
          <w:tcPr>
            <w:tcW w:w="0" w:type="dxa"/>
            <w:vAlign w:val="bottom"/>
          </w:tcPr>
          <w:p>
            <w:pPr>
              <w:spacing w:after="0"/>
              <w:rPr>
                <w:sz w:val="1"/>
                <w:szCs w:val="1"/>
                <w:color w:val="auto"/>
              </w:rPr>
            </w:pPr>
          </w:p>
        </w:tc>
      </w:tr>
      <w:tr>
        <w:trPr>
          <w:trHeight w:val="142"/>
        </w:trPr>
        <w:tc>
          <w:tcPr>
            <w:tcW w:w="71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39,308</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ind w:left="66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revenue and operating expenses: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2,459</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 and operating expenses</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5,200</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(5,200)</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Convertible notes fair value adjustment</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Warrant liabilities fair value adjustment</w:t>
            </w:r>
          </w:p>
        </w:tc>
        <w:tc>
          <w:tcPr>
            <w:tcW w:w="50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5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5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loss, net</w:t>
            </w: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(1,795)</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(6,995)</w:t>
            </w:r>
          </w:p>
        </w:tc>
        <w:tc>
          <w:tcPr>
            <w:tcW w:w="2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(7,039)</w:t>
            </w:r>
          </w:p>
        </w:tc>
        <w:tc>
          <w:tcPr>
            <w:tcW w:w="24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Basic net loss per share</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(0.31)</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Diluted net loss per share</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(0.31)</w:t>
            </w:r>
          </w:p>
        </w:tc>
        <w:tc>
          <w:tcPr>
            <w:tcW w:w="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to compute net loss per common share, basic and diluted</w:t>
            </w: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00" w:type="dxa"/>
            <w:vAlign w:val="bottom"/>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22,210,459</w:t>
            </w:r>
          </w:p>
        </w:tc>
        <w:tc>
          <w:tcPr>
            <w:tcW w:w="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15,375,521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400" w:type="dxa"/>
            <w:vAlign w:val="bottom"/>
            <w:gridSpan w:val="2"/>
          </w:tcPr>
          <w:p>
            <w:pPr>
              <w:ind w:left="4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22,210,459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108,108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(95,609)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12,402</w:t>
            </w:r>
          </w:p>
        </w:tc>
        <w:tc>
          <w:tcPr>
            <w:tcW w:w="0" w:type="dxa"/>
            <w:vAlign w:val="bottom"/>
          </w:tcPr>
          <w:p>
            <w:pPr>
              <w:spacing w:after="0"/>
              <w:rPr>
                <w:sz w:val="1"/>
                <w:szCs w:val="1"/>
                <w:color w:val="auto"/>
              </w:rPr>
            </w:pPr>
          </w:p>
        </w:tc>
      </w:tr>
      <w:tr>
        <w:trPr>
          <w:trHeight w:val="148"/>
        </w:trPr>
        <w:tc>
          <w:tcPr>
            <w:tcW w:w="4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48"/>
        </w:trPr>
        <w:tc>
          <w:tcPr>
            <w:tcW w:w="4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22,210,459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(102,631)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5,725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4400" w:type="dxa"/>
            <w:vAlign w:val="bottom"/>
            <w:gridSpan w:val="2"/>
          </w:tcPr>
          <w:p>
            <w:pPr>
              <w:ind w:left="4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3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15,198,232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90,495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(70,586)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19,912</w:t>
            </w:r>
          </w:p>
        </w:tc>
        <w:tc>
          <w:tcPr>
            <w:tcW w:w="0" w:type="dxa"/>
            <w:vAlign w:val="bottom"/>
          </w:tcPr>
          <w:p>
            <w:pPr>
              <w:spacing w:after="0"/>
              <w:rPr>
                <w:sz w:val="1"/>
                <w:szCs w:val="1"/>
                <w:color w:val="auto"/>
              </w:rPr>
            </w:pPr>
          </w:p>
        </w:tc>
      </w:tr>
      <w:tr>
        <w:trPr>
          <w:trHeight w:val="148"/>
        </w:trPr>
        <w:tc>
          <w:tcPr>
            <w:tcW w:w="4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4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Waiver Shares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(7,713)</w:t>
            </w: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15,381,565</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90,713</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(78,256)</w:t>
            </w:r>
          </w:p>
        </w:tc>
        <w:tc>
          <w:tcPr>
            <w:tcW w:w="1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gridSpan w:val="2"/>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12,399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7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9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(7,713)</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79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20" w:type="dxa"/>
            <w:vAlign w:val="bottom"/>
          </w:tcPr>
          <w:p>
            <w:pPr>
              <w:spacing w:after="0"/>
              <w:rPr>
                <w:sz w:val="12"/>
                <w:szCs w:val="12"/>
                <w:color w:val="auto"/>
              </w:rPr>
            </w:pPr>
          </w:p>
        </w:tc>
      </w:tr>
      <w:tr>
        <w:trPr>
          <w:trHeight w:val="149"/>
        </w:trPr>
        <w:tc>
          <w:tcPr>
            <w:tcW w:w="790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20" w:type="dxa"/>
            <w:vAlign w:val="bottom"/>
          </w:tcPr>
          <w:p>
            <w:pPr>
              <w:spacing w:after="0"/>
              <w:rPr>
                <w:sz w:val="12"/>
                <w:szCs w:val="12"/>
                <w:color w:val="auto"/>
              </w:rPr>
            </w:pPr>
          </w:p>
        </w:tc>
      </w:tr>
      <w:tr>
        <w:trPr>
          <w:trHeight w:val="148"/>
        </w:trPr>
        <w:tc>
          <w:tcPr>
            <w:tcW w:w="79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 payable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0" w:type="dxa"/>
            <w:vAlign w:val="bottom"/>
          </w:tcPr>
          <w:p>
            <w:pPr>
              <w:spacing w:after="0"/>
              <w:rPr>
                <w:sz w:val="12"/>
                <w:szCs w:val="12"/>
                <w:color w:val="auto"/>
              </w:rPr>
            </w:pPr>
          </w:p>
        </w:tc>
      </w:tr>
      <w:tr>
        <w:trPr>
          <w:trHeight w:val="148"/>
        </w:trPr>
        <w:tc>
          <w:tcPr>
            <w:tcW w:w="790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9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20" w:type="dxa"/>
            <w:vAlign w:val="bottom"/>
          </w:tcPr>
          <w:p>
            <w:pPr>
              <w:spacing w:after="0"/>
              <w:rPr>
                <w:sz w:val="12"/>
                <w:szCs w:val="12"/>
                <w:color w:val="auto"/>
              </w:rPr>
            </w:pPr>
          </w:p>
        </w:tc>
      </w:tr>
      <w:tr>
        <w:trPr>
          <w:trHeight w:val="148"/>
        </w:trPr>
        <w:tc>
          <w:tcPr>
            <w:tcW w:w="79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2"/>
                <w:szCs w:val="12"/>
                <w:color w:val="auto"/>
              </w:rPr>
            </w:pPr>
          </w:p>
        </w:tc>
      </w:tr>
      <w:tr>
        <w:trPr>
          <w:trHeight w:val="148"/>
        </w:trPr>
        <w:tc>
          <w:tcPr>
            <w:tcW w:w="790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20" w:type="dxa"/>
            <w:vAlign w:val="bottom"/>
          </w:tcPr>
          <w:p>
            <w:pPr>
              <w:spacing w:after="0"/>
              <w:rPr>
                <w:sz w:val="12"/>
                <w:szCs w:val="12"/>
                <w:color w:val="auto"/>
              </w:rPr>
            </w:pPr>
          </w:p>
        </w:tc>
      </w:tr>
      <w:tr>
        <w:trPr>
          <w:trHeight w:val="149"/>
        </w:trPr>
        <w:tc>
          <w:tcPr>
            <w:tcW w:w="7900" w:type="dxa"/>
            <w:vAlign w:val="bottom"/>
            <w:tcBorders>
              <w:bottom w:val="single" w:sz="8" w:color="CCEEFF"/>
            </w:tcBorders>
          </w:tcPr>
          <w:p>
            <w:pPr>
              <w:ind w:left="6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79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(4,126)</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(7,211)</w:t>
            </w:r>
          </w:p>
        </w:tc>
        <w:tc>
          <w:tcPr>
            <w:tcW w:w="20" w:type="dxa"/>
            <w:vAlign w:val="bottom"/>
          </w:tcPr>
          <w:p>
            <w:pPr>
              <w:spacing w:after="0"/>
              <w:rPr>
                <w:sz w:val="12"/>
                <w:szCs w:val="12"/>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9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tcPr>
          <w:p>
            <w:pPr>
              <w:spacing w:after="0"/>
              <w:rPr>
                <w:sz w:val="12"/>
                <w:szCs w:val="12"/>
                <w:color w:val="auto"/>
              </w:rPr>
            </w:pPr>
          </w:p>
        </w:tc>
      </w:tr>
      <w:tr>
        <w:trPr>
          <w:trHeight w:val="142"/>
        </w:trPr>
        <w:tc>
          <w:tcPr>
            <w:tcW w:w="790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w:t>
            </w:r>
          </w:p>
        </w:tc>
        <w:tc>
          <w:tcPr>
            <w:tcW w:w="20" w:type="dxa"/>
            <w:vAlign w:val="bottom"/>
          </w:tcPr>
          <w:p>
            <w:pPr>
              <w:spacing w:after="0"/>
              <w:rPr>
                <w:sz w:val="12"/>
                <w:szCs w:val="12"/>
                <w:color w:val="auto"/>
              </w:rPr>
            </w:pPr>
          </w:p>
        </w:tc>
      </w:tr>
      <w:tr>
        <w:trPr>
          <w:trHeight w:val="142"/>
        </w:trPr>
        <w:tc>
          <w:tcPr>
            <w:tcW w:w="7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79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Effect of foreign currency translation on cash and cash equivalents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(4,196)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(7,623)</w:t>
            </w:r>
          </w:p>
        </w:tc>
        <w:tc>
          <w:tcPr>
            <w:tcW w:w="20" w:type="dxa"/>
            <w:vAlign w:val="bottom"/>
          </w:tcPr>
          <w:p>
            <w:pPr>
              <w:spacing w:after="0"/>
              <w:rPr>
                <w:sz w:val="12"/>
                <w:szCs w:val="12"/>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17,105</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20,586</w:t>
            </w:r>
          </w:p>
        </w:tc>
        <w:tc>
          <w:tcPr>
            <w:tcW w:w="20" w:type="dxa"/>
            <w:vAlign w:val="bottom"/>
          </w:tcPr>
          <w:p>
            <w:pPr>
              <w:spacing w:after="0"/>
              <w:rPr>
                <w:sz w:val="12"/>
                <w:szCs w:val="12"/>
                <w:color w:val="auto"/>
              </w:rPr>
            </w:pPr>
          </w:p>
        </w:tc>
      </w:tr>
      <w:tr>
        <w:trPr>
          <w:trHeight w:val="142"/>
        </w:trPr>
        <w:tc>
          <w:tcPr>
            <w:tcW w:w="7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12,909</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12,963</w:t>
            </w:r>
          </w:p>
        </w:tc>
        <w:tc>
          <w:tcPr>
            <w:tcW w:w="20" w:type="dxa"/>
            <w:vAlign w:val="bottom"/>
          </w:tcPr>
          <w:p>
            <w:pPr>
              <w:spacing w:after="0"/>
              <w:rPr>
                <w:sz w:val="12"/>
                <w:szCs w:val="1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Adagio Medical Holdings, Inc. together with its wholly-owned subsidiaries (collectively, the “Company”), is a medical technology company focused on the development and commercialization of ablation technologies for the treatment of cardiac arrhythmias. The Company is currently focused on the treatment of ventricular arrhythmias with its purpose-built vCLAS™ Ventricular Ablation System, which is CE Marked and is currently under evaluation in the Company’s FULCRUM-VT U.S. Investigational Device Exemption (“IDE”) Pivotal Study, which completed enrollment in October 2025. In April 2025, the Company received Breakthrough Device designation from the U.S. Food and Drug Administration (“FDA”) for the Company’s vCLAS™ Ventricular Ablation System for the treatment of drug-refractory, recurrent, sustained monomorphic ventricular tachycardia in patients with ischemic or non-ischemic structural heart disease. The Company’s technologies are based on its proprietary Ultra-Low Temperature Ablation (“ULTA”) platform, which is designed to produce durable, contiguous, transmural lesions anywhere in the heart using the Company’s differentiated catheters and consoles. Legacy Adagio (as defined below) received CE Mark in Europe for its vCLAS™ Cryoablation System for ventricular tachycardia (“VT”) in March 2024. The Company also received IDE approval from the FDA in April 2026 to expand the Company’s FULCRUM-VT trial to evaluate the safety and effectiveness of the Company’s next-generation vCLAS ULTA Ventricular Ablation System for the treatment of Sustained Monomorphic Ventricular Tachycardia (“SMVT”), the design of which is faster, smaller and more flexible than its predecessor vCLAS device. This next-generation device, which was designed to improve customer usability, requires only a single freeze. The Company has also developed pulsed field cryoablation (“PFCA”), a dual therapy platform technology that combines the Company’s proprietary ultralow temperature technology with pulsed field ablation (“PFA”). The Company is headquartered in Laguna Hills, California.</w:t>
      </w:r>
    </w:p>
    <w:p>
      <w:pPr>
        <w:spacing w:after="0" w:line="19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(as defined below) began trading on the Nasdaq Capital Market on August 1, 2024, under the symbol “ADGM”.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(“U.S. GAAP” )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 Company had cash and cash equivalents of $12.9 million and an accumulated deficit of $102.6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March 31, 2025, net loss was $7.0 million and $7.7 million, respectively.</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net cash used in operating activities was $4.1 million and $7.2 million, respectively.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2025, the Company announced a private placement of its common stock (or pre-funded warrants to purchase common stock in lieu thereof) and accompanying warrants to purchase shares of common stock, for aggregate gross proceeds of approximately $19.0 million (excluding up to $31.0 million of additional potential gross proceeds from the cash exercise of the common stock warrants) (the “Private Placement”).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ASC 205-40, Presentation of Financial Statements — Going Concern, the Company evaluates at each annual and interim reporting period whether conditions or events, considered in the aggregate, raise substantial doubt about its ability to continue as a going concern within one year after the date that the condensed consolidated financial statements are issued. As of the report date, the Company does not believe its existing cash and cash equivalents are sufficient to fund its operating and capital expenditure requirements for at least 12 months from the date of issuance of these unaudited consolidated financial statements. Based on its current plans and forecasted expenses, the Company expects that its cash and cash equivalents as of the report date, will enable the Company to fund its planned operating expenses and capital expenditure requirements into the third quarter of 2026.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 intends to mitigate the conditions and events that raise substantial doubt about the Company’s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disclosures normally included in consolidated financial statements presented in accordance with U.S. GAAP have been condensed or omitted. Accordingly, these unaudited condensed consolidated financial statements should be read in conjunction with the audited consolidated financial statements and the related notes included in the Company’s Annual Report on Form 10-K for the year ended December 31, 2025 (the “Annual Report”) filed with the Securities and Exchange Commission (“SEC”) on March 27,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condensed consolidated balance sheet as of March 31, 2026; the condensed consolidated statements of operations and comprehensive loss and condensed consolidated statements of stockholders’ equity for the three months ended March 31, 2026 and March 31, 2025; the condensed consolidated statements of cash flows for the three months ended March 31, 2026 and March 31, 2025; and the related footnote disclosures.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in accordance with U.S. GAAP and, in management’s opinion, include all adjustments, consisting only of normal recurring adjustments, necessary for a fair presentation of the Company’s financial position as of March 31, 2026, and its results of operations and comprehensive loss for the three months ended March 31, 2026, and March 31, 2025, and its cash flows for the three months ended March 31, 2026 and March 31,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for the three months ended March 31, 2026, are not necessarily indicative of the results that may be expected for the year ending December 31, 2026, or for any other interim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Adagio Medical Holdings, Inc., and its wholly-owned subsidiaries. All intercompany balances and transactions have been eliminated in consolidation.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Cash and cash equivalents were $12.9 million and $17.1 million as of March 31, 2026 and December 31,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European region, the Company may generate product revenue primarily from the sale of catheters (the “Consumables”) used with the Company’s consoles. The Company may sell its products directly to hospitals and medical centers. To a lesser extent, the Company may also generate lease revenue from the implied rental of consoles loaned to customers at no charge.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spacing w:after="0" w:line="72" w:lineRule="exact"/>
        <w:rPr>
          <w:sz w:val="20"/>
          <w:szCs w:val="20"/>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Company satisfies a performance obligation.</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As no revenue was recognized during the three months ended March 31, 2026 and 2025, no revenue was allocated to the lease components during these periods.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sales to customers of the Consumables were classified as revenue in the Company’s condensed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 Considerations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reported net of sales tax. The Company has made the accounting policy election not to recognize a separate performance obligation for the shipment of products to the customer but to account for it as fulfillment cost.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incremental costs to obtain contracts are recorded as selling, general, and administrative expense as incurred due to the short duration of the Company’s contracts.</w:t>
      </w:r>
    </w:p>
    <w:p>
      <w:pPr>
        <w:spacing w:after="0" w:line="16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March 31, 2025, no revenue was recognized.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Inventory consists of raw materials, work-in-process, and finished products and is valued at the lower of cost or net realizable value. The method by which those amounts are removed from the inventory is first-in first-out.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and amortization are provided using the straight-line method over the estimated useful lives of the related assets, generally three to five years, or, in the case of leasehold improvements, over the remaining life of the lease term. The Company uses an estimate of three years for the useful life of its consoles.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spacing w:after="0" w:line="180"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 xml:space="preserve">The Company’s intangible assets subject to amortization and other long-lived assets, are reviewed for impairment 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condensed consolidated statements of operations and comprehensive loss.</w:t>
      </w:r>
    </w:p>
    <w:p>
      <w:pPr>
        <w:spacing w:after="0" w:line="1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determined that there was no impairment of definite-lived intangible assets.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If, based on the qualitative assessment, the Company determines that it is more likely than not that the asset’s fair value is less than its carrying amount, or if the Company elects to bypass the qualitative assessment, the Company performs a quantitative impairment test. The quantitative impairment test consists of a one-step analysis that compares the fair value of the indefinite-lived intangible asset to its carrying amount. If the carrying amount exceeds the fair value, an impairment loss is recognized for the amount of the excess.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determined that there was no impairment of indefinite-lived intangible assets.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 tests goodwill for impairment at the reporting unit level. The Company has one reporting unit for the goodwill impairment testing purposes.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goodwill impairment charges were recorded for the three months ended March 31, 2026 and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three suppliers exceed 10% of total accounts payable as of March 31, 2026, representing 52% of accounts payable.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three suppliers exceed 10% of total accounts payable as of December 31, 2025, representing 74% of accounts payable.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32% and 48%, respectively, of the Company’s expenditures for the three months ended March 31, 2026.</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30% and 43%, respectively, of the Company’s expenditures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determined that no impairment of long-lived assets was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condensed consolidated balance sheets and foreign currency translation adjustment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 w:cs="Times New Roman" w:eastAsia="Times New Roman" w:hAnsi="Times New Roman"/>
          <w:sz w:val="18"/>
          <w:szCs w:val="18"/>
          <w:i w:val="1"/>
          <w:iCs w:val="1"/>
          <w:color w:val="auto"/>
        </w:rPr>
        <w:t>Note 10 - Operating Leases</w:t>
      </w:r>
      <w:r>
        <w:rPr>
          <w:rFonts w:ascii="Times New Roman" w:cs="Times New Roman" w:eastAsia="Times New Roman" w:hAnsi="Times New Roman"/>
          <w:sz w:val="18"/>
          <w:szCs w:val="18"/>
          <w:color w:val="auto"/>
        </w:rPr>
        <w:t xml:space="preserve"> for additional details.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implied rental agreements for its consoles qualify as operating leases and as such, revenue is recognized in accordance with ASC 842, Leases and ASC 606, Revenue from Contracts with Customers. As no revenue was recognized during the three months ended March 31, 2026 and March 31, 2025, no revenue was allocated to the lease components during these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the Company’s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also includes the depreciation expense of consoles loaned to the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corporate and financial matters, professional fees for accounting and consulting services, marketing costs and insurance costs. The Company expenses all selling, general, and administrative costs as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prices for similar assets or liabilities that are directly or indirectly observable in the marketplace.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permitted under ASC 825, Financial Instruments (“ASC 825”), the Company elected the fair value option to account for the Convertible Securities Notes (as defined below), in order to measure those liabilities at amounts that more accurately reflect the current economic environment in which the Company operates.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Convertible Securities Notes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18"/>
          <w:szCs w:val="18"/>
          <w:i w:val="1"/>
          <w:iCs w:val="1"/>
          <w:color w:val="auto"/>
        </w:rPr>
        <w:t>Note 3 - Fair Value Measurements</w:t>
      </w:r>
      <w:r>
        <w:rPr>
          <w:rFonts w:ascii="Times New Roman" w:cs="Times New Roman" w:eastAsia="Times New Roman" w:hAnsi="Times New Roman"/>
          <w:sz w:val="18"/>
          <w:szCs w:val="18"/>
          <w:color w:val="auto"/>
        </w:rPr>
        <w:t xml:space="preserve"> for further detail.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Milestone Warrants (as defined below) issued along with the 2025 PIPE Pre-funded Warrants (as defined below) issued in the 2025 PIPE Financing (as defined below), which are classified as equity. The Company has Convert Warrants (as defined below) issued along with the Convertible Securities Notes, issued in the 2024 PIPE Financing (as defined below), which are classified as liabilities. The Company also has PIPE Base Warrants (as defined below) issued in the 2024 PIPE Financing, which are classified as equity.</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loss.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9 - Warrants</w:t>
      </w:r>
      <w:r>
        <w:rPr>
          <w:rFonts w:ascii="Times New Roman" w:cs="Times New Roman" w:eastAsia="Times New Roman" w:hAnsi="Times New Roman"/>
          <w:sz w:val="18"/>
          <w:szCs w:val="18"/>
          <w:color w:val="auto"/>
        </w:rPr>
        <w:t xml:space="preserve"> for additional information related to the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 Based on the lack of historical data of volatility for the Company’s common stock, the Company bases its estimate of expected volatility on an average of the historical volatility of comparable public medical technology companies that reflect volatility characteristics relevant to the Company’s expected volatility analysis. The dividend yield is based upon the assumption that the Company will not declare a dividend over the life of the options. The risk-free interest rate is based on the U.S. Treasury yield curve in effect at the time of grant for bonds with maturities consistent with the expected term of the related award. Refer to </w:t>
      </w:r>
      <w:r>
        <w:rPr>
          <w:rFonts w:ascii="Times New Roman" w:cs="Times New Roman" w:eastAsia="Times New Roman" w:hAnsi="Times New Roman"/>
          <w:sz w:val="18"/>
          <w:szCs w:val="18"/>
          <w:i w:val="1"/>
          <w:iCs w:val="1"/>
          <w:color w:val="auto"/>
        </w:rPr>
        <w:t>Note 13 - Stock-Based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or penalties on its condensed consolidated balance sheets and did not recognize any interest or penalties in its condensed consolidated statements of operations and comprehensive loss for the three months ended March 31, 2026 and March 31, 2025, respectively.</w:t>
      </w:r>
    </w:p>
    <w:p>
      <w:pPr>
        <w:spacing w:after="0" w:line="18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To date, there have been no interest or penalties charged in relation to the unrecognized tax benefits. Refer to </w:t>
      </w:r>
      <w:r>
        <w:rPr>
          <w:rFonts w:ascii="Times New Roman" w:cs="Times New Roman" w:eastAsia="Times New Roman" w:hAnsi="Times New Roman"/>
          <w:sz w:val="18"/>
          <w:szCs w:val="18"/>
          <w:i w:val="1"/>
          <w:iCs w:val="1"/>
          <w:color w:val="auto"/>
        </w:rPr>
        <w:t>Note 15 -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for additional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(Topics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adopted the updated standard in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its money market accounts (included as part of cash and cash equivalents), accounts receivable, accounts payable, common stock warrant liabilities (i.e., the Convert Warrants), and convertible notes payables (i.e., the Convertible Securities Notes). The recorded carrying amounts of cash and equivalents, accounts receivable and accounts payable approximates fair value due to their short-term nature. The convertible notes and common stock warrant liabilities are carried at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condensed consolidated balance sheets consist of cash equivalents, common stock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at fair value based on the fair value hierarchy for each class of instrument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transfers made among the three levels in the fair value hierarchy for the three months ended March 31, 2026 and March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July 31, 2024, the Company issued the $20.0 million Convertible Securities Notes to the Convert Investors (as defined below)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 w:cs="Times New Roman" w:eastAsia="Times New Roman" w:hAnsi="Times New Roman"/>
          <w:sz w:val="18"/>
          <w:szCs w:val="18"/>
          <w:i w:val="1"/>
          <w:iCs w:val="1"/>
          <w:color w:val="auto"/>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for details.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the Convertible Securities Notes at fair value based on significant inputs not observable in the market, which caused them to be classified as Level 3 measurements within the fair value hierarchy.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utilized the binomial lattice model to value the Convertible Securities Notes as of March 31, 2026, and December 31, 2025. The following table summarizes the significant inputs as of the valuation dates: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Convertible Securities Notes</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Convertible Securities Notes - Three Months Ended March 31, 2026</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38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10"/>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r>
      <w:tr>
        <w:trPr>
          <w:trHeight w:val="20"/>
        </w:trPr>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Convertible Securities Notes - Three Months Ended March 31, 2025</w:t>
            </w:r>
          </w:p>
        </w:tc>
        <w:tc>
          <w:tcPr>
            <w:tcW w:w="35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580" w:type="dxa"/>
            <w:vAlign w:val="bottom"/>
            <w:vMerge w:val="restart"/>
          </w:tcPr>
          <w:p>
            <w:pPr>
              <w:jc w:val="right"/>
              <w:ind w:right="295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1,500,000 Convert Warrants in connection with the issuance of the $20.0 million Convertible Securities Notes. Refer to </w:t>
      </w:r>
      <w:r>
        <w:rPr>
          <w:rFonts w:ascii="Times New Roman" w:cs="Times New Roman" w:eastAsia="Times New Roman" w:hAnsi="Times New Roman"/>
          <w:sz w:val="18"/>
          <w:szCs w:val="18"/>
          <w:i w:val="1"/>
          <w:iCs w:val="1"/>
          <w:color w:val="auto"/>
        </w:rPr>
        <w:t>Note 9 - Warrants</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if it fails to timely deliver shares to the holder who exercises the Convert Warrants or upon the occurrence of a fundamental transaction. It is determined that the Convert Warrants do not meet the equity classification requirements under ASC 815 as the Convert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Convert Warrants are classified as Level 3 measurements within the fair value hierarchy. The Company utilized the Black-Scholes-Merton option model to value the Convertible Securities Notes as of March 31, 2026, and December 31, 2025. The following table summarizes the significant inputs as of the valuation dates: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Convert Warrants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8"/>
                <w:szCs w:val="18"/>
                <w:color w:val="auto"/>
              </w:rPr>
            </w:pP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70.0 %</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three months ended March 31, 2026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Convert Warrants - Three Months Ended March 31, 2026</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0"/>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three months ended March 31,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Convert Warrants - Three Months Ended March 31, 2025</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Inventory,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as of March 31, 2026 and December 31, 2025, consists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4120" w:type="dxa"/>
            <w:vAlign w:val="bottom"/>
          </w:tcPr>
          <w:p>
            <w:pPr>
              <w:spacing w:after="0"/>
              <w:rPr>
                <w:sz w:val="18"/>
                <w:szCs w:val="18"/>
                <w:color w:val="auto"/>
              </w:rPr>
            </w:pPr>
          </w:p>
        </w:tc>
        <w:tc>
          <w:tcPr>
            <w:tcW w:w="32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gridSpan w:val="3"/>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30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0"/>
        </w:trPr>
        <w:tc>
          <w:tcPr>
            <w:tcW w:w="4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Obsolete and expired inventory are expensed as incurred. Inventory is recorded net of obsolescence and manufacturing scrap of $49 thousand and $0.3 million as of March 31, 2026 and December 31, 2025, respectively. As of March 31, 2026, all the Company’s inventory is related to catheters and consoles.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net, as of March 31, 2026, and December 31, 2025,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8"/>
        </w:trPr>
        <w:tc>
          <w:tcPr>
            <w:tcW w:w="7340" w:type="dxa"/>
            <w:vAlign w:val="bottom"/>
          </w:tcPr>
          <w:p>
            <w:pPr>
              <w:ind w:left="7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Tools and molds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Demo equipment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and $0.3 million for the three months ended March 31, 2026 and March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net as of March 31, 2026 and December 31, 2025 consists of the following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6100" w:type="dxa"/>
            <w:vAlign w:val="bottom"/>
            <w:vMerge w:val="restart"/>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2"/>
            <w:vMerge w:val="continue"/>
          </w:tcPr>
          <w:p>
            <w:pPr>
              <w:spacing w:after="0"/>
              <w:rPr>
                <w:sz w:val="15"/>
                <w:szCs w:val="15"/>
                <w:color w:val="auto"/>
              </w:rPr>
            </w:pPr>
          </w:p>
        </w:tc>
        <w:tc>
          <w:tcPr>
            <w:tcW w:w="7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6100" w:type="dxa"/>
            <w:vAlign w:val="bottom"/>
            <w:vMerge w:val="restart"/>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2"/>
            <w:vMerge w:val="continue"/>
          </w:tcPr>
          <w:p>
            <w:pPr>
              <w:spacing w:after="0"/>
              <w:rPr>
                <w:sz w:val="15"/>
                <w:szCs w:val="15"/>
                <w:color w:val="auto"/>
              </w:rPr>
            </w:pPr>
          </w:p>
        </w:tc>
        <w:tc>
          <w:tcPr>
            <w:tcW w:w="7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Company’s qualitative analysis, no intangible assets impairment charges were recorded for the three months ended March 31, 2026.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year ended December 31, 2025.</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changes in goodwill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324485</wp:posOffset>
            </wp:positionV>
            <wp:extent cx="629221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629221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880" w:space="720"/>
            <w:col w:w="3320"/>
          </w:cols>
          <w:pgMar w:left="980" w:top="513" w:right="99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three months ended March 31, 2026.</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Accrued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details of accrued liabilities as of March 31, 2026, and December 31, 2025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7320" w:type="dxa"/>
            <w:vAlign w:val="bottom"/>
          </w:tcPr>
          <w:p>
            <w:pPr>
              <w:ind w:left="7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deferred professional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9"/>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debt as of March 31, 2026, and December 31, 2025, consists of the following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5"/>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the Company’s common stock at a conversion price of $10.00 per share, subject to adjustment per the terms of the agreement. In the event of default, the Company may irrevocably elect to permit the holder to effect alternate conversion, for which the conversion calculation and price are specified in the agreement.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1,500,000 Convert Warrants, each of which is exercisable on a cashless basis, or for one share of the Company’s common stock at $24.00 per share, subject to adjustment. The Convertible Securities Notes have a maturity of three years and nine months after the Closing and interest will be payable in cash or compounded as additional principal outstanding, which accrues on a quarterly basis. At the Company’s option, payment of interest can either be (i) made quarterly in cash, or (ii) compounded and become additional principal of the Convertible Securities Notes. As of March 31, 2026, the Company does not anticipate making a cash interest payment within the next 12 months.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convertible notes issued in February 2024 (the “February 2024 Convertible Notes”) was carried out on the same terms as the other Convert Investors executing the Convertible Security Subscription Agreement.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recognized interest expense of $0.8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of the issuance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Base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committed financing valued at $64.5 million (the “2024 PIPE Financing”).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PIPE Financing included:</w:t>
      </w:r>
    </w:p>
    <w:p>
      <w:pPr>
        <w:spacing w:after="0" w:line="225" w:lineRule="exact"/>
        <w:rPr>
          <w:sz w:val="20"/>
          <w:szCs w:val="20"/>
          <w:color w:val="auto"/>
        </w:rPr>
      </w:pPr>
    </w:p>
    <w:p>
      <w:pPr>
        <w:jc w:val="both"/>
        <w:ind w:left="1340" w:hanging="657"/>
        <w:spacing w:after="0" w:line="266"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6"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the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3,540,000 Base Warrants along with 4,372,607 shares of the Company’s common shares to settle the outstanding principal and accrued interest of the Bridge Financing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issued 3,345,069 Base Warrants along with 3,287,018 shares of the Company’s common stock and 670,000 PIPE Pre-Funded Warrants to PIPE Investors for cash proceeds received in the 2024 PIPE Financing.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643,658 Base Warrants along with 761,229 shares of the Company’s common stock in exchange for the non-redeemable 468,941 shares of ARYA’s Class A ordinary shares held by certain Other PIPE Investors.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Warrants can be exercised for the Company’s common stock at any time during the period from the issuance date to the expiration date, which is the fifth anniversary from the date of issuance. The warrants can be exercised on a gross or net basis at an exercise price of $10 per share.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five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PIPE Milestone and Pre-Funded Warrants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14, 2025, the Company entered into a Securities Purchase Agreement (the “Securities Purchase Agreement”) with certain accredited healthcare investors (the “Purchasers”) pursuant to which it issued and sold to the Purchasers in the Private Placement (the “2025 PIPE Financing”): (i) 9,792,506 shares (the “Shares”) of its common stock, par value $0.0001 per share (the “Common Stock”), or pre-funded warrants (the “2025 PIPE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 (c) 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the Company. Each Share, or Pre-Funded Warrant in lieu thereof,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The combined purchase price of each Pre-Funded Warrant and accompanying Milestone Warrant is $1.9402 (equal to the combined purchase price per Share and accompanying Milestone Warrants, minus $0.0001).</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According to the ASC 815, it is determined that the Base Warrants associated with the 2024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its announcement of results from the Company’s FULCRUM-VT IDE pivotal clinical trial, (b) for the Tranche B Warrants, the date that is thirty (30) days following its announcement of FDA approval of the vCLAS Cryoablation System, and (c) for the Tranche C Warrants, the date that is thirty (30) days following the Company’s announcement of FDA approval of its second generation vCLAS catheter system. The 2025 PIPE Pre-Funded Warrants are exercisable for one share of Common Stock at an exercise price of $0.0001 per share. The 2025 PIPE Pre-Funded Warrants are immediately exercisable and may be exercised at any time until all of the 2025 PIPE Pre-Funded Warrants are exercised in full.</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holder (together with its affiliates) of the 2025 PIPE Pre-Funded Warrants or Milestone Warrants, as the case may be, may not exercise any portion of the 2025 PIPE Pre-Funded Warrants or Milestone Warrants to the extent that the holder would own more than 4.99% (or, at the holder’s option upon issuance, 9.99%) of the Company’s outstanding Common Stock immediately after exercise, which percentage may be changed at the holder’s election to a lower or higher percentage not in excess of 19.99% upon 61 days’ notice to the Company subject to the terms of the 2025 PIPE Pre-Funded Warrants or the Milestone Warrants. In lieu of making the cash payment otherwise contemplated to be made to the Company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2025 PIPE Pre-Funded Warrants.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815-40, the Company determined that the Milestone Warrants and the 2025 PIPE Pre-Funded Warrants issued in connection with the 2025 PIPE Financing are indexed to the Company’s common stock and qualify for equity classification. Accordingly, the warrants are accounted for as equity and initially measured at fair value.</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Milestone Warrants and the 2025 PIPE Pre-Funded Warrants meet the indexation and settlement guidance in ASC 815 because they can be exercised at any time during the exercise period without contingencies and are exercisable for a fixed number of shares at fixed exercise prices, with any adjustments, such as antidilution and alternative issuance adjustments, consistent with ASC 815 guidance, which does not preclude equity classification. The Milestone Warrants are exercisable for an aggregate of 18,038,829 shares of the Company’s common stock, and the Pre-Funded Warrants are exercisable for 3,994,434 shares of common stock, representing the maximum number of shares issuable under the agreements. As of December 31, 2025, the Company had sufficient authorized shares available to settle the Milestone Warrants and the 2025 PIPE Pre-Funded Warrants, and all the adjustments are in the control of the Company, further supporting the equity classification.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1,030,822 2025 PIPE Pre-Funded Warrant shares were exercised on a cash basis for 1,030,822 shares of the Company’s common stock. The exercise price for the 2025 PIPE Pre-Funded Warrants was $0.0001 per share.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there were 2,963,612 2025 PIPE Pre-Funded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Operating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leases distribution and research and development facilities as well as sub-leases office and manufacturing space from third parties under its operating leases. The leases have expirations ranging from March 2026 to March 2031,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does not have any finance or short-term leases and has not entered into leases which have not yet commenced that would entitle the Company to significant rights or create additional obligations during the periods as of March 31, 2026 and December 31, 2025.</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quantitative information of the Company’s operating leases for the three months ended March 31, 2026 and March 31, 2025.</w:t>
      </w:r>
    </w:p>
    <w:p>
      <w:pPr>
        <w:ind w:left="7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8 %</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cost was $69.0 thousand and $74.0 thousand for the three months ended March 31, 2026 and March 31, 2025, respectively. The Company did not incur any variable lease cost for the three months ended March 31, 2026 and March 31, 2025.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minimum payments under the non-cancelable operating leases as of March 31, 2026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December 31, 2026</w:t>
            </w:r>
          </w:p>
        </w:tc>
        <w:tc>
          <w:tcPr>
            <w:tcW w:w="3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 ending December 31, 2031</w:t>
            </w:r>
          </w:p>
        </w:tc>
        <w:tc>
          <w:tcPr>
            <w:tcW w:w="2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5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2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0"/>
        </w:trPr>
        <w:tc>
          <w:tcPr>
            <w:tcW w:w="5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9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5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12 -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certificate of incorporation, as amended and restated, authorized the Company to issue up to 210,000,000 shares of common stock at a par value of $0.0001 per share, and 20,000,000 shares of preferred stock, par value $0.0001 per share. As of March 31, 2026, 22,210,459 shares were issued and outstanding, including 1,147,500 Sponsor Earnout (as defined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2024, the Company issued 1,147,500 shares of the Company’s Common Stock (such issuance, the “Sponsor Earnout”) to the ARYA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30 trading day period from and after the Closing Date and (ii) immediately prior to the consummation of a company sale during the Earn-Out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reporting date, the vesting of the Sponsor Earnout was not considered probable.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receive dividends whenever funds are legally available, when and if declared by the Company’s Board of Directors. As of March 31, 2026, no cash dividend has been declared to date. Each share of the Company’s common stock is entitled to one vote.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reserved common stock for further issuance as of March 31,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Warrants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2025 PIPE Pre-funded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2,963,612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2,963,612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2025 PIPE Milestone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18,038,829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18,038,829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Company’s common stock issuable upon the exercise of outstanding options Legacy Adagio’s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equity plans that were assumed in the Business Combination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Equity Incentive Plan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9,471,488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6,197,737</w:t>
            </w:r>
          </w:p>
        </w:tc>
        <w:tc>
          <w:tcPr>
            <w:tcW w:w="0" w:type="dxa"/>
            <w:vAlign w:val="bottom"/>
          </w:tcPr>
          <w:p>
            <w:pPr>
              <w:spacing w:after="0"/>
              <w:rPr>
                <w:sz w:val="1"/>
                <w:szCs w:val="1"/>
                <w:color w:val="auto"/>
              </w:rPr>
            </w:pPr>
          </w:p>
        </w:tc>
      </w:tr>
      <w:tr>
        <w:trPr>
          <w:trHeight w:val="198"/>
        </w:trPr>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Key Employee Equity Incentive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Employee Stock Purchase Plan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46,537,307</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43,263,556</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1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expense recorded in the condensed consolidated statements of operations and comprehensive loss for the three months ended March 31, 2026 and March 31, 2025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4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22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5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2026, the number of shares of common stock available for issuance under the 2024 Equity Incentive Plan increased by 3,273,751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2,328,840 awards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Key Employee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1,340,000 awards under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ten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not granted any purchase rights under this plan as of March 31, 2026.</w:t>
      </w:r>
    </w:p>
    <w:p>
      <w:pPr>
        <w:spacing w:after="0" w:line="225"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color w:val="auto"/>
        </w:rPr>
        <w:t>The following table summarizes stock option activity related to the 2024 Equity Incentive Plan and 2024 Key Employee Equity Incentive Plan during the three months ended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 Price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5,785,552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60" w:type="dxa"/>
            <w:vAlign w:val="bottom"/>
            <w:gridSpan w:val="2"/>
          </w:tcPr>
          <w:p>
            <w:pPr>
              <w:jc w:val="center"/>
              <w:ind w:left="939"/>
              <w:spacing w:after="0"/>
              <w:rPr>
                <w:sz w:val="20"/>
                <w:szCs w:val="20"/>
                <w:color w:val="auto"/>
              </w:rPr>
            </w:pPr>
            <w:r>
              <w:rPr>
                <w:rFonts w:ascii="Times New Roman" w:cs="Times New Roman" w:eastAsia="Times New Roman" w:hAnsi="Times New Roman"/>
                <w:sz w:val="18"/>
                <w:szCs w:val="18"/>
                <w:color w:val="auto"/>
                <w:w w:val="99"/>
              </w:rPr>
              <w:t>3,668,840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 2026</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9,454,392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vested, March 31, 2026</w:t>
            </w:r>
          </w:p>
        </w:tc>
        <w:tc>
          <w:tcPr>
            <w:tcW w:w="10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8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2,337,004</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1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197"/>
        </w:trPr>
        <w:tc>
          <w:tcPr>
            <w:tcW w:w="4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Options vested and expected to vest, March 31, 2026</w:t>
            </w:r>
          </w:p>
        </w:tc>
        <w:tc>
          <w:tcPr>
            <w:tcW w:w="10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9,454,392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was $5.2 million of unrecognized compensation cost related to unvested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above, the Company has not granted any options under the 2024 Employee Stock Purchase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Loss Per Share (“LPS”)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two-class method, undistributed earnings allocated to these participating securities are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three months ended March 31, 2026, the Convertible Securities Notes were not considered participating securities and were excluded from the two-class method calculation.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Basic LPS under the two-class method includes the impact of the Company’s PIPE Pre-funded Warrants as the PIPE Pre-funded Warrants are exercisable for only $0.01 per share (i.e., de minimis cash consideration) without an expiration date and not subject to exercise contingencies.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loss per share attributable to common stockholders and the participating securities for the periods presented (in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LPS: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7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 Basic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22,210,459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15,375,521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loss per share attributable to common stockholders for the periods presented (in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LPS: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7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 – Basic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Adjustment for fair value changes to convertible securities notes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effect of shares issuable to Convertible Securities Notes (if-converted method)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shares – Diluted (if-converted method)</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0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9"/>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2025 Milestone Warrants</w:t>
            </w: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18,038,829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Convert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subject to vesting conditions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2025 PIPE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2,963,612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Securities Notes shares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3,232,331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3,232,331</w:t>
            </w: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9,454,392</w:t>
            </w: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4,876,552</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43,865,391</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18,285,110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2026, there was no material change from the fiscal year ended December 31, 2025, in the amount of the Company's deferred tax assets that are not considered to be more likely than not to be realized in future years.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foreign and state tax jurisdictions. The tax years 2021-2025 remain open to examination by the major taxing jurisdictions to which the Company is subject, except the Internal Revenue Service for which the tax years 2022-2025 remain open.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has incorporated the provisions that were effective during the third quarter of 2025 and assessed that the impacts did not have a material impact on its condensed consolidated financial statements. The Company will continue to assess any future impacts on its condensed consolidated financial statements and will recognize the income tax effects beginning in the period in which they are effective</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incurred less than $0.01 million and $0.2 million, respectively, for finance and accounting services and other general and administrative support services (“Shared Services Agreement”) to Fjord Ventures (“Fjord”), a company owned and operated by the Company’s former CEO. The Shared Services Agreement was terminated on August 31, 2025. Effective September 1, 2025, the Company entered into a new shared services agreement with Fjord for human resources and payroll services. The transactions are recorded as selling, general, and administrative expenses on the consolidated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Convertible Securities Notes agreement, the Company issued $7.0 million Convertible Securities Notes to Perceptive PIPE Investor, the controlling party of the Company, in exchange for Perceptive PIPE Investor’s investment in Legacy Adagio in the form of the February 2024 Convertible Notes. Refer to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PIPE Financing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2024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in connection with the 2024 PIPE Financing, the Company issued 2,250,352 shares of the Company’s common stock and 1,905,069 Base Warrants to Perceptive PIPE Investor, the controlling party of the Company, in exchange for Perceptive PIPE Investor’s additional cash investment of $15.9 million in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PIPE Financing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2025 PIPE Financing, the Company issued 2,190,496 2025 PIPE Pre-Funded Warrants and Milestone Warrants for an aggregate purchase price of $4,250,000 to Perceptive PIPE Investor, the controlling party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managed on a consolidated basis by the Chief Executive Officer (CEO), who is the chief operating decision maker (“CODM”). In identifying one reportable segment, the Company considered the basis of organization for the design and development and commercialization of ablation technologies for the treatment of cardiac arrhythmias.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and decides how to allocate resources based on consolidated net loss as reported in the condensed consolidated statements of operations and comprehensive loss. There are no other expense categories regularly provided to the CODM that are not already included in the condensed consolidated statements of operations and comprehensive loss. The measure of segment assets is reported on the condensed consolidated balance sheet as total consolidated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Summary of segment net loss, including significant segment expenses were as follows: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6820" w:type="dxa"/>
            <w:vAlign w:val="bottom"/>
          </w:tcPr>
          <w:p>
            <w:pPr>
              <w:spacing w:after="0"/>
              <w:rPr>
                <w:sz w:val="24"/>
                <w:szCs w:val="24"/>
                <w:color w:val="auto"/>
              </w:rPr>
            </w:pPr>
          </w:p>
        </w:tc>
        <w:tc>
          <w:tcPr>
            <w:tcW w:w="310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8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loss,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(1,795)</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(6,995)</w:t>
            </w: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r>
      <w:tr>
        <w:trPr>
          <w:trHeight w:val="20"/>
        </w:trPr>
        <w:tc>
          <w:tcPr>
            <w:tcW w:w="6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these condensed consolidated financial statements were issued and has determined that there were no subsequent events that required recognition or disclosure in the condensed consolidated financial statements.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consolidated financial statements and the related notes and other financial information included elsewhere in this Quarterly Report on Form 10-Q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Report to “we,” “us,” “Adagio,” and “the Company” refer to the business and operations of Adagio Medical Holdings, Inc. and its consolidated subsidiaries. References to our “management” or our “management team” refer to our officers and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medical device company focused on developing and commercializing products for the treatment of cardiac arrhythmias with our novel, proprietary, catheter-based Ultra-Low Temperature Ablation (“ULTA”) technology. Our initial focus is on the treatment of ventricular tachycardia (“VT”). VT is a rapid, abnormal heart rhythm, or arrhythmia, that originates in the heart's lower chambers, or ventricles, potentially leading to impaired blood flow and, if sustained, VT can be fatal. VT-associated sudden cardiac death (“SCD”) accounts for approximately 300,000 deaths each year in the U.S.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and can lead to sub-optimal outcomes, factors that have potentially led to the limited growth in the market for VT ablations.</w:t>
      </w:r>
    </w:p>
    <w:p>
      <w:pPr>
        <w:spacing w:after="0" w:line="192"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Our clinically tested, proprietary ULTA products are purpose-built to treat patients with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are designed for large, durable, deep lesions within the ventricle through an endocardial approach with no required irrigation. In October 2025, we announced completion of enrollment in our FULCRUM-VT Pivotal U.S. Food and Drug Administration (“FDA”) Investigational Device Exemption (“IDE”) study evaluating the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Ventricular Ablation System for treatment of monomorphic ventricular tachycardia (“MMVT”) in patients with both ischemic and nonischemic cardiomyopathy. The vCLAS System, which was granted Breakthrough Device Designation by the FDA in April 2025, is built on the Company’s proprietary ULTA technology platform.</w:t>
      </w:r>
    </w:p>
    <w:p>
      <w:pPr>
        <w:spacing w:after="0" w:line="19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purpose-built solution has the potential to drive additional market growth in ablative treatment of the large, underserved VT patient population.</w:t>
      </w:r>
    </w:p>
    <w:p>
      <w:pPr>
        <w:spacing w:after="0" w:line="162"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and pulsed field ablation (“PFA”) energy. Our first-in-human CRYOCURE-VT trial included 64 patients in nine centers in the European Union and Canada. The outcomes of this trial, which were used to support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Ventricular Ablation System for VT obtained European CE Mark approval in March 2024. In the United States, our 209-patient FULCRUM-VT IDE pivotal clinical trial completed enrollment in October 2025 across nineteen (19) centers in the United States and Canada. The study includes patients with both ischemic (“ICM”) and non-ischemic (“NICM”) cardiomyopathies (LVEF=35+/-10%, 33% NICM, 75% with congestive heart failure). In our preliminary acute safety and efficacy results, acute clinical success, defined as non-inducibility of target ventricular arrhythmias, was 97.4%, with all clinically-relevant VTs eliminated in 96.7% of patients tested by post-ablation programmed electrical stimulation. Key safety findings included a 2.5% rate of major adverse events including four (1.9%) peri-procedural deaths, of which one (0.5%) was adjudicated by an independent clinical events committee as definitely related to the investigational device. We plan to submit the results of this trial to support our application for FDA approval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Ventricular Ablation System in the first half of 2026, and to share our six-month primary efficacy endpoint results of the FULCRUM-VT trial in April 2026 at the Heart Rhythm 2026 Conference.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currently developing a next generation ULTA technology for VT. We received IDE approval from the FDA in April 2026 to expand the Company’s FULCRUM-VT trial to evaluate the safety and effectiveness of our next-generation vCLAS ULTA Ventricular Ablation System for the treatment of Sustained Monomorphic Ventricular Tachycardia (“SMVT”). The next-generation catheter, which requires only a single freeze, is being designed to improve customer usability and integration with the existing ablation laboratory workflow. The next-generation catheter features a more flexible, smaller diameter shaft that is compatible with the industry-standard 8.5 Fr sheaths, and is designed to operate at lower ablation temperatures resulting in the shorter, single-freeze ablation protocol.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ULTA in combination with PFA, which we call Pulsed Field Cryoablation (“PFCA”). Early demonstration of PFCA technology has been performed in the European PARALELL trial in patients with persistent atrial fibrillation and in preclinical studies targeting VT ablations.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 2011. As of March 31, 2026, and December 31, 2025, we had an accumulated deficit of $102.6 million and $95.6 million, respectively. For the three months ended March 31, 2026, and March 31, 2025, net loss was $7.0 million and $7.7 million, respectively. The net cash used in operating activities was $4.1 million and $7.2 million, respectively. Substantially all of our accumulated deficit has resulted from costs incurred in connection with our research and development programs and from general and administrative costs associated with our operations. As of March 31, 2026, and December 31, 2025, we had cash of $12.9 million and $17.1 million, respectively.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Operating Outlook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basis that assumes we will continue as a going concern, which contemplates the realization of assets and the satisfaction of liabilities in the normal course of business. We have limited revenue and have experienced recurring operating losses and negative cash flows from operations since our inception and anticipate that we will continue to do so for at least the next several years.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the report date, we do not believe our existing cash and cash equivalents are sufficient to fund our operating and capital expenditure requirements for at least 12 months from the date of issuance of the audited consolidated financial statements included in this Report. Based on our current research and development plans, we expect to have sufficient resources to fund our planned operations into the third quarter of 2026. We have based this estimate on assumptions that may prove to be wrong, and we could exhaust our capital resources sooner than expected. No assurance can be given as to whether additional needed financing will be available on terms acceptable to us, if at all. If sufficient funds on acceptable terms are not available when needed, we may be required to suspend or forego certain planned activities. Failure to manage discretionary spending or raise additional financing, as needed, could adversely impact our ability to achieve our intended business objectives and may have an adverse effect on our results of operations and future prospects. These factors raise substantial doubt about our ability to continue as a going concern for the twelve-month period from the date of this filing with the SEC. Refer to </w:t>
      </w:r>
      <w:r>
        <w:rPr>
          <w:rFonts w:ascii="Times New Roman" w:cs="Times New Roman" w:eastAsia="Times New Roman" w:hAnsi="Times New Roman"/>
          <w:sz w:val="18"/>
          <w:szCs w:val="18"/>
          <w:i w:val="1"/>
          <w:iCs w:val="1"/>
          <w:color w:val="auto"/>
        </w:rPr>
        <w:t>Note 1 - Description of Organization and Business Operations</w:t>
      </w:r>
      <w:r>
        <w:rPr>
          <w:rFonts w:ascii="Times New Roman" w:cs="Times New Roman" w:eastAsia="Times New Roman" w:hAnsi="Times New Roman"/>
          <w:sz w:val="18"/>
          <w:szCs w:val="18"/>
          <w:color w:val="auto"/>
        </w:rPr>
        <w:t xml:space="preserve"> in our condensed consolidated financial statements for additional information on the going concern assessment.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need for additional capital in the future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Merger</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physicians to treat more patients more efficiently and effectively. Our continued success depends on our ability to:</w:t>
      </w:r>
    </w:p>
    <w:p>
      <w:pPr>
        <w:spacing w:after="0" w:line="162" w:lineRule="exact"/>
        <w:rPr>
          <w:sz w:val="20"/>
          <w:szCs w:val="20"/>
          <w:color w:val="auto"/>
        </w:rPr>
      </w:pPr>
    </w:p>
    <w:p>
      <w:pPr>
        <w:ind w:left="680" w:right="2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9"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Our Growth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Insurance Coverage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Historically, we have generated product revenue primarily from the sale of the catheters used with our consoles. We have sold our products directly to hospitals and medical centers. To a lesser extent, we also generated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condensed consolidated financial statements for additional details on our revenue recognition policy. Our revenue is subject to fluctuation due to the foreign currency in which our products are sold.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2025, we announced a strategic realignment of resources to prioritize the completion of our FULCRUM-VT U.S. pivotal IDE clinical trial and our product design optimization program. As part of this realignment, we paused the limited European launch of our vCLAS™ catheter and significantly reduced commercial activities. As a result, we did not generate revenue during the period ended March 31,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 Such ongoing cost is presented with research and development cost for the period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are related to the development of our product candidates which includes pre-clinical, clinical, quality assurance, and research and development operational activities. These costs consist of:</w:t>
      </w:r>
    </w:p>
    <w:p>
      <w:pPr>
        <w:spacing w:after="0" w:line="162" w:lineRule="exact"/>
        <w:rPr>
          <w:sz w:val="20"/>
          <w:szCs w:val="20"/>
          <w:color w:val="auto"/>
        </w:rPr>
      </w:pPr>
    </w:p>
    <w:p>
      <w:pPr>
        <w:ind w:left="100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associated with clinical trials performed by third parties;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and costs related to product manufacturing;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including rent and facilities costs, and depreciation.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expects the research and development expenses to increase in future periods, as we will incur incremental expenses associated with our ULTA products that are currently under development and in pre-clinical and clinical trials. Product candidates in later stages of clinical development generally have higher development costs, primarily due to the increased size and duration of later-stage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In future periods we expect our selling, general, and administrative expenses to increase as we continue to expand on our operations and grow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fair value adjustment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the Convertible Securities Notes (as defined below), including amounts related to interest, is recorded in “Convertible notes fair value adjustment.”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investors (the “Convert Investors”) executed a securities purchase agreement dated February 13, 2024, with ListCo (the “Convertible Security Subscription Agreement”), pursuant to which ListCo issued on the Closing Date to the Convert Investors $20.0 million of 13% senior secured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into Convertible Securities Notes and Convert Warrants at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fair value adjustment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condensed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is primarily incurred from our outstanding debt obligations under the Convertible Securities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cash equivalents, and money market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income, net primarily consists of foreign currency unrealized and realized gain/loss, and other income related to our research and development (“R&amp;D”)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Comparison for the three months ended March 31, 2026 to the three months ended March 31, 2025</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results of operations, expressed as percentages of net revenue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 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9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1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fair value adjustment</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loss, net</w:t>
            </w:r>
          </w:p>
        </w:tc>
        <w:tc>
          <w:tcPr>
            <w:tcW w:w="1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(7,713)</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06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40" w:type="dxa"/>
            <w:vAlign w:val="bottom"/>
          </w:tcPr>
          <w:p>
            <w:pPr>
              <w:spacing w:after="0"/>
              <w:rPr>
                <w:sz w:val="17"/>
                <w:szCs w:val="17"/>
                <w:color w:val="auto"/>
              </w:rPr>
            </w:pPr>
          </w:p>
        </w:tc>
        <w:tc>
          <w:tcPr>
            <w:tcW w:w="5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was nil for each of the three months ended March 31, 2026 and March 31, 2025, due to our pause in commercial activity in Europe.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 was nil for the three months ended March 31, 2026, compared to $0.3 million for the three months ended March 31, 2025, representing a decrease of $0.3 million, or 100%. The decrease was primarily attributable to the pause in commercial activity in Europe. Depreciation expense related to consoles loaned to customers is generally classified within cost of revenue; however, because we did not generate revenue during the three months ended March 31, 2026, such depreciation expense is now reflected within research and development expenses for the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$2.7 million for the three months ended March 31, 2026, compared to $3.7 million for the three months ended March 31, 2025, representing a decrease of $1.0 million, or 25%. The decrease was primarily attributable to lower clinical trial expenses and lower product development costs, including consulting, prototyping, and project-related support, partially offset by higher operational costs, including the aforementioned depreciation expense.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breakdown of our research and development costs by type of expense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8"/>
        </w:trPr>
        <w:tc>
          <w:tcPr>
            <w:tcW w:w="7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trial costs and other research and development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Quality assurance 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Operational costs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09"/>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clinical trial expenses relate to trials for our iCLAS atrial ULTA catheter and system (CYROCURE-2), iCLAS atrial ULTA catheter and system (iCLAS for persistent atrial fibrillation), vCLAS ventricular ULTA catheter (CYROCURE-VT), vCLAS ventricular ULTA catheter (FULCRUM-VT), and PFCA catheter. Clinical trial costs include the expenses related to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expenses related to product manufacturing.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$2.5 million for the three months ended March 31, 2026, compared to $3.5 million for the three months ended March 31, 2025, representing a decrease of $1.0 million, or 29%. The decrease was primarily due to lower professional services expenses, regulatory reporting expenses, and payroll and personnel expenses during the three months ended March 31, 2026, as compared to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fair value adjustment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convertible notes fair value resulted in a loss of $1.1 million for the three months ended March 31, 2026, compared to a gain of $0.2 million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fair value adjustment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loss of $131 thousand for the three months ended March 31, 2026, compared to a gain of $38 thousand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$0.8 million for the three months ended March 31, 2026, compared to $0.7 million for the three months ended March 31, 2025, representing an increase of $0.1 million, or 18%. The increase was related to interest incurred from the Convertible Securities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was $107 thousand for the three months ended March 31, 2026, compared to $164 thousand for the three months ended March 31, 2025, representing a decrease of $57 thousand, or 35%. The decrease was due to interest income on cash balances in an asset management account.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was $70.0 thousand for the three months ended March 31, 2026, compared to other expense, net of $46.0 thousand for the three months ended March 31, 2025, representing an increase of $0.1 million. The net increase in other income of $0.1 million was primarily attributable to foreign currency unrealized and realized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convertible promissory notes and an initial term loan advance of $3.0 million and a right to borrow a subsequent term loan advance of $2.0 million with Silicon Valley Bank (the “SVB Term Loan”). In connection with the closing of the Business Combination on July 31, 2024, we received net proceeds of $84.2 million. Since inception we have incurred operating losses and negative cash flows and anticipate continuing to do so for at least the next several years.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we had cash and cash equivalents of $12.9 million and $17.1 million, respectively, and current obligations consisting primarily of $1.2 million and $1.1 million of accounts payable, respectively, and $7.1 million and $7.0 million of accrued liabilities, respectively. For the three months ended March 31, 2026, net losses were $7.0 million. For the three months ended March 31, 2025, net losses were $7.7 million. For the three months ended March 31, 2026 and March 31, 2025, net cash used in operating activities was $4.1 million, and $7.2 million, respectively. We do not believe our existing cash and cash equivalents will be sufficient to fund operations for at least the next twelve months from the issuance date of the consolidated financial statements included elsewhere in this Quarterly Report on Form 10Q. We believe that this raises substantial doubt about our ability to continue as a going concern. See “—</w:t>
      </w:r>
      <w:r>
        <w:rPr>
          <w:rFonts w:ascii="Times New Roman" w:cs="Times New Roman" w:eastAsia="Times New Roman" w:hAnsi="Times New Roman"/>
          <w:sz w:val="18"/>
          <w:szCs w:val="18"/>
          <w:i w:val="1"/>
          <w:iCs w:val="1"/>
          <w:color w:val="auto"/>
        </w:rPr>
        <w:t>Going Concern and Operating Outlook</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mitigate the conditions and events that raise substantial doubt about our ability to continue as a going concern entity by</w:t>
      </w:r>
    </w:p>
    <w:p>
      <w:pPr>
        <w:spacing w:after="0" w:line="27" w:lineRule="exact"/>
        <w:rPr>
          <w:sz w:val="20"/>
          <w:szCs w:val="20"/>
          <w:color w:val="auto"/>
        </w:rPr>
      </w:pPr>
    </w:p>
    <w:p>
      <w:pPr>
        <w:jc w:val="both"/>
        <w:ind w:firstLine="8"/>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PIPE Financing</w:t>
      </w:r>
    </w:p>
    <w:p>
      <w:pPr>
        <w:spacing w:after="0" w:line="229" w:lineRule="exact"/>
        <w:rPr>
          <w:sz w:val="20"/>
          <w:szCs w:val="20"/>
          <w:color w:val="auto"/>
        </w:rPr>
      </w:pPr>
    </w:p>
    <w:p>
      <w:pPr>
        <w:jc w:val="both"/>
        <w:ind w:firstLine="369"/>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committed financing valued at $64.5 million (the “2024 PIPE Financing”).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PIPE Financing included:</w:t>
      </w:r>
    </w:p>
    <w:p>
      <w:pPr>
        <w:spacing w:after="0" w:line="225" w:lineRule="exact"/>
        <w:rPr>
          <w:sz w:val="20"/>
          <w:szCs w:val="20"/>
          <w:color w:val="auto"/>
        </w:rPr>
      </w:pPr>
    </w:p>
    <w:p>
      <w:pPr>
        <w:jc w:val="both"/>
        <w:ind w:left="1000" w:hanging="641"/>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our common stock and 299,902 warrants exercisable for shares of our common stock (the “Base Warrants”).</w:t>
      </w:r>
    </w:p>
    <w:p>
      <w:pPr>
        <w:spacing w:after="0" w:line="175" w:lineRule="exact"/>
        <w:rPr>
          <w:rFonts w:ascii="Times New Roman" w:cs="Times New Roman" w:eastAsia="Times New Roman" w:hAnsi="Times New Roman"/>
          <w:sz w:val="18"/>
          <w:szCs w:val="18"/>
          <w:color w:val="auto"/>
        </w:rPr>
      </w:pPr>
    </w:p>
    <w:p>
      <w:pPr>
        <w:ind w:left="1000" w:right="20" w:hanging="641"/>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our common stock and 343,756 Base Warrants.</w:t>
      </w:r>
    </w:p>
    <w:p>
      <w:pPr>
        <w:spacing w:after="0" w:line="161" w:lineRule="exact"/>
        <w:rPr>
          <w:rFonts w:ascii="Times New Roman" w:cs="Times New Roman" w:eastAsia="Times New Roman" w:hAnsi="Times New Roman"/>
          <w:sz w:val="18"/>
          <w:szCs w:val="18"/>
          <w:color w:val="auto"/>
        </w:rPr>
      </w:pPr>
    </w:p>
    <w:p>
      <w:pPr>
        <w:ind w:left="1000" w:hanging="641"/>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our common stock, 1,440,000 Base Warrants, and 670,000 PIPE Pre-funded Warrants for a cash investment of $12 million.</w:t>
      </w:r>
    </w:p>
    <w:p>
      <w:pPr>
        <w:spacing w:after="0" w:line="161" w:lineRule="exact"/>
        <w:rPr>
          <w:rFonts w:ascii="Times New Roman" w:cs="Times New Roman" w:eastAsia="Times New Roman" w:hAnsi="Times New Roman"/>
          <w:sz w:val="18"/>
          <w:szCs w:val="18"/>
          <w:color w:val="auto"/>
        </w:rPr>
      </w:pPr>
    </w:p>
    <w:p>
      <w:pPr>
        <w:jc w:val="both"/>
        <w:ind w:left="1000" w:hanging="641"/>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our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1000" w:hanging="641"/>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PIPE Financing</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14, 2025, we entered into a Securities Purchase Agreement (the “Securities Purchase Agreement”) with certain accredited healthcare investors (the “Purchasers”) pursuant to which we issued and sold to the Purchasers in a private placement (the “Private Placement”): (i) 9,792,506 shares (the “Shares”) of our common stock, par value $0.0001 per share (the “Common Stock”), or pre-funded warrants (the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 (c) 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us. Each Share and each Pre-Funded Warrant sold pursuant to the Securities Purchase Agreement was accompanied by one Tranche A Warrant, one Tranche B Warrant and one Tranche C Warrant. The combined purchase price of each Share and accompanying Milestone Warrants is $1.9403 (which includes $0.2303 for the Milestone Warrants sold with each Share in accordance with the rules and regulations of The Nasdaq Stock Market LLC). The combined purchase price of each Pre-Funded Warrant and accompanying Milestone Warrant is $1.9402 (equal to the combined purchase price per Share and accompanying Milestone Warrants, minus $0.0001). Entities affiliated with Perceptive Advisors LLC, an affiliate of ours, purchased Pre-Funded Warrants and Milestone Warrants for an aggregate purchase price of $4,250,000.</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our announcement of results from our FULCRUM-VT IDE pivotal clinical trial, (b) for the Tranche B Warrants, the date that is thirty (30) days following our announcement of FDA approval of our vCLAS Cryoablation System, and (c) for the Tranche C Warrants, the date that is thirty (30) days following our announcement of FDA approval of our second generation vCLAS catheter system. The Pre-Funded Warrants are exercisable for one share of Common Stock at an exercise price of $0.0001 per share. The Pre-Funded Warrants are immediately exercisable and may be exercised at any time until all of the Pre-Funded Warrants are exercised in full.</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holder (together with its affiliates) of the Pre-Funded Warrants or Milestone Warrants, as the case may be, may not exercise any portion of the Pre-Funded Warrants or Milestone Warrants to the extent that the holder would own more than 4.99% (or, at the holder’s option upon issuance, 9.99%) of our outstanding Common Stock immediately after exercise, which percentage may be changed at the holder’s election to a lower or higher percentage not in excess of 19.99% upon 61 days’ notice to us subject to the terms of the Pre-Funded Warrants or the Milestone Warrants. In lieu of making the cash payment otherwise contemplated to be made to us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9 – Warrants</w:t>
      </w:r>
      <w:r>
        <w:rPr>
          <w:rFonts w:ascii="Times New Roman" w:cs="Times New Roman" w:eastAsia="Times New Roman" w:hAnsi="Times New Roman"/>
          <w:sz w:val="18"/>
          <w:szCs w:val="18"/>
          <w:color w:val="auto"/>
        </w:rPr>
        <w:t xml:space="preserve"> in our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investment in clinical research and development, and related supplies, marketing and physician education, legal and other regulatory expenses, commercial activities, general administrative costs and working capital.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ongoing development and submission activities to support FDA evaluation of our first and next generation ULTA products. We will require additional capital to fund continued clinical activities for our next-generation product, to fund our manufacturing activities, to fund precommercial activities of our programs and for working capital and general corporate purposes. The assessment of our ability to meet our future obligations is inherently judgmental, subjective and susceptible to change. Based on our current research and development plans, we expect to have sufficient resources to fund our planned operations into the third quarter of 2026.</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medical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and sales, scientific and medical personnel;</w:t>
      </w: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section of this Report titled “Risk Factors” for additional risks associated with our substantial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Securities Notes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the Company’s common stock at a conversion price of $10.00 per share, subject to adjustment per the terms of the agreement, and the 1,500,000 warrants, each of which are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for the three months ended March 31, 2026 to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$4.1 million, consisting primarily of a net loss of $7.0 million, adjusted by non-cash items of $1.8 million and net changes in operating assets and liabilities of $1.1 million. Non-cash items primarily consisted of $0.2 million in depreciation and amortization, $0.4 million in stock-based compensation, $1.1 million from the change in fair value of convertible notes payable, and $0.1 million from the change in fair value of warrant liabilities. Changes in operating assets and liabilities included a $0.8 million increase in other accrued liabilities, a $0.1 million increase in accrued liabilities, and a $0.1 million increase in accounts payable.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$7.2 million, consisting primarily of a net loss of $7.7 million, adjusted by non-cash items of $0.2 million and net changes in operating assets and liabilities of $0.2 million. Non-cash items primarily consisted of $0.3 million in depreciation and amortization, $0.2 million in stock-based compensation, and a $0.2 million net gain from the change in fair value of convertible notes payable. Changes in operating assets and liabilities included a $0.3 million increase in inventory and a $0.6 million decrease in accrued liabilities, partially offset by a $0.7 million increase in other accrued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and the three months ended March 31, 2025 was $2 thousand and $0.3 million, respectively. The decrease in cash used in investing activities was due to the decrease in purchases of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(Used in) 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 for the three months ended March 31, 2026 and 2025 was nil.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amounts reported in our condensed consolidated financial statements and accompanying notes included elsewhere in this Report.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Accordingly, the accounting estimates used in the preparation of our condensed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condensed consolidated financial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Our actual results may differ from these estimates under different assumptions or conditions.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material changes to our critical accounting policies from those disclosed in Part II, Item 7, “Management’s Discussion and Analysis of Financial Condition and Results of Operations” of the 2025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ind w:left="1340" w:right="20" w:hanging="333"/>
        <w:spacing w:after="0" w:line="261"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ind w:left="1340" w:hanging="333"/>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ind w:left="1340" w:right="20" w:hanging="333"/>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ind w:left="1340" w:right="20" w:hanging="333"/>
        <w:spacing w:after="0" w:line="26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three-years.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condensed consolidated financial statements included elsewhere in this Report for a description of recent accounting pronouncements applicable to our financial statements.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from the risk factors disclosed in Part I, Item 1A. “Risk Factors” of our Annual Report on Form 10-K filed with the SEC on March 27, 2026 (the “2025 Annual Report”). The risk factors described in our 2025 Annual Report, as well as other information set forth in this Report, could materially adversely affect our business, financial condition, results of operations and prospects, and should be carefully considered. The risks and uncertainties that we face, however, are not limited to those described in the 2025 Annual Report. Additional risks and uncertainties not presently known to us or that we currently believe to be immaterial may also adversely affect our business and the trading price of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 medical device company that has incurred net losses in every period to date and expect to continue to incur significant losses as we develop our business, and our financial conditions raise substantial doubt about our ability to continue as a going concern.</w:t>
      </w:r>
    </w:p>
    <w:p>
      <w:pPr>
        <w:spacing w:after="0" w:line="13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main platform technology, vCLAS. We cannot be certain if we will ever generate meaningful revenue or if or when we will produce sufficient revenue from operations to support our costs. Even if profitability is achieved, we may not be able to sustain profitability. We incurred net losses of $25.1 million and $75.0 million in 2025 and 2024, respectively. As of March 31, 2026, December 31, 2025 and December 31, 2024, we had an accumulated deficit of $102.6, $95.6 and $70.6 million, respectively. We expect to incur substantial losses and negative cash flows for the foreseeable future. In addition, as a public company, we incur significant legal, accounting, and other expenses that we did not incur as a private company. These increased expenses may make it harder for us to achieve and sustain future profitability. We may incur significant losses in the future for a number of reasons, many of which are beyond our control, including the other risks described in this report and in our other filings with the SEC. Even if we achieve profitability, we may not be able to sustain or increase profitability on a quarterly or annual basis. Our failure to become and remain profitable could depress the value of our company and could impair our ability to raise capital, expand our business, maintain our development efforts, obtain regulatory approvals or certificates, diversify our product offerings or continue our operations.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independent auditors have included an explanatory paragraph in their audit report regarding our ability to continue as a going concern. 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our financial condition, results of operations, and business prospects.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actively pursuing strategies to mitigate these risks, however, there can be no assurance that these efforts will prove successful or that we will achieve our intended financial stability. The failure to successfully address these going concern risks may materially and adversely affect our business, financial condition, and results of operations. Investors should consider the substantial risks and uncertainties inherent in our business before investing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changes in the United States political environment.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changes in the political and regulatory landscape, policies, or processes, could significantly affect our business. Specific legislative and regulatory proposals discussed during election campaigns and more recently that might materially impact our business include, but are not limited to, promoting access to healthcare via market competition and pricing transparency, enhancing flexibility and choice in healthcare at the state and individual level, prioritizing domestic production and increasing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 For example, the Bureau of Industry and Security, U.S. Department of Commerce, has initiated an investigation to determine whether medical devices, including their components and accessories, manufactured outside the United States pose a national security risk and should be subject to additional tariffs. In addition, the current administration also has issued, and is expected to continue relying upon, Executive Orders to address a wide range of policy areas, some of which may impact our business.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either filed or furnished with, or incorporated by reference into,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5660" w:type="dxa"/>
            <w:vAlign w:val="bottom"/>
            <w:gridSpan w:val="14"/>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85"/>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8680" w:type="dxa"/>
            <w:vAlign w:val="bottom"/>
            <w:tcBorders>
              <w:top w:val="single" w:sz="8" w:color="auto"/>
            </w:tcBorders>
            <w:gridSpan w:val="1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Business Combination Agreement, dated as of February 13, 2024, by and among Aja HoldCo, Inc., ARYA Sciences</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Acquisition Corp IV, Aja Merger Sub 1, Aja Merger Sub 2, Inc. and Adagio Medical, Inc. (incorporated by reference to</w:t>
              </w:r>
            </w:hyperlink>
          </w:p>
        </w:tc>
        <w:tc>
          <w:tcPr>
            <w:tcW w:w="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Exhibit 2.1 to the Company’s Current Report on Form 8-K filed with the SEC on August 6, 2024).</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Consent and Amendment No. 1 to the Business Combination Agreement, dated as of June 25, 2024, by and among</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ARYA Sciences Acquisition Corp IV and Adagio Medical, Inc. (incorporated by reference to Exhibit 2.2 to the</w:t>
              </w:r>
            </w:hyperlink>
          </w:p>
        </w:tc>
        <w:tc>
          <w:tcPr>
            <w:tcW w:w="4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Company’s Current Report on Form 8-K filed with the SEC on August 6, 2024).</w:t>
              </w:r>
            </w:hyperlink>
          </w:p>
        </w:tc>
        <w:tc>
          <w:tcPr>
            <w:tcW w:w="70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Certificate of Incorporation of the Company (incorporated by reference to Exhibit 3.1 to the</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Company’s Current Report on Form 8-K filed with the SEC on August 6, 2024).</w:t>
              </w:r>
            </w:hyperlink>
          </w:p>
        </w:tc>
        <w:tc>
          <w:tcPr>
            <w:tcW w:w="34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By-Laws of the Company (incorporated by reference to Exhibit 3.2 to the Company’s Current</w:t>
              </w:r>
            </w:hyperlink>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Report on Form 8-K filed with the SEC on August 6, 2024).</w:t>
              </w:r>
            </w:hyperlink>
          </w:p>
        </w:tc>
        <w:tc>
          <w:tcPr>
            <w:tcW w:w="22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84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 and 15(d)-14(a), as</w:t>
            </w:r>
          </w:p>
        </w:tc>
        <w:tc>
          <w:tcPr>
            <w:tcW w:w="2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w:t>
            </w: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3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20" w:type="dxa"/>
            <w:vAlign w:val="bottom"/>
            <w:gridSpan w:val="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w:t>
            </w: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3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120" w:type="dxa"/>
            <w:vAlign w:val="bottom"/>
            <w:gridSpan w:val="1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7"/>
                <w:szCs w:val="17"/>
                <w:color w:val="auto"/>
              </w:rPr>
            </w:pPr>
          </w:p>
        </w:tc>
        <w:tc>
          <w:tcPr>
            <w:tcW w:w="86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w:t>
            </w: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3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86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w:t>
            </w: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 Set.</w:t>
            </w: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568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8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Usen</w:t>
            </w:r>
          </w:p>
        </w:tc>
      </w:tr>
      <w:tr>
        <w:trPr>
          <w:trHeight w:val="189"/>
        </w:trPr>
        <w:tc>
          <w:tcPr>
            <w:tcW w:w="3260" w:type="dxa"/>
            <w:vAlign w:val="bottom"/>
          </w:tcPr>
          <w:p>
            <w:pPr>
              <w:spacing w:after="0"/>
              <w:rPr>
                <w:sz w:val="16"/>
                <w:szCs w:val="16"/>
                <w:color w:val="auto"/>
              </w:rPr>
            </w:pPr>
          </w:p>
        </w:tc>
        <w:tc>
          <w:tcPr>
            <w:tcW w:w="6660" w:type="dxa"/>
            <w:vAlign w:val="bottom"/>
            <w:gridSpan w:val="2"/>
          </w:tcPr>
          <w:p>
            <w:pPr>
              <w:ind w:left="1800"/>
              <w:spacing w:after="0" w:line="189" w:lineRule="exact"/>
              <w:rPr>
                <w:sz w:val="20"/>
                <w:szCs w:val="20"/>
                <w:color w:val="auto"/>
              </w:rPr>
            </w:pPr>
            <w:r>
              <w:rPr>
                <w:rFonts w:ascii="Times New Roman" w:cs="Times New Roman" w:eastAsia="Times New Roman" w:hAnsi="Times New Roman"/>
                <w:sz w:val="18"/>
                <w:szCs w:val="18"/>
                <w:color w:val="auto"/>
              </w:rPr>
              <w:t>Name:Todd Usen</w:t>
            </w:r>
          </w:p>
        </w:tc>
      </w:tr>
      <w:tr>
        <w:trPr>
          <w:trHeight w:val="236"/>
        </w:trPr>
        <w:tc>
          <w:tcPr>
            <w:tcW w:w="3260" w:type="dxa"/>
            <w:vAlign w:val="bottom"/>
          </w:tcPr>
          <w:p>
            <w:pPr>
              <w:spacing w:after="0"/>
              <w:rPr>
                <w:sz w:val="20"/>
                <w:szCs w:val="20"/>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Title: Chief Executive Officer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8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Deborah Kaster</w:t>
            </w:r>
          </w:p>
        </w:tc>
      </w:tr>
      <w:tr>
        <w:trPr>
          <w:trHeight w:val="191"/>
        </w:trPr>
        <w:tc>
          <w:tcPr>
            <w:tcW w:w="3260" w:type="dxa"/>
            <w:vAlign w:val="bottom"/>
          </w:tcPr>
          <w:p>
            <w:pPr>
              <w:spacing w:after="0"/>
              <w:rPr>
                <w:sz w:val="16"/>
                <w:szCs w:val="16"/>
                <w:color w:val="auto"/>
              </w:rPr>
            </w:pPr>
          </w:p>
        </w:tc>
        <w:tc>
          <w:tcPr>
            <w:tcW w:w="6660" w:type="dxa"/>
            <w:vAlign w:val="bottom"/>
            <w:gridSpan w:val="2"/>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Name:Deborah Kaster</w:t>
            </w:r>
          </w:p>
        </w:tc>
      </w:tr>
      <w:tr>
        <w:trPr>
          <w:trHeight w:val="214"/>
        </w:trPr>
        <w:tc>
          <w:tcPr>
            <w:tcW w:w="3260" w:type="dxa"/>
            <w:vAlign w:val="bottom"/>
          </w:tcPr>
          <w:p>
            <w:pPr>
              <w:spacing w:after="0"/>
              <w:rPr>
                <w:sz w:val="18"/>
                <w:szCs w:val="18"/>
                <w:color w:val="auto"/>
              </w:rPr>
            </w:pPr>
          </w:p>
        </w:tc>
        <w:tc>
          <w:tcPr>
            <w:tcW w:w="66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Title: Chief Financial Officer and Chief Business Officer</w:t>
            </w:r>
          </w:p>
        </w:tc>
      </w:tr>
      <w:tr>
        <w:trPr>
          <w:trHeight w:val="236"/>
        </w:trPr>
        <w:tc>
          <w:tcPr>
            <w:tcW w:w="3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Usen, certify that:</w:t>
      </w:r>
    </w:p>
    <w:p>
      <w:pPr>
        <w:spacing w:after="0" w:line="202" w:lineRule="exact"/>
        <w:rPr>
          <w:sz w:val="20"/>
          <w:szCs w:val="20"/>
          <w:color w:val="auto"/>
        </w:rPr>
      </w:pPr>
    </w:p>
    <w:p>
      <w:pPr>
        <w:ind w:left="660" w:right="480" w:hanging="652"/>
        <w:spacing w:after="0" w:line="269"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March 31, 2026, of Adagio Medical Holdings,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20"/>
          <w:szCs w:val="20"/>
          <w:color w:val="auto"/>
        </w:rPr>
      </w:pPr>
    </w:p>
    <w:p>
      <w:pPr>
        <w:ind w:left="1300" w:right="180" w:hanging="644"/>
        <w:spacing w:after="0" w:line="249"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6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14"/>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6"/>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763"/>
        </w:trPr>
        <w:tc>
          <w:tcPr>
            <w:tcW w:w="3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Deborah Kaster, certify that:</w:t>
      </w:r>
    </w:p>
    <w:p>
      <w:pPr>
        <w:spacing w:after="0" w:line="202" w:lineRule="exact"/>
        <w:rPr>
          <w:sz w:val="20"/>
          <w:szCs w:val="20"/>
          <w:color w:val="auto"/>
        </w:rPr>
      </w:pPr>
    </w:p>
    <w:p>
      <w:pPr>
        <w:ind w:left="660" w:right="480" w:hanging="652"/>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for the quarter ended March 31, 2026, of Adagio Medical Holdings,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right="180" w:hanging="644"/>
        <w:spacing w:after="0" w:line="249"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6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Deborah Kaster</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Deborah Kaster</w:t>
            </w:r>
          </w:p>
        </w:tc>
      </w:tr>
      <w:tr>
        <w:trPr>
          <w:trHeight w:val="214"/>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36"/>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763"/>
        </w:trPr>
        <w:tc>
          <w:tcPr>
            <w:tcW w:w="3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(the “Company”) for the quarter ended March 31, 2026 as filed with the Securities and Exchange Commission on the date hereof (the “Quarterly Report”), I, Todd Usen, Chief Executive Officer of the Company, hereby certify, pursuant to 18 U.S.C. § 1350, as adopted pursuant to § 906 of the Sarbanes-Oxley Act of 2002, that to my knowledge:</w:t>
      </w:r>
    </w:p>
    <w:p>
      <w:pPr>
        <w:spacing w:after="0" w:line="180" w:lineRule="exact"/>
        <w:rPr>
          <w:sz w:val="20"/>
          <w:szCs w:val="20"/>
          <w:color w:val="auto"/>
        </w:rPr>
      </w:pPr>
    </w:p>
    <w:p>
      <w:pPr>
        <w:ind w:left="660" w:right="80" w:hanging="652"/>
        <w:spacing w:after="0" w:line="269"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6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14"/>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36"/>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776"/>
        </w:trPr>
        <w:tc>
          <w:tcPr>
            <w:tcW w:w="3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2400" w:right="2380"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Adagio Medical Holdings, Inc. (the “Company”) for the quarter ended March 31, 2026 as filed with the Securities and Exchange Commission on the date hereof (the “Quarterly Report”), I, Deborah Kaster, Chief Financial Officer of the Company, hereby certify, pursuant to 18 U.S.C. § 1350, as adopted pursuant to § 906 of the Sarbanes-Oxley Act of 2002, that to my knowledge:</w:t>
      </w:r>
    </w:p>
    <w:p>
      <w:pPr>
        <w:spacing w:after="0" w:line="180" w:lineRule="exact"/>
        <w:rPr>
          <w:sz w:val="20"/>
          <w:szCs w:val="20"/>
          <w:color w:val="auto"/>
        </w:rPr>
      </w:pPr>
    </w:p>
    <w:p>
      <w:pPr>
        <w:ind w:left="660" w:right="80" w:hanging="652"/>
        <w:spacing w:after="0" w:line="269"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320" w:hanging="652"/>
        <w:spacing w:after="0" w:line="269"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Quarterly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67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By:/s/ Deborah Kaster</w:t>
            </w:r>
          </w:p>
        </w:tc>
      </w:tr>
      <w:tr>
        <w:trPr>
          <w:trHeight w:val="191"/>
        </w:trPr>
        <w:tc>
          <w:tcPr>
            <w:tcW w:w="3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Deborah Kaster</w:t>
            </w:r>
          </w:p>
        </w:tc>
      </w:tr>
      <w:tr>
        <w:trPr>
          <w:trHeight w:val="214"/>
        </w:trPr>
        <w:tc>
          <w:tcPr>
            <w:tcW w:w="3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r>
        <w:trPr>
          <w:trHeight w:val="236"/>
        </w:trPr>
        <w:tc>
          <w:tcPr>
            <w:tcW w:w="3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776"/>
        </w:trPr>
        <w:tc>
          <w:tcPr>
            <w:tcW w:w="3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lowerRoman"/>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69" Type="http://schemas.openxmlformats.org/officeDocument/2006/relationships/hyperlink" Target="https://www.sec.gov/Archives/edgar/data/2006986/000114036124035942/ef20033584_ex2-1.htm" TargetMode="External"/><Relationship Id="rId70" Type="http://schemas.openxmlformats.org/officeDocument/2006/relationships/hyperlink" Target="https://www.sec.gov/Archives/edgar/data/2006986/000114036124035942/ef20033584_ex2-2.htm" TargetMode="External"/><Relationship Id="rId71" Type="http://schemas.openxmlformats.org/officeDocument/2006/relationships/hyperlink" Target="https://www.sec.gov/Archives/edgar/data/2006986/000114036124035942/ef20033584_ex3-1.htm" TargetMode="External"/><Relationship Id="rId72" Type="http://schemas.openxmlformats.org/officeDocument/2006/relationships/hyperlink" Target="https://www.sec.gov/Archives/edgar/data/2006986/000114036124035942/ef2003358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2026-05-12T07:08:17Z</dcterms:created>
  <dcterms:modified xsi:type="dcterms:W3CDTF">2026-05-12T07:08:17Z</dcterms:modified>
</cp:coreProperties>
</file>