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12,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ADAGIO MEDICAL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18"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001-42199</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99-1151466</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718" w:right="339" w:bottom="1440" w:gutter="0" w:footer="0" w:header="0"/>
          <w:type w:val="continuous"/>
        </w:sectPr>
      </w:pPr>
    </w:p>
    <w:p>
      <w:pPr>
        <w:spacing w:after="0" w:line="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26051 Merit Circle, Suite 102</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Laguna Hills, CA</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92653</w:t>
      </w:r>
    </w:p>
    <w:p>
      <w:pPr>
        <w:spacing w:after="0" w:line="3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8280" w:space="720"/>
            <w:col w:w="2240"/>
          </w:cols>
          <w:pgMar w:left="320" w:top="718" w:right="339" w:bottom="1440" w:gutter="0" w:footer="0" w:header="0"/>
          <w:type w:val="continuous"/>
        </w:sectPr>
      </w:pP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(949) 348-1188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18" w:right="339" w:bottom="1440" w:gutter="0" w:footer="0" w:header="0"/>
          <w:type w:val="continuous"/>
        </w:sectPr>
      </w:pPr>
    </w:p>
    <w:p>
      <w:pPr>
        <w:spacing w:after="0" w:line="2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38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20"/>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38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ADGM</w:t>
            </w:r>
          </w:p>
        </w:tc>
        <w:tc>
          <w:tcPr>
            <w:tcW w:w="338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June 12, 2026, Adagio Medical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received a notice from the Listing Qualifications Department of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notifying the Company that the listing of its common stock was not in compliance with Nasdaq Listing Rule 5550(a)(2) for continued listing on The Nasdaq Capital Market, as the minimum bid price of the Company’s common stock was less than $1.00 per share for the previous 30 consecutive business days (the “</w:t>
      </w:r>
      <w:r>
        <w:rPr>
          <w:rFonts w:ascii="Times New Roman" w:cs="Times New Roman" w:eastAsia="Times New Roman" w:hAnsi="Times New Roman"/>
          <w:sz w:val="18"/>
          <w:szCs w:val="18"/>
          <w:b w:val="1"/>
          <w:bCs w:val="1"/>
          <w:i w:val="1"/>
          <w:iCs w:val="1"/>
          <w:color w:val="auto"/>
        </w:rPr>
        <w:t>Minimum Bid Price Requirement</w:t>
      </w:r>
      <w:r>
        <w:rPr>
          <w:rFonts w:ascii="Times New Roman" w:cs="Times New Roman" w:eastAsia="Times New Roman" w:hAnsi="Times New Roman"/>
          <w:sz w:val="18"/>
          <w:szCs w:val="18"/>
          <w:color w:val="auto"/>
        </w:rPr>
        <w:t>”). The notification does not impact the listing of the Company’s common stock on The Nasdaq Capital Market at this time.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has a period of 180 calendar days from the date of notification, or until December 9, 2026, to regain compliance with the Minimum Bid Price Requirement. During this period, the Company’s common stock will continue to trade on the Nasdaq Capital Market. If at any time before December 9, 2026, the bid price of the Company’s common stock closes at or above $1.00 per share for a minimum of ten consecutive trading days, Nasdaq will provide written notification that the Company has achieved compliance with this minimum bid price requirement.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considering all available options to regain compliance with the listing rule. However, there can be no assurance that the Company will be able to regain compliance with the rule or will otherwise be in compliance with other Nasdaq listing criteria. In the event the Company does not regain compliance by December 9, 2026, a second 180-day compliance period may be available if the Company provides written notice to Nasdaq that it intends to regain compliance with the bid price requirement during the second 180-day compliance period, by effecting a reverse stock split if necessary, and meets the continued listing requirement for market value of publicly held shares and all other initial listing standards for The Nasdaq Capital Market, except for the bid price requirement. If the Company does not qualify for the second compliance period or fails to regain compliance during the second 180-day period, then Nasdaq will notify the Company that its Common Stock is subject to delisting.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12,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Deborah Kaster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Deborah Kaster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Business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2026-06-12T15:44:11Z</dcterms:created>
  <dcterms:modified xsi:type="dcterms:W3CDTF">2026-06-12T15:44:11Z</dcterms:modified>
</cp:coreProperties>
</file>