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291465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87630</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103505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4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3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25"/>
          <w:szCs w:val="25"/>
          <w:color w:val="auto"/>
          <w:highlight w:val="black"/>
          <w:vertAlign w:val="superscript"/>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2025</w:t>
      </w:r>
    </w:p>
    <w:p>
      <w:pPr>
        <w:spacing w:after="0" w:line="3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25"/>
          <w:szCs w:val="25"/>
          <w:color w:val="auto"/>
          <w:highlight w:val="black"/>
          <w:vertAlign w:val="super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transition period from to</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number: 001-42199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80645</wp:posOffset>
            </wp:positionV>
            <wp:extent cx="6292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ADAGIO MEDICAL HOLDINGS, INC.</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70485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380" w:type="dxa"/>
            <w:vAlign w:val="bottom"/>
            <w:gridSpan w:val="2"/>
          </w:tcPr>
          <w:p>
            <w:pPr>
              <w:jc w:val="center"/>
              <w:ind w:left="1438"/>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3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2"/>
                <w:szCs w:val="12"/>
                <w:color w:val="auto"/>
              </w:rPr>
            </w:pPr>
          </w:p>
        </w:tc>
        <w:tc>
          <w:tcPr>
            <w:tcW w:w="3160" w:type="dxa"/>
            <w:vAlign w:val="bottom"/>
          </w:tcPr>
          <w:p>
            <w:pPr>
              <w:jc w:val="right"/>
              <w:ind w:right="2058"/>
              <w:spacing w:after="0"/>
              <w:rPr>
                <w:sz w:val="20"/>
                <w:szCs w:val="20"/>
                <w:color w:val="auto"/>
              </w:rPr>
            </w:pPr>
            <w:r>
              <w:rPr>
                <w:rFonts w:ascii="Times New Roman" w:cs="Times New Roman" w:eastAsia="Times New Roman" w:hAnsi="Times New Roman"/>
                <w:sz w:val="13"/>
                <w:szCs w:val="13"/>
                <w:b w:val="1"/>
                <w:bCs w:val="1"/>
                <w:color w:val="auto"/>
              </w:rPr>
              <w:t>99-1151466</w:t>
            </w:r>
          </w:p>
        </w:tc>
      </w:tr>
      <w:tr>
        <w:trPr>
          <w:trHeight w:val="135"/>
        </w:trPr>
        <w:tc>
          <w:tcPr>
            <w:tcW w:w="3380" w:type="dxa"/>
            <w:vAlign w:val="bottom"/>
            <w:gridSpan w:val="2"/>
          </w:tcPr>
          <w:p>
            <w:pPr>
              <w:jc w:val="center"/>
              <w:ind w:left="1438"/>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3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160" w:type="dxa"/>
            <w:vAlign w:val="bottom"/>
          </w:tcPr>
          <w:p>
            <w:pPr>
              <w:jc w:val="center"/>
              <w:ind w:right="1618"/>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3380" w:type="dxa"/>
            <w:vAlign w:val="bottom"/>
            <w:gridSpan w:val="2"/>
          </w:tcPr>
          <w:p>
            <w:pPr>
              <w:jc w:val="center"/>
              <w:ind w:left="1438"/>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60" w:type="dxa"/>
            <w:vAlign w:val="bottom"/>
          </w:tcPr>
          <w:p>
            <w:pPr>
              <w:jc w:val="center"/>
              <w:ind w:right="1638"/>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171"/>
        </w:trPr>
        <w:tc>
          <w:tcPr>
            <w:tcW w:w="3380" w:type="dxa"/>
            <w:vAlign w:val="bottom"/>
            <w:gridSpan w:val="2"/>
          </w:tcPr>
          <w:p>
            <w:pPr>
              <w:jc w:val="center"/>
              <w:ind w:left="1438"/>
              <w:spacing w:after="0"/>
              <w:rPr>
                <w:sz w:val="20"/>
                <w:szCs w:val="20"/>
                <w:color w:val="auto"/>
              </w:rPr>
            </w:pPr>
            <w:r>
              <w:rPr>
                <w:rFonts w:ascii="Times New Roman" w:cs="Times New Roman" w:eastAsia="Times New Roman" w:hAnsi="Times New Roman"/>
                <w:sz w:val="13"/>
                <w:szCs w:val="13"/>
                <w:b w:val="1"/>
                <w:bCs w:val="1"/>
                <w:color w:val="auto"/>
                <w:w w:val="96"/>
              </w:rPr>
              <w:t>26051 Merit Circle, Suite 102</w:t>
            </w:r>
          </w:p>
        </w:tc>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60" w:type="dxa"/>
            <w:vAlign w:val="bottom"/>
          </w:tcPr>
          <w:p>
            <w:pPr>
              <w:spacing w:after="0"/>
              <w:rPr>
                <w:sz w:val="14"/>
                <w:szCs w:val="14"/>
                <w:color w:val="auto"/>
              </w:rPr>
            </w:pPr>
          </w:p>
        </w:tc>
      </w:tr>
      <w:tr>
        <w:trPr>
          <w:trHeight w:val="166"/>
        </w:trPr>
        <w:tc>
          <w:tcPr>
            <w:tcW w:w="3380" w:type="dxa"/>
            <w:vAlign w:val="bottom"/>
            <w:gridSpan w:val="2"/>
          </w:tcPr>
          <w:p>
            <w:pPr>
              <w:jc w:val="center"/>
              <w:ind w:left="1438"/>
              <w:spacing w:after="0"/>
              <w:rPr>
                <w:sz w:val="20"/>
                <w:szCs w:val="20"/>
                <w:color w:val="auto"/>
              </w:rPr>
            </w:pPr>
            <w:r>
              <w:rPr>
                <w:rFonts w:ascii="Times New Roman" w:cs="Times New Roman" w:eastAsia="Times New Roman" w:hAnsi="Times New Roman"/>
                <w:sz w:val="13"/>
                <w:szCs w:val="13"/>
                <w:b w:val="1"/>
                <w:bCs w:val="1"/>
                <w:color w:val="auto"/>
                <w:w w:val="98"/>
              </w:rPr>
              <w:t>Laguna Hills, CA</w:t>
            </w:r>
          </w:p>
        </w:tc>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60" w:type="dxa"/>
            <w:vAlign w:val="bottom"/>
          </w:tcPr>
          <w:p>
            <w:pPr>
              <w:jc w:val="right"/>
              <w:ind w:right="2198"/>
              <w:spacing w:after="0"/>
              <w:rPr>
                <w:sz w:val="20"/>
                <w:szCs w:val="20"/>
                <w:color w:val="auto"/>
              </w:rPr>
            </w:pPr>
            <w:r>
              <w:rPr>
                <w:rFonts w:ascii="Times New Roman" w:cs="Times New Roman" w:eastAsia="Times New Roman" w:hAnsi="Times New Roman"/>
                <w:sz w:val="13"/>
                <w:szCs w:val="13"/>
                <w:b w:val="1"/>
                <w:bCs w:val="1"/>
                <w:color w:val="auto"/>
              </w:rPr>
              <w:t>92653</w:t>
            </w:r>
          </w:p>
        </w:tc>
      </w:tr>
      <w:tr>
        <w:trPr>
          <w:trHeight w:val="203"/>
        </w:trPr>
        <w:tc>
          <w:tcPr>
            <w:tcW w:w="6560" w:type="dxa"/>
            <w:vAlign w:val="bottom"/>
            <w:gridSpan w:val="3"/>
          </w:tcPr>
          <w:p>
            <w:pPr>
              <w:jc w:val="center"/>
              <w:ind w:right="162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00" w:type="dxa"/>
            <w:vAlign w:val="bottom"/>
          </w:tcPr>
          <w:p>
            <w:pPr>
              <w:spacing w:after="0"/>
              <w:rPr>
                <w:sz w:val="17"/>
                <w:szCs w:val="17"/>
                <w:color w:val="auto"/>
              </w:rPr>
            </w:pPr>
          </w:p>
        </w:tc>
        <w:tc>
          <w:tcPr>
            <w:tcW w:w="3160" w:type="dxa"/>
            <w:vAlign w:val="bottom"/>
          </w:tcPr>
          <w:p>
            <w:pPr>
              <w:jc w:val="center"/>
              <w:ind w:right="163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194"/>
        </w:trPr>
        <w:tc>
          <w:tcPr>
            <w:tcW w:w="3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(949) 348-1188</w:t>
            </w:r>
          </w:p>
        </w:tc>
        <w:tc>
          <w:tcPr>
            <w:tcW w:w="200" w:type="dxa"/>
            <w:vAlign w:val="bottom"/>
          </w:tcPr>
          <w:p>
            <w:pPr>
              <w:spacing w:after="0"/>
              <w:rPr>
                <w:sz w:val="16"/>
                <w:szCs w:val="16"/>
                <w:color w:val="auto"/>
              </w:rPr>
            </w:pPr>
          </w:p>
        </w:tc>
        <w:tc>
          <w:tcPr>
            <w:tcW w:w="3160" w:type="dxa"/>
            <w:vAlign w:val="bottom"/>
          </w:tcPr>
          <w:p>
            <w:pPr>
              <w:spacing w:after="0"/>
              <w:rPr>
                <w:sz w:val="16"/>
                <w:szCs w:val="16"/>
                <w:color w:val="auto"/>
              </w:rPr>
            </w:pPr>
          </w:p>
        </w:tc>
      </w:tr>
      <w:tr>
        <w:trPr>
          <w:trHeight w:val="118"/>
        </w:trPr>
        <w:tc>
          <w:tcPr>
            <w:tcW w:w="3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(Issuer’s telephone number, including area code)</w:t>
            </w:r>
          </w:p>
        </w:tc>
        <w:tc>
          <w:tcPr>
            <w:tcW w:w="200" w:type="dxa"/>
            <w:vAlign w:val="bottom"/>
          </w:tcPr>
          <w:p>
            <w:pPr>
              <w:spacing w:after="0"/>
              <w:rPr>
                <w:sz w:val="10"/>
                <w:szCs w:val="10"/>
                <w:color w:val="auto"/>
              </w:rPr>
            </w:pPr>
          </w:p>
        </w:tc>
        <w:tc>
          <w:tcPr>
            <w:tcW w:w="3160" w:type="dxa"/>
            <w:vAlign w:val="bottom"/>
          </w:tcPr>
          <w:p>
            <w:pPr>
              <w:spacing w:after="0"/>
              <w:rPr>
                <w:sz w:val="10"/>
                <w:szCs w:val="10"/>
                <w:color w:val="auto"/>
              </w:rPr>
            </w:pPr>
          </w:p>
        </w:tc>
      </w:tr>
      <w:tr>
        <w:trPr>
          <w:trHeight w:val="123"/>
        </w:trPr>
        <w:tc>
          <w:tcPr>
            <w:tcW w:w="3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r>
      <w:tr>
        <w:trPr>
          <w:trHeight w:val="248"/>
        </w:trPr>
        <w:tc>
          <w:tcPr>
            <w:tcW w:w="3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12(b) of the Act:</w:t>
            </w:r>
          </w:p>
        </w:tc>
        <w:tc>
          <w:tcPr>
            <w:tcW w:w="200" w:type="dxa"/>
            <w:vAlign w:val="bottom"/>
          </w:tcPr>
          <w:p>
            <w:pPr>
              <w:spacing w:after="0"/>
              <w:rPr>
                <w:sz w:val="21"/>
                <w:szCs w:val="21"/>
                <w:color w:val="auto"/>
              </w:rPr>
            </w:pPr>
          </w:p>
        </w:tc>
        <w:tc>
          <w:tcPr>
            <w:tcW w:w="3160" w:type="dxa"/>
            <w:vAlign w:val="bottom"/>
          </w:tcPr>
          <w:p>
            <w:pPr>
              <w:spacing w:after="0"/>
              <w:rPr>
                <w:sz w:val="21"/>
                <w:szCs w:val="21"/>
                <w:color w:val="auto"/>
              </w:rPr>
            </w:pPr>
          </w:p>
        </w:tc>
      </w:tr>
      <w:tr>
        <w:trPr>
          <w:trHeight w:val="171"/>
        </w:trPr>
        <w:tc>
          <w:tcPr>
            <w:tcW w:w="3180" w:type="dxa"/>
            <w:vAlign w:val="bottom"/>
          </w:tcPr>
          <w:p>
            <w:pPr>
              <w:spacing w:after="0"/>
              <w:rPr>
                <w:sz w:val="14"/>
                <w:szCs w:val="14"/>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3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Trading</w:t>
            </w: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3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Name of each exchange</w:t>
            </w:r>
          </w:p>
        </w:tc>
      </w:tr>
      <w:tr>
        <w:trPr>
          <w:trHeight w:val="155"/>
        </w:trPr>
        <w:tc>
          <w:tcPr>
            <w:tcW w:w="3380" w:type="dxa"/>
            <w:vAlign w:val="bottom"/>
            <w:gridSpan w:val="2"/>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3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200" w:type="dxa"/>
            <w:vAlign w:val="bottom"/>
          </w:tcPr>
          <w:p>
            <w:pPr>
              <w:spacing w:after="0"/>
              <w:rPr>
                <w:sz w:val="13"/>
                <w:szCs w:val="13"/>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on which registered</w:t>
            </w:r>
          </w:p>
        </w:tc>
      </w:tr>
      <w:tr>
        <w:trPr>
          <w:trHeight w:val="108"/>
        </w:trPr>
        <w:tc>
          <w:tcPr>
            <w:tcW w:w="31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Common Stock, par value $0.0001</w:t>
            </w:r>
          </w:p>
        </w:tc>
        <w:tc>
          <w:tcPr>
            <w:tcW w:w="200" w:type="dxa"/>
            <w:vAlign w:val="bottom"/>
          </w:tcPr>
          <w:p>
            <w:pPr>
              <w:spacing w:after="0"/>
              <w:rPr>
                <w:sz w:val="9"/>
                <w:szCs w:val="9"/>
                <w:color w:val="auto"/>
              </w:rPr>
            </w:pPr>
          </w:p>
        </w:tc>
        <w:tc>
          <w:tcPr>
            <w:tcW w:w="31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ADGM</w:t>
            </w:r>
          </w:p>
        </w:tc>
        <w:tc>
          <w:tcPr>
            <w:tcW w:w="200" w:type="dxa"/>
            <w:vAlign w:val="bottom"/>
          </w:tcPr>
          <w:p>
            <w:pPr>
              <w:spacing w:after="0"/>
              <w:rPr>
                <w:sz w:val="9"/>
                <w:szCs w:val="9"/>
                <w:color w:val="auto"/>
              </w:rPr>
            </w:pPr>
          </w:p>
        </w:tc>
        <w:tc>
          <w:tcPr>
            <w:tcW w:w="31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The Nasdaq Stock Market LLC</w:t>
            </w:r>
          </w:p>
        </w:tc>
      </w:tr>
      <w:tr>
        <w:trPr>
          <w:trHeight w:val="166"/>
        </w:trPr>
        <w:tc>
          <w:tcPr>
            <w:tcW w:w="3380" w:type="dxa"/>
            <w:vAlign w:val="bottom"/>
            <w:gridSpan w:val="2"/>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5"/>
              </w:rPr>
              <w:t>per share</w:t>
            </w:r>
          </w:p>
        </w:tc>
        <w:tc>
          <w:tcPr>
            <w:tcW w:w="3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60" w:type="dxa"/>
            <w:vAlign w:val="bottom"/>
          </w:tcPr>
          <w:p>
            <w:pPr>
              <w:spacing w:after="0"/>
              <w:rPr>
                <w:sz w:val="14"/>
                <w:szCs w:val="14"/>
                <w:color w:val="auto"/>
              </w:rPr>
            </w:pPr>
          </w:p>
        </w:tc>
      </w:tr>
    </w:tbl>
    <w:p>
      <w:pPr>
        <w:spacing w:after="0" w:line="37" w:lineRule="exact"/>
        <w:rPr>
          <w:sz w:val="24"/>
          <w:szCs w:val="24"/>
          <w:color w:val="auto"/>
        </w:rPr>
      </w:pPr>
    </w:p>
    <w:p>
      <w:pPr>
        <w:ind w:right="3280"/>
        <w:spacing w:after="0" w:line="221"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jc w:val="both"/>
        <w:ind w:right="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jc w:val="both"/>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72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444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Accelerated filer</w:t>
            </w:r>
          </w:p>
        </w:tc>
        <w:tc>
          <w:tcPr>
            <w:tcW w:w="940" w:type="dxa"/>
            <w:vAlign w:val="bottom"/>
          </w:tcPr>
          <w:p>
            <w:pPr>
              <w:ind w:left="8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6"/>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720" w:type="dxa"/>
            <w:vAlign w:val="bottom"/>
          </w:tcPr>
          <w:p>
            <w:pPr>
              <w:ind w:left="400"/>
              <w:spacing w:after="0" w:line="131" w:lineRule="exact"/>
              <w:rPr>
                <w:sz w:val="20"/>
                <w:szCs w:val="20"/>
                <w:color w:val="auto"/>
              </w:rPr>
            </w:pPr>
            <w:r>
              <w:rPr>
                <w:rFonts w:ascii="MS PGothic" w:cs="MS PGothic" w:eastAsia="MS PGothic" w:hAnsi="MS PGothic"/>
                <w:sz w:val="13"/>
                <w:szCs w:val="13"/>
                <w:color w:val="auto"/>
              </w:rPr>
              <w:t>☒</w:t>
            </w:r>
          </w:p>
        </w:tc>
        <w:tc>
          <w:tcPr>
            <w:tcW w:w="444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940" w:type="dxa"/>
            <w:vAlign w:val="bottom"/>
          </w:tcPr>
          <w:p>
            <w:pPr>
              <w:ind w:left="84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16"/>
        </w:trPr>
        <w:tc>
          <w:tcPr>
            <w:tcW w:w="15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440" w:type="dxa"/>
            <w:vAlign w:val="bottom"/>
          </w:tcPr>
          <w:p>
            <w:pPr>
              <w:ind w:left="2220"/>
              <w:spacing w:after="0"/>
              <w:rPr>
                <w:sz w:val="20"/>
                <w:szCs w:val="20"/>
                <w:color w:val="auto"/>
              </w:rPr>
            </w:pPr>
            <w:r>
              <w:rPr>
                <w:rFonts w:ascii="Times New Roman" w:cs="Times New Roman" w:eastAsia="Times New Roman" w:hAnsi="Times New Roman"/>
                <w:sz w:val="13"/>
                <w:szCs w:val="13"/>
                <w:color w:val="auto"/>
              </w:rPr>
              <w:t>Emerging growth company</w:t>
            </w:r>
          </w:p>
        </w:tc>
        <w:tc>
          <w:tcPr>
            <w:tcW w:w="940" w:type="dxa"/>
            <w:vAlign w:val="bottom"/>
          </w:tcPr>
          <w:p>
            <w:pPr>
              <w:ind w:left="84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32" w:lineRule="exact"/>
        <w:rPr>
          <w:sz w:val="24"/>
          <w:szCs w:val="24"/>
          <w:color w:val="auto"/>
        </w:rPr>
      </w:pPr>
    </w:p>
    <w:p>
      <w:pPr>
        <w:ind w:right="8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 w:lineRule="exact"/>
        <w:rPr>
          <w:sz w:val="24"/>
          <w:szCs w:val="24"/>
          <w:color w:val="auto"/>
        </w:rPr>
      </w:pPr>
    </w:p>
    <w:p>
      <w:pPr>
        <w:ind w:right="1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by the registered public accounting firm that prepared or issued its audit report. </w:t>
      </w:r>
      <w:r>
        <w:rPr>
          <w:rFonts w:ascii="MS PGothic" w:cs="MS PGothic" w:eastAsia="MS PGothic" w:hAnsi="MS PGothic"/>
          <w:sz w:val="13"/>
          <w:szCs w:val="13"/>
          <w:color w:val="auto"/>
        </w:rPr>
        <w:t>☒</w:t>
      </w:r>
    </w:p>
    <w:p>
      <w:pPr>
        <w:spacing w:after="0" w:line="18" w:lineRule="exact"/>
        <w:rPr>
          <w:sz w:val="24"/>
          <w:szCs w:val="24"/>
          <w:color w:val="auto"/>
        </w:rPr>
      </w:pPr>
    </w:p>
    <w:p>
      <w:pPr>
        <w:ind w:right="180"/>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8" w:lineRule="exact"/>
        <w:rPr>
          <w:sz w:val="24"/>
          <w:szCs w:val="24"/>
          <w:color w:val="auto"/>
        </w:rPr>
      </w:pPr>
    </w:p>
    <w:p>
      <w:pPr>
        <w:ind w:right="3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June 30, 2025, the aggregate market value of the common stock of the registrant held by non-affiliates was: $7.0 million.</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March 23, 2026, there were 22,210,459 shares of common stock, $0.0001 par value, issued and outstanding.</w:t>
      </w:r>
    </w:p>
    <w:p>
      <w:pPr>
        <w:spacing w:after="0" w:line="11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55" w:lineRule="exact"/>
        <w:rPr>
          <w:sz w:val="24"/>
          <w:szCs w:val="24"/>
          <w:color w:val="auto"/>
        </w:rPr>
      </w:pPr>
    </w:p>
    <w:p>
      <w:pPr>
        <w:spacing w:after="0" w:line="232" w:lineRule="auto"/>
        <w:rPr>
          <w:sz w:val="20"/>
          <w:szCs w:val="20"/>
          <w:color w:val="auto"/>
        </w:rPr>
      </w:pPr>
      <w:r>
        <w:rPr>
          <w:rFonts w:ascii="Times New Roman" w:cs="Times New Roman" w:eastAsia="Times New Roman" w:hAnsi="Times New Roman"/>
          <w:sz w:val="13"/>
          <w:szCs w:val="13"/>
          <w:color w:val="auto"/>
        </w:rPr>
        <w:t>Portions of the registrant’s definitive Proxy Statement to be filed in connection with the registrant’s 2026 annual general meeting of shareholders (“2026 Proxy Statement”) are incorporated by reference into Part III of this Form 10 K where indicated. The 2026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464820</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45085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87630</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60" w:type="dxa"/>
            <w:vAlign w:val="bottom"/>
            <w:gridSpan w:val="35"/>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Statement Regarding Forward Looking Statements</w:t>
            </w: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60" w:type="dxa"/>
            <w:vAlign w:val="bottom"/>
            <w:gridSpan w:val="35"/>
            <w:vMerge w:val="continue"/>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gridSpan w:val="14"/>
          </w:tcPr>
          <w:p>
            <w:pPr>
              <w:jc w:val="center"/>
              <w:ind w:right="3480"/>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12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Item 1. Business</w:t>
            </w:r>
          </w:p>
        </w:tc>
        <w:tc>
          <w:tcPr>
            <w:tcW w:w="2960" w:type="dxa"/>
            <w:vAlign w:val="bottom"/>
            <w:gridSpan w:val="19"/>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3500" w:type="dxa"/>
            <w:vAlign w:val="bottom"/>
            <w:gridSpan w:val="11"/>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Item 1A. Risk Factors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1B. Unresolved Staff Comments</w:t>
            </w:r>
          </w:p>
        </w:tc>
        <w:tc>
          <w:tcPr>
            <w:tcW w:w="5540" w:type="dxa"/>
            <w:vAlign w:val="bottom"/>
            <w:gridSpan w:val="21"/>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1C. Cybersecurity</w:t>
            </w:r>
          </w:p>
        </w:tc>
        <w:tc>
          <w:tcPr>
            <w:tcW w:w="6580" w:type="dxa"/>
            <w:vAlign w:val="bottom"/>
            <w:gridSpan w:val="28"/>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Item 2. Properties</w:t>
            </w:r>
          </w:p>
        </w:tc>
        <w:tc>
          <w:tcPr>
            <w:tcW w:w="6980" w:type="dxa"/>
            <w:vAlign w:val="bottom"/>
            <w:gridSpan w:val="30"/>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Item 3. Legal Proceedings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gridSpan w:val="15"/>
          </w:tcPr>
          <w:p>
            <w:pPr>
              <w:jc w:val="center"/>
              <w:ind w:right="3460"/>
              <w:spacing w:after="0"/>
              <w:rPr>
                <w:sz w:val="20"/>
                <w:szCs w:val="20"/>
                <w:color w:val="auto"/>
              </w:rPr>
            </w:pPr>
            <w:r>
              <w:rPr>
                <w:rFonts w:ascii="Times New Roman" w:cs="Times New Roman" w:eastAsia="Times New Roman" w:hAnsi="Times New Roman"/>
                <w:sz w:val="18"/>
                <w:szCs w:val="18"/>
                <w:b w:val="1"/>
                <w:bCs w:val="1"/>
                <w:color w:val="0000EE"/>
                <w:w w:val="97"/>
              </w:rPr>
              <w:t>PART II</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2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Item 5. Market for Registrant’s Common Equity, Related Stockholder Matters and Issuer Purchases of Equity</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60" w:type="dxa"/>
            <w:vAlign w:val="bottom"/>
            <w:tcBorders>
              <w:top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Securities</w:t>
            </w:r>
          </w:p>
        </w:tc>
        <w:tc>
          <w:tcPr>
            <w:tcW w:w="400" w:type="dxa"/>
            <w:vAlign w:val="bottom"/>
            <w:gridSpan w:val="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 Reserved</w:t>
            </w:r>
          </w:p>
        </w:tc>
        <w:tc>
          <w:tcPr>
            <w:tcW w:w="7040" w:type="dxa"/>
            <w:vAlign w:val="bottom"/>
            <w:gridSpan w:val="31"/>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 of Operations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40" w:type="dxa"/>
            <w:vAlign w:val="bottom"/>
            <w:tcBorders>
              <w:top w:val="single" w:sz="8" w:color="0000EE"/>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7A. Quantitative and Qualitative Disclosures About Market Risk</w:t>
            </w:r>
          </w:p>
        </w:tc>
        <w:tc>
          <w:tcPr>
            <w:tcW w:w="1960" w:type="dxa"/>
            <w:vAlign w:val="bottom"/>
            <w:tcBorders>
              <w:top w:val="single" w:sz="8" w:color="0000EE"/>
            </w:tcBorders>
            <w:gridSpan w:val="3"/>
          </w:tcPr>
          <w:p>
            <w:pPr>
              <w:spacing w:after="0"/>
              <w:rPr>
                <w:sz w:val="17"/>
                <w:szCs w:val="17"/>
                <w:color w:val="auto"/>
              </w:rPr>
            </w:pPr>
          </w:p>
        </w:tc>
        <w:tc>
          <w:tcPr>
            <w:tcW w:w="1260" w:type="dxa"/>
            <w:vAlign w:val="bottom"/>
            <w:gridSpan w:val="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8. Financial Statements and Supplementary Data</w:t>
            </w:r>
          </w:p>
        </w:tc>
        <w:tc>
          <w:tcPr>
            <w:tcW w:w="4380" w:type="dxa"/>
            <w:vAlign w:val="bottom"/>
            <w:gridSpan w:val="18"/>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Item 9. Changes in and Disagreements with Accountants on Accounting and Financial Disclosure</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 Controls and Procedures</w:t>
            </w:r>
          </w:p>
        </w:tc>
        <w:tc>
          <w:tcPr>
            <w:tcW w:w="4560" w:type="dxa"/>
            <w:vAlign w:val="bottom"/>
            <w:tcBorders>
              <w:top w:val="single" w:sz="8" w:color="0000EE"/>
            </w:tcBorders>
            <w:gridSpan w:val="19"/>
          </w:tcPr>
          <w:p>
            <w:pPr>
              <w:spacing w:after="0"/>
              <w:rPr>
                <w:sz w:val="17"/>
                <w:szCs w:val="17"/>
                <w:color w:val="auto"/>
              </w:rPr>
            </w:pPr>
          </w:p>
        </w:tc>
        <w:tc>
          <w:tcPr>
            <w:tcW w:w="1240" w:type="dxa"/>
            <w:vAlign w:val="bottom"/>
            <w:gridSpan w:val="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Item 9B. Other Information</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Item 9C. Disclosure Regarding Foreign Jurisdictions that Prevent Inspections</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740" w:type="dxa"/>
            <w:vAlign w:val="bottom"/>
            <w:tcBorders>
              <w:top w:val="single" w:sz="8" w:color="0000EE"/>
              <w:bottom w:val="single" w:sz="8" w:color="0000EE"/>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740" w:type="dxa"/>
            <w:vAlign w:val="bottom"/>
            <w:tcBorders>
              <w:top w:val="single" w:sz="8" w:color="0000EE"/>
            </w:tcBorders>
            <w:gridSpan w:val="2"/>
          </w:tcPr>
          <w:p>
            <w:pPr>
              <w:spacing w:after="0"/>
              <w:rPr>
                <w:sz w:val="24"/>
                <w:szCs w:val="24"/>
                <w:color w:val="auto"/>
              </w:rPr>
            </w:pPr>
          </w:p>
        </w:tc>
        <w:tc>
          <w:tcPr>
            <w:tcW w:w="2700" w:type="dxa"/>
            <w:vAlign w:val="bottom"/>
            <w:gridSpan w:val="6"/>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74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Item 10. Directors, Executive Officers and Corporate Governance</w:t>
            </w:r>
          </w:p>
        </w:tc>
        <w:tc>
          <w:tcPr>
            <w:tcW w:w="3520" w:type="dxa"/>
            <w:vAlign w:val="bottom"/>
            <w:gridSpan w:val="12"/>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11. Executive Compensation</w:t>
            </w:r>
          </w:p>
        </w:tc>
        <w:tc>
          <w:tcPr>
            <w:tcW w:w="5820" w:type="dxa"/>
            <w:vAlign w:val="bottom"/>
            <w:gridSpan w:val="23"/>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4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12. Security Ownership of Certain Beneficial Owners and Management and Related Stockholder Matters</w:t>
            </w:r>
          </w:p>
        </w:tc>
        <w:tc>
          <w:tcPr>
            <w:tcW w:w="32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tcBorders>
              <w:top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Item 14. Principal Accounting Fees and Services</w:t>
            </w:r>
          </w:p>
        </w:tc>
        <w:tc>
          <w:tcPr>
            <w:tcW w:w="2180" w:type="dxa"/>
            <w:vAlign w:val="bottom"/>
            <w:gridSpan w:val="5"/>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80" w:type="dxa"/>
            <w:vAlign w:val="bottom"/>
            <w:gridSpan w:val="16"/>
          </w:tcPr>
          <w:p>
            <w:pPr>
              <w:jc w:val="center"/>
              <w:ind w:right="3460"/>
              <w:spacing w:after="0"/>
              <w:rPr>
                <w:sz w:val="20"/>
                <w:szCs w:val="20"/>
                <w:color w:val="auto"/>
              </w:rPr>
            </w:pPr>
            <w:r>
              <w:rPr>
                <w:rFonts w:ascii="Times New Roman" w:cs="Times New Roman" w:eastAsia="Times New Roman" w:hAnsi="Times New Roman"/>
                <w:sz w:val="18"/>
                <w:szCs w:val="18"/>
                <w:b w:val="1"/>
                <w:bCs w:val="1"/>
                <w:color w:val="0000EE"/>
                <w:w w:val="97"/>
              </w:rPr>
              <w:t>PART IV</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8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Item 15. Exhibits and Financial Statement Schedules</w:t>
            </w:r>
          </w:p>
        </w:tc>
        <w:tc>
          <w:tcPr>
            <w:tcW w:w="300" w:type="dxa"/>
            <w:vAlign w:val="bottom"/>
            <w:gridSpan w:val="4"/>
          </w:tcPr>
          <w:p>
            <w:pPr>
              <w:spacing w:after="0"/>
              <w:rPr>
                <w:sz w:val="24"/>
                <w:szCs w:val="24"/>
                <w:color w:val="auto"/>
              </w:rPr>
            </w:pPr>
          </w:p>
        </w:tc>
        <w:tc>
          <w:tcPr>
            <w:tcW w:w="700" w:type="dxa"/>
            <w:vAlign w:val="bottom"/>
            <w:tcBorders>
              <w:top w:val="single" w:sz="8" w:color="0000EE"/>
            </w:tcBorders>
            <w:gridSpan w:val="6"/>
          </w:tcPr>
          <w:p>
            <w:pPr>
              <w:spacing w:after="0"/>
              <w:rPr>
                <w:sz w:val="24"/>
                <w:szCs w:val="24"/>
                <w:color w:val="auto"/>
              </w:rPr>
            </w:pPr>
          </w:p>
        </w:tc>
        <w:tc>
          <w:tcPr>
            <w:tcW w:w="3460" w:type="dxa"/>
            <w:vAlign w:val="bottom"/>
            <w:gridSpan w:val="9"/>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Item 16. Form 10-K Summary</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218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080" w:type="dxa"/>
            <w:vAlign w:val="bottom"/>
            <w:gridSpan w:val="25"/>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1499"/>
        </w:trPr>
        <w:tc>
          <w:tcPr>
            <w:tcW w:w="20" w:type="dxa"/>
            <w:vAlign w:val="bottom"/>
            <w:tcBorders>
              <w:bottom w:val="single" w:sz="8" w:color="auto"/>
            </w:tcBorders>
          </w:tcPr>
          <w:p>
            <w:pPr>
              <w:spacing w:after="0"/>
              <w:rPr>
                <w:sz w:val="24"/>
                <w:szCs w:val="24"/>
                <w:color w:val="auto"/>
              </w:rPr>
            </w:pPr>
          </w:p>
        </w:tc>
        <w:tc>
          <w:tcPr>
            <w:tcW w:w="7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Statement Regarding Forward Looking Statements</w:t>
      </w:r>
    </w:p>
    <w:p>
      <w:pPr>
        <w:spacing w:after="0" w:line="17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about us and our industry that involve substantial risks and uncertainties.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354" w:lineRule="exact"/>
        <w:rPr>
          <w:sz w:val="20"/>
          <w:szCs w:val="20"/>
          <w:color w:val="auto"/>
        </w:rPr>
      </w:pPr>
    </w:p>
    <w:p>
      <w:pPr>
        <w:ind w:left="720" w:right="119" w:hanging="319"/>
        <w:spacing w:after="0" w:line="213" w:lineRule="auto"/>
        <w:tabs>
          <w:tab w:leader="none" w:pos="72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timing, progress and results of our clinical trials of our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2" w:lineRule="exact"/>
        <w:rPr>
          <w:rFonts w:ascii="Times New Roman" w:cs="Times New Roman" w:eastAsia="Times New Roman" w:hAnsi="Times New Roman"/>
          <w:sz w:val="29"/>
          <w:szCs w:val="29"/>
          <w:color w:val="auto"/>
          <w:vertAlign w:val="superscript"/>
        </w:rPr>
      </w:pPr>
    </w:p>
    <w:p>
      <w:pPr>
        <w:ind w:left="720" w:right="499" w:hanging="319"/>
        <w:spacing w:after="0" w:line="191" w:lineRule="auto"/>
        <w:tabs>
          <w:tab w:leader="none" w:pos="72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ability to continue to develop innovative, proprietary products that address significant clinical needs in a manner that is safe and effective for patients and easy-to-use for physicians;</w:t>
      </w:r>
    </w:p>
    <w:p>
      <w:pPr>
        <w:spacing w:after="0" w:line="1" w:lineRule="exact"/>
        <w:rPr>
          <w:rFonts w:ascii="Times New Roman" w:cs="Times New Roman" w:eastAsia="Times New Roman" w:hAnsi="Times New Roman"/>
          <w:sz w:val="29"/>
          <w:szCs w:val="29"/>
          <w:color w:val="auto"/>
          <w:vertAlign w:val="superscript"/>
        </w:rPr>
      </w:pPr>
    </w:p>
    <w:p>
      <w:pPr>
        <w:ind w:left="720" w:hanging="319"/>
        <w:spacing w:after="0" w:line="180" w:lineRule="auto"/>
        <w:tabs>
          <w:tab w:leader="none" w:pos="720" w:val="left"/>
        </w:tabs>
        <w:numPr>
          <w:ilvl w:val="0"/>
          <w:numId w:val="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our ability to obtain and maintain regulatory clearances or approvals;</w:t>
      </w:r>
    </w:p>
    <w:p>
      <w:pPr>
        <w:spacing w:after="0" w:line="2" w:lineRule="exact"/>
        <w:rPr>
          <w:rFonts w:ascii="Times New Roman" w:cs="Times New Roman" w:eastAsia="Times New Roman" w:hAnsi="Times New Roman"/>
          <w:sz w:val="25"/>
          <w:szCs w:val="25"/>
          <w:color w:val="auto"/>
          <w:vertAlign w:val="superscript"/>
        </w:rPr>
      </w:pPr>
    </w:p>
    <w:p>
      <w:pPr>
        <w:ind w:left="720" w:hanging="319"/>
        <w:spacing w:after="0" w:line="186" w:lineRule="auto"/>
        <w:tabs>
          <w:tab w:leader="none" w:pos="72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ability to demonstrate safety and effectiveness in our sponsored and third-party clinical trials;</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ability to increase physician awareness;</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ability to obtain and maintain coverage and adequate reimbursement for procedures using our products;</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ability to attract and retain skilled research, development, sales and clinical personnel;</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ability to cost-effectively manufacture, market and sell our products;</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estimates of our market opportunity;</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expectations regarding the scope of protection from intellectual property rights covering our products;</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developments or disputes concerning our intellectual property or other proprietary rights;</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timing of and results from our clinical trials and other studies;</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marketing clearances and authorization from the FDA and regulators in other jurisdictions;</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timing of regulatory filings and feedback;</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competition in the markets we serve;</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expectations of the reliability and performance of our products;</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expectations of the benefits of our products to patients, providers, and payors;</w:t>
      </w:r>
    </w:p>
    <w:p>
      <w:pPr>
        <w:spacing w:after="0" w:line="2" w:lineRule="exact"/>
        <w:rPr>
          <w:rFonts w:ascii="Times New Roman" w:cs="Times New Roman" w:eastAsia="Times New Roman" w:hAnsi="Times New Roman"/>
          <w:sz w:val="24"/>
          <w:szCs w:val="24"/>
          <w:color w:val="auto"/>
          <w:vertAlign w:val="superscript"/>
        </w:rPr>
      </w:pPr>
    </w:p>
    <w:p>
      <w:pPr>
        <w:ind w:left="720" w:right="199" w:hanging="319"/>
        <w:spacing w:after="0" w:line="191" w:lineRule="auto"/>
        <w:tabs>
          <w:tab w:leader="none" w:pos="72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impact of proposed tariffs on our business, including the impact on gross margins related to our international product sales and the impact of resulting economic uncertainty on demand for our products;</w:t>
      </w:r>
    </w:p>
    <w:p>
      <w:pPr>
        <w:ind w:left="720" w:right="199" w:hanging="319"/>
        <w:spacing w:after="0" w:line="191" w:lineRule="auto"/>
        <w:tabs>
          <w:tab w:leader="none" w:pos="72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reliance on a limited number of suppliers, including sole source suppliers, which may impact the availability of instruments and materials;</w:t>
      </w:r>
    </w:p>
    <w:p>
      <w:pPr>
        <w:spacing w:after="0" w:line="1" w:lineRule="exact"/>
        <w:rPr>
          <w:rFonts w:ascii="Times New Roman" w:cs="Times New Roman" w:eastAsia="Times New Roman" w:hAnsi="Times New Roman"/>
          <w:sz w:val="29"/>
          <w:szCs w:val="29"/>
          <w:color w:val="auto"/>
          <w:vertAlign w:val="superscript"/>
        </w:rPr>
      </w:pPr>
    </w:p>
    <w:p>
      <w:pPr>
        <w:ind w:left="720" w:hanging="319"/>
        <w:spacing w:after="0" w:line="180" w:lineRule="auto"/>
        <w:tabs>
          <w:tab w:leader="none" w:pos="720" w:val="left"/>
        </w:tabs>
        <w:numPr>
          <w:ilvl w:val="0"/>
          <w:numId w:val="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our ability to sustain or increase demand for our products;</w:t>
      </w:r>
    </w:p>
    <w:p>
      <w:pPr>
        <w:spacing w:after="0" w:line="2" w:lineRule="exact"/>
        <w:rPr>
          <w:rFonts w:ascii="Times New Roman" w:cs="Times New Roman" w:eastAsia="Times New Roman" w:hAnsi="Times New Roman"/>
          <w:sz w:val="25"/>
          <w:szCs w:val="25"/>
          <w:color w:val="auto"/>
          <w:vertAlign w:val="superscript"/>
        </w:rPr>
      </w:pPr>
    </w:p>
    <w:p>
      <w:pPr>
        <w:ind w:left="720" w:hanging="319"/>
        <w:spacing w:after="0" w:line="186" w:lineRule="auto"/>
        <w:tabs>
          <w:tab w:leader="none" w:pos="72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estimates regarding our costs and risks associated with our international operations and expansion;</w:t>
      </w:r>
    </w:p>
    <w:p>
      <w:pPr>
        <w:spacing w:after="0" w:line="2" w:lineRule="exact"/>
        <w:rPr>
          <w:rFonts w:ascii="Times New Roman" w:cs="Times New Roman" w:eastAsia="Times New Roman" w:hAnsi="Times New Roman"/>
          <w:sz w:val="24"/>
          <w:szCs w:val="24"/>
          <w:color w:val="auto"/>
          <w:vertAlign w:val="superscript"/>
        </w:rPr>
      </w:pPr>
    </w:p>
    <w:p>
      <w:pPr>
        <w:ind w:left="720" w:right="159" w:hanging="319"/>
        <w:spacing w:after="0" w:line="191" w:lineRule="auto"/>
        <w:tabs>
          <w:tab w:leader="none" w:pos="72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effects of our corporate prioritization initiative and our expectations regarding our ability to retain and recruit key personnel;</w:t>
      </w:r>
    </w:p>
    <w:p>
      <w:pPr>
        <w:ind w:left="720" w:hanging="319"/>
        <w:spacing w:after="0" w:line="180" w:lineRule="auto"/>
        <w:tabs>
          <w:tab w:leader="none" w:pos="720" w:val="left"/>
        </w:tabs>
        <w:numPr>
          <w:ilvl w:val="0"/>
          <w:numId w:val="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our ability to attract and retain employees, including those with specialized skills and experience;</w:t>
      </w:r>
    </w:p>
    <w:p>
      <w:pPr>
        <w:spacing w:after="0" w:line="2" w:lineRule="exact"/>
        <w:rPr>
          <w:rFonts w:ascii="Times New Roman" w:cs="Times New Roman" w:eastAsia="Times New Roman" w:hAnsi="Times New Roman"/>
          <w:sz w:val="25"/>
          <w:szCs w:val="25"/>
          <w:color w:val="auto"/>
          <w:vertAlign w:val="superscript"/>
        </w:rPr>
      </w:pPr>
    </w:p>
    <w:p>
      <w:pPr>
        <w:ind w:left="720" w:hanging="319"/>
        <w:spacing w:after="0" w:line="186" w:lineRule="auto"/>
        <w:tabs>
          <w:tab w:leader="none" w:pos="72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expectations regarding strategic operations;</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ability to access capital markets;</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ability to fund our working capital requirements;</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compliance with, and the cost of, federal, state, and foreign regulatory requirements;</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anticipated trends and challenges in our business and the markets in which we operate; and</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ability to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The outcome of the events described in these forward-looking statements is subject to risks, uncertainties and other factors described under the header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8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Annual Report on Form 10-K relate only to events as of the date on which the statements are made, and we undertake no obligation to update them to reflect events or circumstances after the date of this Annual Report on Form 10-K or to reflect new information or the occurrence of unanticipated events, except as required by law.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 Factor Summary</w:t>
      </w:r>
    </w:p>
    <w:p>
      <w:pPr>
        <w:spacing w:after="0" w:line="229" w:lineRule="exact"/>
        <w:rPr>
          <w:sz w:val="20"/>
          <w:szCs w:val="20"/>
          <w:color w:val="auto"/>
        </w:rPr>
      </w:pPr>
    </w:p>
    <w:p>
      <w:pPr>
        <w:jc w:val="both"/>
        <w:ind w:left="60" w:right="59" w:firstLine="455"/>
        <w:spacing w:after="0" w:line="258" w:lineRule="auto"/>
        <w:rPr>
          <w:sz w:val="20"/>
          <w:szCs w:val="20"/>
          <w:color w:val="auto"/>
        </w:rPr>
      </w:pPr>
      <w:r>
        <w:rPr>
          <w:rFonts w:ascii="Times New Roman" w:cs="Times New Roman" w:eastAsia="Times New Roman" w:hAnsi="Times New Roman"/>
          <w:sz w:val="18"/>
          <w:szCs w:val="18"/>
          <w:color w:val="auto"/>
        </w:rPr>
        <w:t>Below is a summary of material factors that make an investment in our common stock speculative or risky. This summary does not address all of the risks that we face. Additional discussion of the risks summarized in this risk factor summary, and other risks that we face, can be found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Item 1A of Part I of this Annual Report and should be carefully considered, together with other information in this Annual Report and our other filings with the U.S. Securities and Exchange Commission (“SEC”) before making investment decisions regarding our common stock.</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121" w:lineRule="exact"/>
        <w:rPr>
          <w:sz w:val="20"/>
          <w:szCs w:val="20"/>
          <w:color w:val="auto"/>
        </w:rPr>
      </w:pPr>
    </w:p>
    <w:p>
      <w:pPr>
        <w:ind w:left="720" w:right="79" w:hanging="319"/>
        <w:spacing w:after="0" w:line="199" w:lineRule="auto"/>
        <w:tabs>
          <w:tab w:leader="none" w:pos="72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have incurred net losses and our financial conditions raise substantial doubt about our ability to continue as a going concern.</w:t>
      </w:r>
    </w:p>
    <w:p>
      <w:pPr>
        <w:spacing w:after="0" w:line="2" w:lineRule="exact"/>
        <w:rPr>
          <w:rFonts w:ascii="Times New Roman" w:cs="Times New Roman" w:eastAsia="Times New Roman" w:hAnsi="Times New Roman"/>
          <w:sz w:val="29"/>
          <w:szCs w:val="29"/>
          <w:color w:val="auto"/>
          <w:vertAlign w:val="superscript"/>
        </w:rPr>
      </w:pPr>
    </w:p>
    <w:p>
      <w:pPr>
        <w:ind w:left="720" w:right="79" w:hanging="319"/>
        <w:spacing w:after="0" w:line="191" w:lineRule="auto"/>
        <w:tabs>
          <w:tab w:leader="none" w:pos="72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have a limited operating history and no history of commercializing products, which may make it difficult for an investor to evaluate the success of our business to date and to assess our future viability.</w:t>
      </w:r>
    </w:p>
    <w:p>
      <w:pPr>
        <w:spacing w:after="0" w:line="1" w:lineRule="exact"/>
        <w:rPr>
          <w:rFonts w:ascii="Times New Roman" w:cs="Times New Roman" w:eastAsia="Times New Roman" w:hAnsi="Times New Roman"/>
          <w:sz w:val="29"/>
          <w:szCs w:val="29"/>
          <w:color w:val="auto"/>
          <w:vertAlign w:val="superscript"/>
        </w:rPr>
      </w:pPr>
    </w:p>
    <w:p>
      <w:pPr>
        <w:ind w:left="720" w:hanging="319"/>
        <w:spacing w:after="0" w:line="180" w:lineRule="auto"/>
        <w:tabs>
          <w:tab w:leader="none" w:pos="72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We may need to raise additional capital to fund our development and commercialization plans.</w:t>
      </w:r>
    </w:p>
    <w:p>
      <w:pPr>
        <w:spacing w:after="0" w:line="2" w:lineRule="exact"/>
        <w:rPr>
          <w:rFonts w:ascii="Times New Roman" w:cs="Times New Roman" w:eastAsia="Times New Roman" w:hAnsi="Times New Roman"/>
          <w:sz w:val="25"/>
          <w:szCs w:val="25"/>
          <w:color w:val="auto"/>
          <w:vertAlign w:val="superscript"/>
        </w:rPr>
      </w:pPr>
    </w:p>
    <w:p>
      <w:pPr>
        <w:ind w:left="720" w:right="79" w:hanging="319"/>
        <w:spacing w:after="0" w:line="191" w:lineRule="auto"/>
        <w:tabs>
          <w:tab w:leader="none" w:pos="72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Raising additional capital may cause dilution to our stockholders, restrict our operations or require us to relinquish rights to our technologies or product candidates.</w:t>
      </w:r>
    </w:p>
    <w:p>
      <w:pPr>
        <w:ind w:left="720" w:right="79" w:hanging="319"/>
        <w:spacing w:after="0" w:line="191" w:lineRule="auto"/>
        <w:tabs>
          <w:tab w:leader="none" w:pos="72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Changes in our business strategy or restructuring of our businesses may increase our costs or otherwise affect the profitability of our businesses or the value of our assets.</w:t>
      </w:r>
    </w:p>
    <w:p>
      <w:pPr>
        <w:spacing w:after="0" w:line="1" w:lineRule="exact"/>
        <w:rPr>
          <w:rFonts w:ascii="Times New Roman" w:cs="Times New Roman" w:eastAsia="Times New Roman" w:hAnsi="Times New Roman"/>
          <w:sz w:val="29"/>
          <w:szCs w:val="29"/>
          <w:color w:val="auto"/>
          <w:vertAlign w:val="superscript"/>
        </w:rPr>
      </w:pPr>
    </w:p>
    <w:p>
      <w:pPr>
        <w:ind w:left="720" w:hanging="319"/>
        <w:spacing w:after="0" w:line="180" w:lineRule="auto"/>
        <w:tabs>
          <w:tab w:leader="none" w:pos="72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Our growth and revenue prospects depend on our ability to accelerate the commercialization of our products.</w:t>
      </w:r>
    </w:p>
    <w:p>
      <w:pPr>
        <w:spacing w:after="0" w:line="2" w:lineRule="exact"/>
        <w:rPr>
          <w:rFonts w:ascii="Times New Roman" w:cs="Times New Roman" w:eastAsia="Times New Roman" w:hAnsi="Times New Roman"/>
          <w:sz w:val="25"/>
          <w:szCs w:val="25"/>
          <w:color w:val="auto"/>
          <w:vertAlign w:val="superscript"/>
        </w:rPr>
      </w:pPr>
    </w:p>
    <w:p>
      <w:pPr>
        <w:ind w:left="720" w:hanging="319"/>
        <w:spacing w:after="0" w:line="186" w:lineRule="auto"/>
        <w:tabs>
          <w:tab w:leader="none" w:pos="72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operating results may fluctuate significantly, which makes our future operating results difficult to predict.</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There is no assurance that we will be able to execute on our business model.</w:t>
      </w:r>
    </w:p>
    <w:p>
      <w:pPr>
        <w:spacing w:after="0" w:line="2" w:lineRule="exact"/>
        <w:rPr>
          <w:rFonts w:ascii="Times New Roman" w:cs="Times New Roman" w:eastAsia="Times New Roman" w:hAnsi="Times New Roman"/>
          <w:sz w:val="24"/>
          <w:szCs w:val="24"/>
          <w:color w:val="auto"/>
          <w:vertAlign w:val="superscript"/>
        </w:rPr>
      </w:pPr>
    </w:p>
    <w:p>
      <w:pPr>
        <w:ind w:left="720" w:right="79" w:hanging="319"/>
        <w:spacing w:after="0" w:line="191" w:lineRule="auto"/>
        <w:tabs>
          <w:tab w:leader="none" w:pos="72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size of the markets for our products may be smaller than estimated, limiting our ability to successfully sell products.</w:t>
      </w:r>
    </w:p>
    <w:p>
      <w:pPr>
        <w:ind w:left="720" w:hanging="319"/>
        <w:spacing w:after="0" w:line="180" w:lineRule="auto"/>
        <w:tabs>
          <w:tab w:leader="none" w:pos="72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Significant disruption in our information technology systems or security incidents could adversely affect us.</w:t>
      </w:r>
    </w:p>
    <w:p>
      <w:pPr>
        <w:spacing w:after="0" w:line="2" w:lineRule="exact"/>
        <w:rPr>
          <w:rFonts w:ascii="Times New Roman" w:cs="Times New Roman" w:eastAsia="Times New Roman" w:hAnsi="Times New Roman"/>
          <w:sz w:val="25"/>
          <w:szCs w:val="25"/>
          <w:color w:val="auto"/>
          <w:vertAlign w:val="superscript"/>
        </w:rPr>
      </w:pPr>
    </w:p>
    <w:p>
      <w:pPr>
        <w:ind w:left="720" w:hanging="319"/>
        <w:spacing w:after="0" w:line="186" w:lineRule="auto"/>
        <w:tabs>
          <w:tab w:leader="none" w:pos="72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We may be unable to manage our anticipated growth effectively.</w:t>
      </w:r>
    </w:p>
    <w:p>
      <w:pPr>
        <w:spacing w:after="0" w:line="2" w:lineRule="exact"/>
        <w:rPr>
          <w:rFonts w:ascii="Times New Roman" w:cs="Times New Roman" w:eastAsia="Times New Roman" w:hAnsi="Times New Roman"/>
          <w:sz w:val="24"/>
          <w:szCs w:val="24"/>
          <w:color w:val="auto"/>
          <w:vertAlign w:val="superscript"/>
        </w:rPr>
      </w:pPr>
    </w:p>
    <w:p>
      <w:pPr>
        <w:ind w:left="720" w:right="79" w:hanging="319"/>
        <w:spacing w:after="0" w:line="191" w:lineRule="auto"/>
        <w:tabs>
          <w:tab w:leader="none" w:pos="72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Acquisitions or strategic partnerships could increase our capital requirements and otherwise disrupt our operations.</w:t>
      </w:r>
    </w:p>
    <w:p>
      <w:pPr>
        <w:ind w:left="720" w:hanging="319"/>
        <w:spacing w:after="0" w:line="180" w:lineRule="auto"/>
        <w:tabs>
          <w:tab w:leader="none" w:pos="72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If we are unable to recruit and retain key executives and scientists, we may be unable to achieve our goals.</w:t>
      </w:r>
    </w:p>
    <w:p>
      <w:pPr>
        <w:spacing w:after="0" w:line="2" w:lineRule="exact"/>
        <w:rPr>
          <w:rFonts w:ascii="Times New Roman" w:cs="Times New Roman" w:eastAsia="Times New Roman" w:hAnsi="Times New Roman"/>
          <w:sz w:val="25"/>
          <w:szCs w:val="25"/>
          <w:color w:val="auto"/>
          <w:vertAlign w:val="superscript"/>
        </w:rPr>
      </w:pPr>
    </w:p>
    <w:p>
      <w:pPr>
        <w:ind w:left="720" w:right="79" w:hanging="319"/>
        <w:spacing w:after="0" w:line="191" w:lineRule="auto"/>
        <w:tabs>
          <w:tab w:leader="none" w:pos="72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Consolidation in the medical device industry could have an adverse effect on our revenue and results of operations.</w:t>
      </w:r>
    </w:p>
    <w:p>
      <w:pPr>
        <w:ind w:left="720" w:hanging="319"/>
        <w:spacing w:after="0" w:line="180" w:lineRule="auto"/>
        <w:tabs>
          <w:tab w:leader="none" w:pos="72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Unfavorable U.S. or global economic conditions could adversely affect us.</w:t>
      </w:r>
    </w:p>
    <w:p>
      <w:pPr>
        <w:spacing w:after="0" w:line="2" w:lineRule="exact"/>
        <w:rPr>
          <w:rFonts w:ascii="Times New Roman" w:cs="Times New Roman" w:eastAsia="Times New Roman" w:hAnsi="Times New Roman"/>
          <w:sz w:val="25"/>
          <w:szCs w:val="25"/>
          <w:color w:val="auto"/>
          <w:vertAlign w:val="superscript"/>
        </w:rPr>
      </w:pPr>
    </w:p>
    <w:p>
      <w:pPr>
        <w:ind w:left="720" w:hanging="319"/>
        <w:spacing w:after="0" w:line="186" w:lineRule="auto"/>
        <w:tabs>
          <w:tab w:leader="none" w:pos="72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Incorrect estimates or judgments relating to our critical accounting policies could cause a decline in our stock.</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Unavailable or inoperable facilities could adversely affect our business plans.</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Products</w:t>
      </w:r>
    </w:p>
    <w:p>
      <w:pPr>
        <w:spacing w:after="0" w:line="11" w:lineRule="exact"/>
        <w:rPr>
          <w:sz w:val="20"/>
          <w:szCs w:val="20"/>
          <w:color w:val="auto"/>
        </w:rPr>
      </w:pPr>
    </w:p>
    <w:p>
      <w:pPr>
        <w:ind w:left="720" w:hanging="319"/>
        <w:spacing w:after="0"/>
        <w:tabs>
          <w:tab w:leader="none" w:pos="72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If our clinical trials are unsuccessful, significantly delayed or incomplete, our business may be harmed.</w:t>
      </w:r>
    </w:p>
    <w:p>
      <w:pPr>
        <w:spacing w:after="0" w:line="1" w:lineRule="exact"/>
        <w:rPr>
          <w:rFonts w:ascii="Times New Roman" w:cs="Times New Roman" w:eastAsia="Times New Roman" w:hAnsi="Times New Roman"/>
          <w:sz w:val="29"/>
          <w:szCs w:val="29"/>
          <w:color w:val="auto"/>
          <w:vertAlign w:val="superscript"/>
        </w:rPr>
      </w:pPr>
    </w:p>
    <w:p>
      <w:pPr>
        <w:ind w:left="720" w:right="79" w:hanging="319"/>
        <w:spacing w:after="0" w:line="191" w:lineRule="auto"/>
        <w:tabs>
          <w:tab w:leader="none" w:pos="72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Planned trials may not establish an adequate safety or efficacy profile for our products, which would affect market acceptance of our products.</w:t>
      </w:r>
    </w:p>
    <w:p>
      <w:pPr>
        <w:ind w:left="720" w:hanging="319"/>
        <w:spacing w:after="0" w:line="180" w:lineRule="auto"/>
        <w:tabs>
          <w:tab w:leader="none" w:pos="72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Failure to establish relationships with partners may affect the commercialization of our products.</w:t>
      </w:r>
    </w:p>
    <w:p>
      <w:pPr>
        <w:spacing w:after="0" w:line="2" w:lineRule="exact"/>
        <w:rPr>
          <w:rFonts w:ascii="Times New Roman" w:cs="Times New Roman" w:eastAsia="Times New Roman" w:hAnsi="Times New Roman"/>
          <w:sz w:val="25"/>
          <w:szCs w:val="25"/>
          <w:color w:val="auto"/>
          <w:vertAlign w:val="superscript"/>
        </w:rPr>
      </w:pPr>
    </w:p>
    <w:p>
      <w:pPr>
        <w:ind w:left="720" w:hanging="319"/>
        <w:spacing w:after="0" w:line="186" w:lineRule="auto"/>
        <w:tabs>
          <w:tab w:leader="none" w:pos="72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Failure to establish an effective network for commercialization may adversely affect our business.</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Failure to appropriately train physicians and select patients may negatively affect our products.</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If we fail to improve our products or introduce new products, our prospects could be harmed.</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Failure to establish manufacturing capacity could delay commercialization of our products.</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Difficulties with third-party suppliers and manufacturers could harm our business.</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products could have unknown defects or errors, which may give rise to claims against us.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w:t>
      </w:r>
    </w:p>
    <w:p>
      <w:pPr>
        <w:spacing w:after="0" w:line="22" w:lineRule="exact"/>
        <w:rPr>
          <w:sz w:val="20"/>
          <w:szCs w:val="20"/>
          <w:color w:val="auto"/>
        </w:rPr>
      </w:pPr>
    </w:p>
    <w:p>
      <w:pPr>
        <w:ind w:left="720" w:hanging="319"/>
        <w:spacing w:after="0"/>
        <w:tabs>
          <w:tab w:leader="none" w:pos="720"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Failure to obtain and maintain sufficient intellectual property (“IP”) protection could adversely affect us.</w:t>
      </w:r>
    </w:p>
    <w:p>
      <w:pPr>
        <w:spacing w:after="0" w:line="1" w:lineRule="exact"/>
        <w:rPr>
          <w:rFonts w:ascii="Times New Roman" w:cs="Times New Roman" w:eastAsia="Times New Roman" w:hAnsi="Times New Roman"/>
          <w:sz w:val="29"/>
          <w:szCs w:val="29"/>
          <w:color w:val="auto"/>
          <w:vertAlign w:val="superscript"/>
        </w:rPr>
      </w:pPr>
    </w:p>
    <w:p>
      <w:pPr>
        <w:ind w:left="720" w:hanging="319"/>
        <w:spacing w:after="0" w:line="186" w:lineRule="auto"/>
        <w:tabs>
          <w:tab w:leader="none" w:pos="72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Changes in U.S. law relating to intellectual property may adversely impact our business.</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We may not be able to protect our IP rights throughout the world, which could harm our business prospects.</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Expensive, time-consuming IP lawsuits may prevent or delay our efforts.</w:t>
      </w:r>
    </w:p>
    <w:p>
      <w:pPr>
        <w:spacing w:after="0" w:line="2" w:lineRule="exact"/>
        <w:rPr>
          <w:rFonts w:ascii="Times New Roman" w:cs="Times New Roman" w:eastAsia="Times New Roman" w:hAnsi="Times New Roman"/>
          <w:sz w:val="24"/>
          <w:szCs w:val="24"/>
          <w:color w:val="auto"/>
          <w:vertAlign w:val="superscript"/>
        </w:rPr>
      </w:pPr>
    </w:p>
    <w:p>
      <w:pPr>
        <w:ind w:left="720" w:right="79" w:hanging="319"/>
        <w:spacing w:after="0" w:line="191" w:lineRule="auto"/>
        <w:tabs>
          <w:tab w:leader="none" w:pos="720"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Issued patents covering our products could be found invalid or unenforceable if challenged and could materially impact our business.</w:t>
      </w:r>
    </w:p>
    <w:p>
      <w:pPr>
        <w:ind w:left="720" w:hanging="319"/>
        <w:spacing w:after="0" w:line="180" w:lineRule="auto"/>
        <w:tabs>
          <w:tab w:leader="none" w:pos="72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Failure to protect our trade secrets could materially, adversely affect the value of our technology.</w:t>
      </w:r>
    </w:p>
    <w:p>
      <w:pPr>
        <w:spacing w:after="0" w:line="2" w:lineRule="exact"/>
        <w:rPr>
          <w:rFonts w:ascii="Times New Roman" w:cs="Times New Roman" w:eastAsia="Times New Roman" w:hAnsi="Times New Roman"/>
          <w:sz w:val="25"/>
          <w:szCs w:val="25"/>
          <w:color w:val="auto"/>
          <w:vertAlign w:val="superscript"/>
        </w:rPr>
      </w:pPr>
    </w:p>
    <w:p>
      <w:pPr>
        <w:ind w:left="720" w:hanging="319"/>
        <w:spacing w:after="0" w:line="186" w:lineRule="auto"/>
        <w:tabs>
          <w:tab w:leader="none" w:pos="72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We may be subject to claims challenging the inventorship or ownership of our patents and other IP.</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We may not be able to protect and enforce our trademarks and trade names or build name recognition.</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and Legal Compliance Matters</w:t>
      </w:r>
    </w:p>
    <w:p>
      <w:pPr>
        <w:spacing w:after="0" w:line="97" w:lineRule="exact"/>
        <w:rPr>
          <w:sz w:val="20"/>
          <w:szCs w:val="20"/>
          <w:color w:val="auto"/>
        </w:rPr>
      </w:pPr>
    </w:p>
    <w:p>
      <w:pPr>
        <w:ind w:left="720" w:right="79" w:hanging="319"/>
        <w:spacing w:after="0" w:line="199" w:lineRule="auto"/>
        <w:tabs>
          <w:tab w:leader="none" w:pos="720" w:val="left"/>
        </w:tabs>
        <w:numPr>
          <w:ilvl w:val="0"/>
          <w:numId w:val="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There are no assurances that we will obtain the necessary approvals from the U.S. Food and Drug Administration (“FDA”).</w:t>
      </w:r>
    </w:p>
    <w:p>
      <w:pPr>
        <w:spacing w:after="0" w:line="2" w:lineRule="exact"/>
        <w:rPr>
          <w:rFonts w:ascii="Times New Roman" w:cs="Times New Roman" w:eastAsia="Times New Roman" w:hAnsi="Times New Roman"/>
          <w:sz w:val="29"/>
          <w:szCs w:val="29"/>
          <w:color w:val="auto"/>
          <w:vertAlign w:val="superscript"/>
        </w:rPr>
      </w:pPr>
    </w:p>
    <w:p>
      <w:pPr>
        <w:ind w:left="720" w:hanging="319"/>
        <w:spacing w:after="0" w:line="180" w:lineRule="auto"/>
        <w:tabs>
          <w:tab w:leader="none" w:pos="72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We may be subject to enforcement action if we engage in improper or off-label marketing or promotion.</w:t>
      </w:r>
    </w:p>
    <w:p>
      <w:pPr>
        <w:spacing w:after="0" w:line="2" w:lineRule="exact"/>
        <w:rPr>
          <w:rFonts w:ascii="Times New Roman" w:cs="Times New Roman" w:eastAsia="Times New Roman" w:hAnsi="Times New Roman"/>
          <w:sz w:val="25"/>
          <w:szCs w:val="25"/>
          <w:color w:val="auto"/>
          <w:vertAlign w:val="superscript"/>
        </w:rPr>
      </w:pPr>
    </w:p>
    <w:p>
      <w:pPr>
        <w:ind w:left="720" w:hanging="319"/>
        <w:spacing w:after="0" w:line="186" w:lineRule="auto"/>
        <w:tabs>
          <w:tab w:leader="none" w:pos="72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business could be negatively impacted by changes in the United States political environment.</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Adverse findings in post-marketing vigilance or regulatory audits could materially and adversely us.</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We may be subject to enforcement action if we engage in improper marketing of our products.</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actual or perceived failure to comply with regulations could harm our business.</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Litigation and Regulation</w:t>
      </w:r>
    </w:p>
    <w:p>
      <w:pPr>
        <w:ind w:left="720" w:hanging="319"/>
        <w:spacing w:after="0" w:line="238" w:lineRule="auto"/>
        <w:tabs>
          <w:tab w:leader="none" w:pos="720" w:val="left"/>
        </w:tabs>
        <w:numPr>
          <w:ilvl w:val="0"/>
          <w:numId w:val="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Failure to comply with laws and regulations could result in litigation and substantially harm our business.</w:t>
      </w:r>
    </w:p>
    <w:p>
      <w:pPr>
        <w:spacing w:after="0" w:line="2" w:lineRule="exact"/>
        <w:rPr>
          <w:rFonts w:ascii="Times New Roman" w:cs="Times New Roman" w:eastAsia="Times New Roman" w:hAnsi="Times New Roman"/>
          <w:sz w:val="29"/>
          <w:szCs w:val="29"/>
          <w:color w:val="auto"/>
          <w:vertAlign w:val="superscript"/>
        </w:rPr>
      </w:pPr>
    </w:p>
    <w:p>
      <w:pPr>
        <w:ind w:left="720" w:right="79" w:hanging="319"/>
        <w:spacing w:after="0" w:line="191" w:lineRule="auto"/>
        <w:tabs>
          <w:tab w:leader="none" w:pos="720" w:val="left"/>
        </w:tabs>
        <w:numPr>
          <w:ilvl w:val="0"/>
          <w:numId w:val="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are subject to risks relating to disputes and other legal proceedings, product liability lawsuits, that may be time consuming and costly.</w:t>
      </w:r>
    </w:p>
    <w:p>
      <w:pPr>
        <w:ind w:left="720" w:hanging="319"/>
        <w:spacing w:after="0" w:line="180" w:lineRule="auto"/>
        <w:tabs>
          <w:tab w:leader="none" w:pos="72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Failure to comply with applicable international trade and sanctions regulations may harm our business.</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Financing Transactions</w:t>
      </w:r>
    </w:p>
    <w:p>
      <w:pPr>
        <w:ind w:left="720" w:hanging="319"/>
        <w:spacing w:after="0" w:line="238" w:lineRule="auto"/>
        <w:tabs>
          <w:tab w:leader="none" w:pos="72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There are risks associated with our convertible notes that could adversely affect our financial condition.</w:t>
      </w:r>
    </w:p>
    <w:p>
      <w:pPr>
        <w:spacing w:after="0" w:line="2" w:lineRule="exact"/>
        <w:rPr>
          <w:rFonts w:ascii="Times New Roman" w:cs="Times New Roman" w:eastAsia="Times New Roman" w:hAnsi="Times New Roman"/>
          <w:sz w:val="29"/>
          <w:szCs w:val="29"/>
          <w:color w:val="auto"/>
          <w:vertAlign w:val="superscript"/>
        </w:rPr>
      </w:pPr>
    </w:p>
    <w:p>
      <w:pPr>
        <w:ind w:left="720" w:hanging="319"/>
        <w:spacing w:after="0" w:line="186" w:lineRule="auto"/>
        <w:tabs>
          <w:tab w:leader="none" w:pos="720"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We are subject to risks relating to increased interest rates and adverse developments in the credit markets.</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Tax</w:t>
      </w:r>
    </w:p>
    <w:p>
      <w:pPr>
        <w:ind w:left="720" w:hanging="319"/>
        <w:spacing w:after="0" w:line="238" w:lineRule="auto"/>
        <w:tabs>
          <w:tab w:leader="none" w:pos="720" w:val="left"/>
        </w:tabs>
        <w:numPr>
          <w:ilvl w:val="0"/>
          <w:numId w:val="1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ability to use NOL carryforwards and other tax attributes may be limited.</w:t>
      </w:r>
    </w:p>
    <w:p>
      <w:pPr>
        <w:spacing w:after="0" w:line="2" w:lineRule="exact"/>
        <w:rPr>
          <w:rFonts w:ascii="Times New Roman" w:cs="Times New Roman" w:eastAsia="Times New Roman" w:hAnsi="Times New Roman"/>
          <w:sz w:val="29"/>
          <w:szCs w:val="29"/>
          <w:color w:val="auto"/>
          <w:vertAlign w:val="superscript"/>
        </w:rPr>
      </w:pPr>
    </w:p>
    <w:p>
      <w:pPr>
        <w:ind w:left="720" w:hanging="319"/>
        <w:spacing w:after="0" w:line="186" w:lineRule="auto"/>
        <w:tabs>
          <w:tab w:leader="none" w:pos="72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1% U.S. federal excise tax could be imposed on us in connection with redemptions by us of our stock.</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Any changes in tax law, or in the application thereof, may adversely impact our results of operations.</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Securities</w:t>
      </w:r>
    </w:p>
    <w:p>
      <w:pPr>
        <w:spacing w:after="0" w:line="97" w:lineRule="exact"/>
        <w:rPr>
          <w:sz w:val="20"/>
          <w:szCs w:val="20"/>
          <w:color w:val="auto"/>
        </w:rPr>
      </w:pPr>
    </w:p>
    <w:p>
      <w:pPr>
        <w:ind w:left="720" w:right="79" w:hanging="319"/>
        <w:spacing w:after="0" w:line="199" w:lineRule="auto"/>
        <w:tabs>
          <w:tab w:leader="none" w:pos="720" w:val="left"/>
        </w:tabs>
        <w:numPr>
          <w:ilvl w:val="0"/>
          <w:numId w:val="1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Perceptive PIPE Investor (defined herein) may have control over key decision making as a result of its voting power.</w:t>
      </w:r>
    </w:p>
    <w:p>
      <w:pPr>
        <w:spacing w:after="0" w:line="2" w:lineRule="exact"/>
        <w:rPr>
          <w:rFonts w:ascii="Times New Roman" w:cs="Times New Roman" w:eastAsia="Times New Roman" w:hAnsi="Times New Roman"/>
          <w:sz w:val="29"/>
          <w:szCs w:val="29"/>
          <w:color w:val="auto"/>
          <w:vertAlign w:val="superscript"/>
        </w:rPr>
      </w:pPr>
    </w:p>
    <w:p>
      <w:pPr>
        <w:ind w:left="720" w:hanging="319"/>
        <w:spacing w:after="0" w:line="180" w:lineRule="auto"/>
        <w:tabs>
          <w:tab w:leader="none" w:pos="720"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We may use our financial resources in ways with which you do not agree or yield a favorable return.</w:t>
      </w:r>
    </w:p>
    <w:p>
      <w:pPr>
        <w:spacing w:after="0" w:line="2" w:lineRule="exact"/>
        <w:rPr>
          <w:rFonts w:ascii="Times New Roman" w:cs="Times New Roman" w:eastAsia="Times New Roman" w:hAnsi="Times New Roman"/>
          <w:sz w:val="25"/>
          <w:szCs w:val="25"/>
          <w:color w:val="auto"/>
          <w:vertAlign w:val="superscript"/>
        </w:rPr>
      </w:pPr>
    </w:p>
    <w:p>
      <w:pPr>
        <w:ind w:left="720" w:right="79" w:hanging="319"/>
        <w:spacing w:after="0" w:line="191" w:lineRule="auto"/>
        <w:tabs>
          <w:tab w:leader="none" w:pos="720" w:val="left"/>
        </w:tabs>
        <w:numPr>
          <w:ilvl w:val="0"/>
          <w:numId w:val="1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status as an “emerging growth company” and “smaller reporting company” could make our stock less attractive.</w:t>
      </w:r>
    </w:p>
    <w:p>
      <w:pPr>
        <w:ind w:left="720" w:hanging="319"/>
        <w:spacing w:after="0" w:line="180" w:lineRule="auto"/>
        <w:tabs>
          <w:tab w:leader="none" w:pos="720" w:val="left"/>
        </w:tabs>
        <w:numPr>
          <w:ilvl w:val="0"/>
          <w:numId w:val="1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Our stock price may be volatile and may decline regardless of our operating performance.</w:t>
      </w:r>
    </w:p>
    <w:p>
      <w:pPr>
        <w:spacing w:after="0" w:line="2" w:lineRule="exact"/>
        <w:rPr>
          <w:rFonts w:ascii="Times New Roman" w:cs="Times New Roman" w:eastAsia="Times New Roman" w:hAnsi="Times New Roman"/>
          <w:sz w:val="25"/>
          <w:szCs w:val="25"/>
          <w:color w:val="auto"/>
          <w:vertAlign w:val="superscript"/>
        </w:rPr>
      </w:pPr>
    </w:p>
    <w:p>
      <w:pPr>
        <w:ind w:left="720" w:hanging="319"/>
        <w:spacing w:after="0" w:line="186" w:lineRule="auto"/>
        <w:tabs>
          <w:tab w:leader="none" w:pos="72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We may be unable to maintain the listing of our securities on Nasdaq in the future.</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An active trading market for our common stock may not be sustained.</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Future sales of shares by existing stockholders could cause our stock price to decline.</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Issuance of additional shares of common stock or other equity securities would dilute your ownership.</w:t>
      </w:r>
    </w:p>
    <w:p>
      <w:pPr>
        <w:spacing w:after="0" w:line="2"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Inaccurate or unfavorable research publication about us could decline our common stock.</w:t>
      </w:r>
    </w:p>
    <w:p>
      <w:pPr>
        <w:spacing w:after="0" w:line="2" w:lineRule="exact"/>
        <w:rPr>
          <w:rFonts w:ascii="Times New Roman" w:cs="Times New Roman" w:eastAsia="Times New Roman" w:hAnsi="Times New Roman"/>
          <w:sz w:val="24"/>
          <w:szCs w:val="24"/>
          <w:color w:val="auto"/>
          <w:vertAlign w:val="superscript"/>
        </w:rPr>
      </w:pPr>
    </w:p>
    <w:p>
      <w:pPr>
        <w:ind w:left="720" w:right="79" w:hanging="319"/>
        <w:spacing w:after="0" w:line="191" w:lineRule="auto"/>
        <w:tabs>
          <w:tab w:leader="none" w:pos="720" w:val="left"/>
        </w:tabs>
        <w:numPr>
          <w:ilvl w:val="0"/>
          <w:numId w:val="1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Delaware law and provisions in our Charter and Bylaws could make a merger, tender offer, or proxy contest difficult, thereby depressing the trading price of our common stock.</w:t>
      </w:r>
    </w:p>
    <w:p>
      <w:pPr>
        <w:jc w:val="both"/>
        <w:ind w:left="720" w:right="79" w:hanging="319"/>
        <w:spacing w:after="0" w:line="208" w:lineRule="auto"/>
        <w:tabs>
          <w:tab w:leader="none" w:pos="720" w:val="left"/>
        </w:tabs>
        <w:numPr>
          <w:ilvl w:val="0"/>
          <w:numId w:val="1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Court of Chancery of the State of Delaware serving as the exclusive forum for disputes could limit our stockholders’ ability to obtain a favorable judicial forum for disputes with us or our directors, officers or employees.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are a medical device company focused on developing and commercializing products for the treatment of cardiac arrhythmias with our novel, proprietary, catheter-based Ultra-Low Temperature Ablation (“ULTA”) technology, formerly known as Ultra-Low Temperature Cryoablation (“ULTC”) technology. Our initial focus is on the treatment of ventricular tachycardia (“VT”). VT is a rapid, abnormal heart rhythm, or arrhythmia, that originates in the heart’s lower chambers, or ventricles, potentially leading to impaired blood flow and, if sustained, VT can be fatal. In the United States, VT-associated sudden cardiac death (“SCD”) accounts for approximately 300,000 deaths each year. Radio Frequency (“RF”) ablation catheters currently used to treat VT were primarily designed and approved for the treatment of atrial fibrillation (“AF”) and are therefore not designed to optimally treat the specifics of the ventricular anatomy and disease. As a result, VT procedures performed with current devices can be overly complex, with sub-optimal outcomes, a factor that has potentially led to limited growth in the market for VT ablations.</w:t>
      </w:r>
    </w:p>
    <w:p>
      <w:pPr>
        <w:spacing w:after="0" w:line="194" w:lineRule="exact"/>
        <w:rPr>
          <w:sz w:val="20"/>
          <w:szCs w:val="20"/>
          <w:color w:val="auto"/>
        </w:rPr>
      </w:pPr>
    </w:p>
    <w:p>
      <w:pPr>
        <w:jc w:val="both"/>
        <w:ind w:left="60" w:right="59" w:firstLine="324"/>
        <w:spacing w:after="0" w:line="242" w:lineRule="auto"/>
        <w:rPr>
          <w:sz w:val="20"/>
          <w:szCs w:val="20"/>
          <w:color w:val="auto"/>
        </w:rPr>
      </w:pPr>
      <w:r>
        <w:rPr>
          <w:rFonts w:ascii="Times New Roman" w:cs="Times New Roman" w:eastAsia="Times New Roman" w:hAnsi="Times New Roman"/>
          <w:sz w:val="18"/>
          <w:szCs w:val="18"/>
          <w:color w:val="auto"/>
        </w:rPr>
        <w:t>Our clinically tested, proprietary ULTA products are purpose-built to treat patients with VT and are designed to address the unique anatomy of the ventricle and the specific needs of the VT patient. Our ULTA approach is built on the hypothesis that large and durable lesions extending through the depth of both diseased and healthy muscular tissue of the ventricle of the heart (ventricular myocardium) is a foundation for improving the effectiveness of VT ablations and patient outcomes. Our differentiated catheters and consoles are designed to create titratable, large, durable, deep lesions within the ventricle through a stable, endocardial – or inside the heart - approach with no required irrigation. In October 2025, we announced completion of enrollment in our FULCRUM-VT Pivotal FDA Investigational Device Exemption (“IDE”) study evaluating the vCLAS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Cryoablation System for ablation of monomorphic ventricular tachycardia (MMVT) in patients with both ischemic and non-ischemic cardiomyopathy. The vCLAS System, which was granted Breakthrough Device Designation by the FDA in April 2025, is built on our proprietary ULTA technology platform and is typically utilized with a double freeze cycle (freeze-thaw-freeze) protocol.</w:t>
      </w:r>
    </w:p>
    <w:p>
      <w:pPr>
        <w:spacing w:after="0" w:line="203"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purpose-built solution has the potential to drive market growth in ablative treatment of the large, underserved VT patient population.</w:t>
      </w:r>
    </w:p>
    <w:p>
      <w:pPr>
        <w:spacing w:after="0" w:line="162" w:lineRule="exact"/>
        <w:rPr>
          <w:sz w:val="20"/>
          <w:szCs w:val="20"/>
          <w:color w:val="auto"/>
        </w:rPr>
      </w:pPr>
    </w:p>
    <w:p>
      <w:pPr>
        <w:jc w:val="both"/>
        <w:ind w:left="60" w:right="59" w:firstLine="324"/>
        <w:spacing w:after="0" w:line="239" w:lineRule="auto"/>
        <w:rPr>
          <w:sz w:val="20"/>
          <w:szCs w:val="20"/>
          <w:color w:val="auto"/>
        </w:rPr>
      </w:pPr>
      <w:r>
        <w:rPr>
          <w:rFonts w:ascii="Times New Roman" w:cs="Times New Roman" w:eastAsia="Times New Roman" w:hAnsi="Times New Roman"/>
          <w:sz w:val="18"/>
          <w:szCs w:val="18"/>
          <w:color w:val="auto"/>
        </w:rPr>
        <w:t>We have established a robust cadence of clinical data designed to evaluate our technology and gain regulatory approvals of our product portfolio. Preliminary data suggest that our approach to treating VT offers a favorable combination of safety, acute and chronic effectiveness, compared to the current standard of care, including ablations performed using RF and pulsed field ablation (“PFA”) energy. Our first-in-human CRYOCURE-VT trial included 64 patients in nine centers in the European Union and Canada. The outcomes of this trial, which were used to support Conformité Européenne (“CE Mark”) approval, include a 0% rate of major adverse events, 94% acute procedural success, 60% freedom from sustained VT and 81% freedom from implantable cardioverter defibrillator (“ICD”) shock at six months. Our vCLAS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Cryoablation System for VT has obtained European CE Mark approval. In the United States, our 209-patient FULCRUM-VT IDE pivotal clinical trial completed enrollment in October 2025 across 19 centers in the United States and Canada. The study includes patients with both ischemic and non-ischemic (NICM) cardiomyopathies (LVEF=35+/-10%, 33% NICM, 75% with congestive heart failure). In our preliminary acute safety and efficacy results, acute clinical success, defined as non-inducibility of target ventricular arrhythmias, was 97.4%, with all clinically-relevant VTs eliminated in 96.7% of patients tested by post-ablation programmed electrical stimulation. Key safety findings included a 2.4% rate of major adverse events including four (1.9%) peri-procedural deaths, of which one (0.5%) was adjudicated by an independent Clinical Events Committee as definitely related to the investigational device. We plan to share the six-month results of the FULCRUM-VT trial in April 2026 at the Heart Rhythm Society 2026 Conference and to submit the results of this trial to support our application for FDA approval of our vCLAS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Cryoablation System in the first half of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are also currently developing a next-generation ULTA technology for VT. This catheter, which requires only a single freeze, is being designed to improve customer usability and integration with the existing ablation laboratory workflow. The next-generation catheter features a more flexible, smaller diameter shaft that is compatible with the industry-standard size 8.5 French sheaths, and is designed to operate at lower ablation temperatures resulting in the shorter, single-freeze ablation protocol. We have completed the design phase with this device.</w:t>
      </w:r>
    </w:p>
    <w:p>
      <w:pPr>
        <w:spacing w:after="0" w:line="183"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We have also developed a technology that utilizes ULTA in combination with PFA, which we call Pulsed Field Cryoablation (“PFCA”). Early demonstrations of PFCA technology has been performed in the European PARALELL trial in patients with persistent atrial fibrillation and in preclinical studies targeting VT ablations.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total value of the global market for electrophysiology (“EP”) devices in 2025 was approximately $14 billion, which includes significant recent acceleration in growth of approximately 25% in each 2024 and 2025, driven primarily by increased procedure volumes and the associated higher average selling prices from the introduction and widespread adoption of pulsed field ablation (“PFA”) for AF ablation. This acceleration illustrates the EP market responsiveness to meaningful technological improvements. According to industry sources, longer-term, the market is projected to grow at a compound annual growth rate of approximately 13%, reaching over $33 billion by 2033. We believe that these market trends bode well for future growth in the ablation market for VT, which currently represents a smaller, highly underpenetrated part of the total EP market, partially due to the historic lack of the investment and development of ablation technologies designed for the specific requirements and circumstances of the ventricular anatomy.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Ventricular Tachycardia</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VT is a potentially fatal disruption of normal electrical activation of the heart originating in the lower chambers of the heart (ventricles), that is characterized by a heart rate exceeding 100 beats per minute. The symptoms of VT range from lightheadedness to a temporary loss of consciousness caused by a sudden decrease in blood flow to the brain, known as syncope, to progression into ventricular fibrillation and possibly SCD. VT-associated SCD accounts for approximately 300,000 deaths each year in the U.S. alone. VT is prevalent in patients with structural heart disease of both ischemic (related to coronary artery disease) and non-ischemic causes due to electrically disruptive scarring within the muscle of the heart, which blocks or delays normal propagation of the electric signal in the heart. The other relevant group of VT patients are those with “idiopathic” VT, or VT from unknown origin, which is not associated with underlying structural heart disease. This group includes patients with premature ventricular contractions (“PVC”), which are extra heartbeats that begin in one of the heart’s two ventricles. While occasional PVCs in people without underlying heart disease usually are not cause for concern, frequent PVCs can become highly symptomatic and lead to the development of cardiomyopathy, or disease affecting the heart muscle that makes it difficult for the heart to pump blood effectively.</w:t>
      </w:r>
    </w:p>
    <w:p>
      <w:pPr>
        <w:spacing w:after="0" w:line="19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first-line treatments for structural-related VT are anti-arrhythmic drugs, which are often toxic and poorly tolerated, either alone or in combination with an ICD, which is implanted in the patient to sense and restore normal heart rhythm through the administration of electrical shocks. While ICD implants do address the risk of SCD, the patients remain vulnerable to recurrent symptomatic episodes of VT. These symptomatic VT episodes could prompt harmful ICD shocks, resulting in reduced quality of life, hospitalizations and/or cardiac decompensation, where the heart function becomes unstable.</w:t>
      </w:r>
    </w:p>
    <w:p>
      <w:pPr>
        <w:spacing w:after="0" w:line="187" w:lineRule="exact"/>
        <w:rPr>
          <w:sz w:val="20"/>
          <w:szCs w:val="20"/>
          <w:color w:val="auto"/>
        </w:rPr>
      </w:pPr>
    </w:p>
    <w:p>
      <w:pPr>
        <w:jc w:val="both"/>
        <w:ind w:left="60" w:right="59" w:hanging="10"/>
        <w:spacing w:after="0" w:line="254" w:lineRule="auto"/>
        <w:tabs>
          <w:tab w:leader="none" w:pos="3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Catheter ablation treats VT by addressing the underlying cause of the disease. In these procedures, electrodes at the tip of the catheter use energy to create what are known as myocardial lesions to destroy – or ablate – the electrical pathway in the muscular tissue of the heart that is causing the VT. It is estimated that the total addressable global market for VT ablation is $5.8 billion, which is comprised of approximately 1.6 million patients with VT who are eligible for ablation each year. Within the U.S., the total addressable market for VT is estimated to be $1.6 billion, comprised of 200,000 patients. It is further estimated that there are approximately 100,000 ablations for VT worldwide each year, or approximately 6% of the total addressable VT ablation market. VT ablation procedures have been growing by approximately 7% annually, driven in part by the advances in electroanatomic mapping technologies and operator training as well as by the aging population and the increased incidence of underlying cardiac disease.</w:t>
      </w:r>
    </w:p>
    <w:p>
      <w:pPr>
        <w:spacing w:after="0" w:line="188" w:lineRule="exact"/>
        <w:rPr>
          <w:rFonts w:ascii="Times New Roman" w:cs="Times New Roman" w:eastAsia="Times New Roman" w:hAnsi="Times New Roman"/>
          <w:sz w:val="18"/>
          <w:szCs w:val="18"/>
          <w:color w:val="auto"/>
        </w:rPr>
      </w:pPr>
    </w:p>
    <w:p>
      <w:pPr>
        <w:jc w:val="both"/>
        <w:ind w:left="60" w:right="59" w:hanging="10"/>
        <w:spacing w:after="0" w:line="256" w:lineRule="auto"/>
        <w:tabs>
          <w:tab w:leader="none" w:pos="3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Cardiac ablation to address VT in patients with structural heart disease has been clinically shown to reduce the frequency of symptomatic ventricular arrhythmias, including repeat, uncontrollable arrhythmias known as VT storms, and to reduce ICD shocks. Additionally, the recent VANISH-2 trial demonstrated that VT ablation may be a viable alternative to the escalation of anti-arrhythmic medications; however, current clinical guidelines recommend VT ablation therapy for patients with structural heart disease as second-line therapy. We estimate that approximately 730,000 patients with VT due to structural heart disease are eligible for ablation each year.</w:t>
      </w:r>
    </w:p>
    <w:p>
      <w:pPr>
        <w:spacing w:after="0" w:line="187"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3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Symptomatic idiopathic VT comprises approximately 60% of current VT ablations. While the indications for ablative treatment of these patient groups vary significantly based on arrhythmia sub-type and site of origin, the estimated annual incidence of the condition is approximately 780,000 per year.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Current Challenges</w:t>
      </w:r>
    </w:p>
    <w:p>
      <w:pPr>
        <w:spacing w:after="0" w:line="229" w:lineRule="exact"/>
        <w:rPr>
          <w:sz w:val="20"/>
          <w:szCs w:val="20"/>
          <w:color w:val="auto"/>
        </w:rPr>
      </w:pPr>
    </w:p>
    <w:p>
      <w:pPr>
        <w:jc w:val="both"/>
        <w:ind w:left="60" w:right="59" w:hanging="10"/>
        <w:spacing w:after="0" w:line="256" w:lineRule="auto"/>
        <w:tabs>
          <w:tab w:leader="none" w:pos="38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factors have limited the growth of ablation procedures for VT. Today, VT ablations are performed using RF catheters, which are almost exclusively designed and initially approved to treat atrial arrhythmias. The majority of atrial ablations are performed using a standardized set of lesions in tissue with thickness of 2 to 5 millimeters. In comparison, VT ablations are performed using a patient-specific and often very extensive set of lesions, which vary - depending on the location of the abnormal electrical circuit and preferred ablation strategy - in the forcefully contracting, highly mobile ventricular myocardium where tissue thickness routinely exceeds 10 millimeters.</w:t>
      </w:r>
    </w:p>
    <w:p>
      <w:pPr>
        <w:spacing w:after="0" w:line="187" w:lineRule="exact"/>
        <w:rPr>
          <w:rFonts w:ascii="Times New Roman" w:cs="Times New Roman" w:eastAsia="Times New Roman" w:hAnsi="Times New Roman"/>
          <w:sz w:val="18"/>
          <w:szCs w:val="18"/>
          <w:color w:val="auto"/>
        </w:rPr>
      </w:pPr>
    </w:p>
    <w:p>
      <w:pPr>
        <w:jc w:val="both"/>
        <w:ind w:left="60" w:right="59" w:hanging="10"/>
        <w:spacing w:after="0" w:line="254" w:lineRule="auto"/>
        <w:tabs>
          <w:tab w:leader="none" w:pos="38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issue of RF technology for VT is its limited lesion depth of 5 to 6 millimeters in healthy tissue which is further attenuated, or reduced, by approximately 50% in the presence of the myocardial scar. Furthermore, performing RF ablation requires an operator to maintain consistent mechanical contact between the catheter and the tissue, which can be technically challenging when ablating VT due to ventricular contractions. In addition, in order to cool the ablating electrode and minimize the chance of a life-threatening complication known as “steam-pop”, advanced RF catheters utilize irrigating fluid, which can lead to the development of acute cardiac decompensation, particularly in patients with structural heart disease. Additionally, the insufficient lesion depth with RF can impact the effectiveness of the preferred endocardial (internal surface of the heart) ablation in some patients. RF catheter instability and management of irrigating fluid overload add to the technical challenges of VT ablations.</w:t>
      </w:r>
    </w:p>
    <w:p>
      <w:pPr>
        <w:spacing w:after="0" w:line="18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VT ablations using current technology remain lengthy and technically complex and are associated with a nearly 11.5% rate of serious complications, including death, particularly, but not exclusively, in patients with structural heart disease. This complexity and procedural risk combined with current guidelines for VT ablations as a second-line therapy have limited the growth of the procedural volumes despite significant improvement in the adjunctive technologies such as electroanatomic mapping and emerging evidence on benefits of earlier and prophylactic VT ablations.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Solution</w:t>
      </w:r>
    </w:p>
    <w:p>
      <w:pPr>
        <w:spacing w:after="0" w:line="229" w:lineRule="exact"/>
        <w:rPr>
          <w:sz w:val="20"/>
          <w:szCs w:val="20"/>
          <w:color w:val="auto"/>
        </w:rPr>
      </w:pPr>
    </w:p>
    <w:p>
      <w:pPr>
        <w:jc w:val="both"/>
        <w:ind w:left="60" w:right="59" w:hanging="10"/>
        <w:spacing w:after="0" w:line="261" w:lineRule="auto"/>
        <w:tabs>
          <w:tab w:leader="none" w:pos="38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ULTA technology was developed to consistently create large, titratable, durable lesions extending through the depth of both diseased and healthy ventricular myocardium, which we believe is a foundation for improving the effectiveness and outcomes of VT ablations. Our unique technology portfolio consists of ULTA alone and in combination with PFA (also known as PFCA).</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Our ULTA technology uses nitrogen (N2) gas, which is pressurized to its critical point and cooled to its ambient boiling temperature of -196°C. This is in contrast to currently available cryoballoon and focal point cryocatheter technologies, which are based on the rapid evaporation (Joule-Thompson effect) of the compressed nitrous oxide (N2O) with a boiling temperature of -88.5°C. In ULTA, the “near- critical” nitrogen combines the flow properties of gas with density and thermal capacity of liquid, making it an ideal refrigerant for use in the endovascular environment. The high pressure suppresses evaporation and ensures continuous, vapor lock-free flow through small lumen catheters. Under such conditions, the refrigerant can be brought into close proximity and applied to the tissue targeted for ablation through a proprietary cryoablation catheter at temperatures close to -196°C. In our pre-clinical experiments, the cryogenic power supplied by the technology was sufficient to achieve the temperatures at or below -30°C deep into the tissue, resulting in formation of intracellular ice and instantaneous and permanent death of cardiac tissue. The size and contiguity of such durable lesions could be assured by length, shape, and mechanical properties of the ablation element, while depth can be titrated by the duration of the freeze. </w:t>
      </w:r>
      <w:r>
        <w:rPr>
          <w:rFonts w:ascii="Times New Roman" w:cs="Times New Roman" w:eastAsia="Times New Roman" w:hAnsi="Times New Roman"/>
          <w:sz w:val="18"/>
          <w:szCs w:val="18"/>
          <w:b w:val="1"/>
          <w:bCs w:val="1"/>
          <w:i w:val="1"/>
          <w:iCs w:val="1"/>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Key benefits of ULTA for VT ablations include:</w:t>
      </w:r>
    </w:p>
    <w:p>
      <w:pPr>
        <w:spacing w:after="0" w:line="158" w:lineRule="exact"/>
        <w:rPr>
          <w:sz w:val="20"/>
          <w:szCs w:val="20"/>
          <w:color w:val="auto"/>
        </w:rPr>
      </w:pPr>
    </w:p>
    <w:p>
      <w:pPr>
        <w:jc w:val="both"/>
        <w:ind w:left="720" w:right="79" w:hanging="319"/>
        <w:spacing w:after="0" w:line="268"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Titratable lesion depth up to and exceeding 10 millimeters </w:t>
      </w:r>
      <w:r>
        <w:rPr>
          <w:rFonts w:ascii="Times New Roman" w:cs="Times New Roman" w:eastAsia="Times New Roman" w:hAnsi="Times New Roman"/>
          <w:sz w:val="18"/>
          <w:szCs w:val="18"/>
          <w:color w:val="auto"/>
        </w:rPr>
        <w:t>provides physicians a new ability to use simple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endocardial-only approach to ablate VT circuits in patients with both ischemic and non-ischemic cardiomyopathy, as well as PVCs.</w:t>
      </w:r>
    </w:p>
    <w:p>
      <w:pPr>
        <w:spacing w:after="0" w:line="62" w:lineRule="exact"/>
        <w:rPr>
          <w:rFonts w:ascii="Times New Roman" w:cs="Times New Roman" w:eastAsia="Times New Roman" w:hAnsi="Times New Roman"/>
          <w:sz w:val="18"/>
          <w:szCs w:val="18"/>
          <w:color w:val="auto"/>
        </w:rPr>
      </w:pPr>
    </w:p>
    <w:p>
      <w:pPr>
        <w:jc w:val="both"/>
        <w:ind w:left="720" w:right="79" w:hanging="319"/>
        <w:spacing w:after="0" w:line="268"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Large​ lateral size </w:t>
      </w:r>
      <w:r>
        <w:rPr>
          <w:rFonts w:ascii="Times New Roman" w:cs="Times New Roman" w:eastAsia="Times New Roman" w:hAnsi="Times New Roman"/>
          <w:sz w:val="18"/>
          <w:szCs w:val="18"/>
          <w:color w:val="auto"/>
        </w:rPr>
        <w:t>of the lesions enabled by the length and design of the ULTA ablation element offer physicians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possibility to utilize a small number of ablations, performing otherwise complex procedures faster, safely, and effectively.</w:t>
      </w:r>
    </w:p>
    <w:p>
      <w:pPr>
        <w:spacing w:after="0" w:line="62" w:lineRule="exact"/>
        <w:rPr>
          <w:rFonts w:ascii="Times New Roman" w:cs="Times New Roman" w:eastAsia="Times New Roman" w:hAnsi="Times New Roman"/>
          <w:sz w:val="18"/>
          <w:szCs w:val="18"/>
          <w:color w:val="auto"/>
        </w:rPr>
      </w:pPr>
    </w:p>
    <w:p>
      <w:pPr>
        <w:ind w:left="720" w:right="79" w:hanging="319"/>
        <w:spacing w:after="0" w:line="28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Preservation​ of intracellular matrix with ULTA </w:t>
      </w:r>
      <w:r>
        <w:rPr>
          <w:rFonts w:ascii="Times New Roman" w:cs="Times New Roman" w:eastAsia="Times New Roman" w:hAnsi="Times New Roman"/>
          <w:sz w:val="18"/>
          <w:szCs w:val="18"/>
          <w:color w:val="auto"/>
        </w:rPr>
        <w:t>avoids potentially life-threatening complications known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steam-pop.</w:t>
      </w:r>
    </w:p>
    <w:p>
      <w:pPr>
        <w:spacing w:after="0" w:line="46" w:lineRule="exact"/>
        <w:rPr>
          <w:rFonts w:ascii="Times New Roman" w:cs="Times New Roman" w:eastAsia="Times New Roman" w:hAnsi="Times New Roman"/>
          <w:sz w:val="18"/>
          <w:szCs w:val="18"/>
          <w:color w:val="auto"/>
        </w:rPr>
      </w:pPr>
    </w:p>
    <w:p>
      <w:pPr>
        <w:jc w:val="both"/>
        <w:ind w:left="720" w:right="79" w:hanging="319"/>
        <w:spacing w:after="0" w:line="26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Stability​ from cryoadhesion, </w:t>
      </w:r>
      <w:r>
        <w:rPr>
          <w:rFonts w:ascii="Times New Roman" w:cs="Times New Roman" w:eastAsia="Times New Roman" w:hAnsi="Times New Roman"/>
          <w:sz w:val="18"/>
          <w:szCs w:val="18"/>
          <w:color w:val="auto"/>
        </w:rPr>
        <w:t>or the catheter adhesion to the endocardial surface upon freezing, eliminates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need for the physician to manually maintain contact between the catheter and the tissue during energy delivery, which is of critical importance when ablating in certain anatomic locations, and can also minimize physician’s stress and fatigue.</w:t>
      </w:r>
    </w:p>
    <w:p>
      <w:pPr>
        <w:spacing w:after="0" w:line="68" w:lineRule="exact"/>
        <w:rPr>
          <w:rFonts w:ascii="Times New Roman" w:cs="Times New Roman" w:eastAsia="Times New Roman" w:hAnsi="Times New Roman"/>
          <w:sz w:val="18"/>
          <w:szCs w:val="18"/>
          <w:color w:val="auto"/>
        </w:rPr>
      </w:pPr>
    </w:p>
    <w:p>
      <w:pPr>
        <w:jc w:val="both"/>
        <w:ind w:left="720" w:right="79" w:hanging="319"/>
        <w:spacing w:after="0" w:line="26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Lack​ of irrigation with </w:t>
      </w:r>
      <w:r>
        <w:rPr>
          <w:rFonts w:ascii="Times New Roman" w:cs="Times New Roman" w:eastAsia="Times New Roman" w:hAnsi="Times New Roman"/>
          <w:sz w:val="18"/>
          <w:szCs w:val="18"/>
          <w:color w:val="auto"/>
        </w:rPr>
        <w:t>ULTA technology is designed to eliminate the possibility of fluid overload for VT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patients and thereby eliminates the associated increased risk of acute cardiac decompensation and renal failure in structural heart disease patients already susceptible to cardio-renal syndrome, potentially also shortening post-procedural recovery time.</w:t>
      </w:r>
    </w:p>
    <w:p>
      <w:pPr>
        <w:spacing w:after="0" w:line="1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Clinical Results</w:t>
      </w:r>
    </w:p>
    <w:p>
      <w:pPr>
        <w:spacing w:after="0" w:line="181" w:lineRule="exact"/>
        <w:rPr>
          <w:sz w:val="20"/>
          <w:szCs w:val="20"/>
          <w:color w:val="auto"/>
        </w:rPr>
      </w:pPr>
    </w:p>
    <w:p>
      <w:pPr>
        <w:jc w:val="both"/>
        <w:ind w:left="60" w:right="59" w:hanging="10"/>
        <w:spacing w:after="0" w:line="242" w:lineRule="auto"/>
        <w:tabs>
          <w:tab w:leader="none" w:pos="38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vCLAS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Cryoablation System for ablation of monomorphic VT in patients with structural heart disease was evaluated in the 64-patient CRYOCURE-VT study at nine sites in Europe and Canada. Monomorphic VTs arise from a single aberrant electrical circuit in the ventricle and are the most prevalent type of VT. The CRYOCURE-VT trial supported CE-mark approval of Adagio’s vCLAS Cryoablation System in the first quarter of 2024. The study demonstrated 94% acute procedural success, 60% freedom from VT recurrence and 81% freedom from implantable cardioverter defibrillator shock at six months. In addition, the study demonstrated significant reduction in burden of ventricular arrhythmias and over 50% reduction in use of antiarrhythmic medication. Further analysis demonstrated that these benefits were sustained through twelve months of follow-up and that freedom from VT-related and heart failure-related hospitalizations remained high through the duration of the follow-up.</w:t>
      </w:r>
    </w:p>
    <w:p>
      <w:pPr>
        <w:spacing w:after="0" w:line="19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On November 4, 2022, we received FDA approval to conduct the IDE Early Feasibility Study (“EFS”) of the vCLAS Cryoablation System, which we refer to as the FULCRUM-VT study, in 20 patients with both ischemic and non-ischemic cardiomyopathy at up to 5 sites. On July 13, 2023, the U.S. Center for Medicare and Medicare Services (“CMS”) provided notification that the vCLAS catheter and associated ablation services were approved for the purposes of Medicare coverage. In April 2024 we received FDA approval to convert the EFS study to a single-cohort Pivotal IDE study of our vCLAS Cryoablation System, expanding the number of sites to 20 and the number of U.S. patients to 206, which includes patients with ischemic and non-ischemic heart disease and patients with arrhythmogenic right ventricular cardiomyopathy. This is the first FDA-approved IDE studying VT ablation technology in patients with both ischemic and non-ischemic cardiomyopathy. Subsequently, on September 23, 2024, confirmed that the CMS approval granted for the EFS would remain in effect for the FULCRUM-VT pivotal study.</w:t>
      </w:r>
    </w:p>
    <w:p>
      <w:pPr>
        <w:spacing w:after="0" w:line="186" w:lineRule="exact"/>
        <w:rPr>
          <w:sz w:val="20"/>
          <w:szCs w:val="20"/>
          <w:color w:val="auto"/>
        </w:rPr>
      </w:pPr>
    </w:p>
    <w:p>
      <w:pPr>
        <w:jc w:val="both"/>
        <w:ind w:left="60" w:right="59" w:firstLine="324"/>
        <w:spacing w:after="0" w:line="245" w:lineRule="auto"/>
        <w:rPr>
          <w:sz w:val="20"/>
          <w:szCs w:val="20"/>
          <w:color w:val="auto"/>
        </w:rPr>
      </w:pPr>
      <w:r>
        <w:rPr>
          <w:rFonts w:ascii="Times New Roman" w:cs="Times New Roman" w:eastAsia="Times New Roman" w:hAnsi="Times New Roman"/>
          <w:sz w:val="18"/>
          <w:szCs w:val="18"/>
          <w:color w:val="auto"/>
        </w:rPr>
        <w:t>In April 2025, we announced that we received Breakthrough Device Designation from the FDA for our vCLAS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Cryoablation System for the treatment of drug-refractory, recurrent, sustained monomorphic VT in patients with ischemic or non-ischemic structural heart disease. On October 1, 2025, we announced the completion of enrollment of the FULCRUM-VT pivotal study. Subsequently on October 10, 2025, we announced preliminary acute safety and efficacy results from FULCRUM-VT. Acute clinical success, defined as non-inducibility of target ventricular arrhythmias, was 97.4%, with all clinically-relevant VTs eliminated in 96.7% of patients tested by post-ablation programmed electrical stimulation. Key safety findings included a 2.4% rate of major adverse events including four (1.9%) peri-procedural deaths, of which one (0.5%) was adjudicated by the independent Clinical Events Committee as definitely related to the investigational device. We plan to share the six-month primary efficacy endpoint results of the FULCRUM-VT trial in April 2026 at the Heart Rhythm 2026 Conference and to submit the results of this trial to support our application for FDA approval of our vCLAS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Cryoablation System in the first half of 2026.</w:t>
      </w:r>
    </w:p>
    <w:p>
      <w:pPr>
        <w:sectPr>
          <w:pgSz w:w="11900" w:h="16838" w:orient="portrait"/>
          <w:cols w:equalWidth="0" w:num="1">
            <w:col w:w="9019"/>
          </w:cols>
          <w:pgMar w:left="1440" w:top="513" w:right="1440" w:bottom="1440" w:gutter="0" w:footer="0" w:header="0"/>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Pulsed Field Cryoablation</w:t>
      </w:r>
    </w:p>
    <w:p>
      <w:pPr>
        <w:spacing w:after="0" w:line="229" w:lineRule="exact"/>
        <w:rPr>
          <w:sz w:val="20"/>
          <w:szCs w:val="20"/>
          <w:color w:val="auto"/>
        </w:rPr>
      </w:pPr>
    </w:p>
    <w:p>
      <w:pPr>
        <w:jc w:val="both"/>
        <w:ind w:left="60" w:right="59" w:hanging="10"/>
        <w:spacing w:after="0" w:line="254" w:lineRule="auto"/>
        <w:tabs>
          <w:tab w:leader="none" w:pos="3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PFCA technology is intended to combine the proprietary benefits of ULTA and PFA while minimizing their respective limitations. PFCA consists of the short duration ULTA freeze followed by PFA delivered through the same catheter. Our work has shown that ULTA results in a significant increase in the impedance and electric field generated by PFA within the frozen tissue while decreasing electric field and parasitic electric current elsewhere. This latter capability helps eliminate muscle and phrenic nerve capture while minimizing the microbubbles and possibility of vasospasm, thus potentially addressing a key limitation of stand-alone PFA. In effect, ULTA pre-treatment could have the effect to “focus” PFA, further increasing the selectivity of ablation and, since the area of the increased impedance extends deeper in the tissue, PFCA lesions of a desired depth could potentially be achieved.</w:t>
      </w:r>
    </w:p>
    <w:p>
      <w:pPr>
        <w:spacing w:after="0" w:line="191" w:lineRule="exact"/>
        <w:rPr>
          <w:rFonts w:ascii="Times New Roman" w:cs="Times New Roman" w:eastAsia="Times New Roman" w:hAnsi="Times New Roman"/>
          <w:sz w:val="18"/>
          <w:szCs w:val="18"/>
          <w:color w:val="auto"/>
        </w:rPr>
      </w:pPr>
    </w:p>
    <w:p>
      <w:pPr>
        <w:jc w:val="both"/>
        <w:ind w:left="60" w:right="59" w:hanging="10"/>
        <w:spacing w:after="0" w:line="256" w:lineRule="auto"/>
        <w:tabs>
          <w:tab w:leader="none" w:pos="38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principle of PFCA was demonstrated in PARALLEL study of atrial ablations in patients with persistent atrial fibrillation. In a cohort of the patients with cryogenic energy delivery above the threshold, PFCA was 100% effective in isolation of pulmonary veins and the posterior wall of the left atrium, with fewer than 1% of energy applications accompanied by observations of microbubbles or faint muscle contractions. The pre-clinical investigation of ventricular PFCA in the animal model demonstrated lesion depth is equivalent to the ULTA at half the total freeze duration with minimal attenuation by the scar tissue.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Current and Future Product Portfolio</w:t>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vCLAS</w:t>
      </w:r>
      <w:r>
        <w:rPr>
          <w:rFonts w:ascii="Times New Roman" w:cs="Times New Roman" w:eastAsia="Times New Roman" w:hAnsi="Times New Roman"/>
          <w:sz w:val="26"/>
          <w:szCs w:val="26"/>
          <w:i w:val="1"/>
          <w:iCs w:val="1"/>
          <w:color w:val="auto"/>
          <w:vertAlign w:val="superscript"/>
        </w:rPr>
        <w:t>TM</w:t>
      </w:r>
      <w:r>
        <w:rPr>
          <w:rFonts w:ascii="Times New Roman" w:cs="Times New Roman" w:eastAsia="Times New Roman" w:hAnsi="Times New Roman"/>
          <w:sz w:val="18"/>
          <w:szCs w:val="18"/>
          <w:i w:val="1"/>
          <w:iCs w:val="1"/>
          <w:color w:val="auto"/>
        </w:rPr>
        <w:t xml:space="preserve"> First Generation Ablation System</w:t>
      </w:r>
    </w:p>
    <w:p>
      <w:pPr>
        <w:spacing w:after="0" w:line="143" w:lineRule="exact"/>
        <w:rPr>
          <w:sz w:val="20"/>
          <w:szCs w:val="20"/>
          <w:color w:val="auto"/>
        </w:rPr>
      </w:pPr>
    </w:p>
    <w:p>
      <w:pPr>
        <w:jc w:val="both"/>
        <w:ind w:left="60" w:right="59" w:hanging="10"/>
        <w:spacing w:after="0" w:line="261" w:lineRule="auto"/>
        <w:tabs>
          <w:tab w:leader="none" w:pos="38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VT Cryoablation System is comprised of the vCLAS™ catheter and ULTA cryoablation console. The vCLAS ventricular catheter has been purposefully designed for the treatment of the ventricular arrhythmia. The 9 French bi-directionally deflectable catheter features a 15 millimeter long, non-flexible ablation element with eight electrodes for intracardiac sensing/pacing.</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vCLAS</w:t>
      </w:r>
      <w:r>
        <w:rPr>
          <w:rFonts w:ascii="Times New Roman" w:cs="Times New Roman" w:eastAsia="Times New Roman" w:hAnsi="Times New Roman"/>
          <w:sz w:val="26"/>
          <w:szCs w:val="26"/>
          <w:i w:val="1"/>
          <w:iCs w:val="1"/>
          <w:color w:val="auto"/>
          <w:vertAlign w:val="superscript"/>
        </w:rPr>
        <w:t>TM</w:t>
      </w:r>
      <w:r>
        <w:rPr>
          <w:rFonts w:ascii="Times New Roman" w:cs="Times New Roman" w:eastAsia="Times New Roman" w:hAnsi="Times New Roman"/>
          <w:sz w:val="18"/>
          <w:szCs w:val="18"/>
          <w:i w:val="1"/>
          <w:iCs w:val="1"/>
          <w:color w:val="auto"/>
        </w:rPr>
        <w:t xml:space="preserve"> ULTRA Second Generation Ablation System</w:t>
      </w:r>
    </w:p>
    <w:p>
      <w:pPr>
        <w:spacing w:after="0" w:line="135" w:lineRule="exact"/>
        <w:rPr>
          <w:sz w:val="20"/>
          <w:szCs w:val="20"/>
          <w:color w:val="auto"/>
        </w:rPr>
      </w:pPr>
    </w:p>
    <w:p>
      <w:pPr>
        <w:jc w:val="both"/>
        <w:ind w:left="60" w:right="59" w:hanging="10"/>
        <w:spacing w:after="0" w:line="237" w:lineRule="auto"/>
        <w:tabs>
          <w:tab w:leader="none" w:pos="3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also currently developing a next-generation ULTA technology, the vCLAS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ULTRA, for ventricular ablation, the design of which is faster, smaller and more flexible than its predecessor vCLAS device. This catheter, which requires only a single freeze, is being designed to improve customer usability and integration with the existing ablation laboratory workflow. The next-generation catheter features a more flexible, smaller diameter shaft that is compatible with the industry-standard size 8.5 French sheaths, and is designed to operate at lower ablation temperatures resulting in the shorter, single-freeze ablation protocol. We have completed the design phase with this device.</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ind w:left="60" w:right="59" w:hanging="10"/>
        <w:spacing w:after="0" w:line="256" w:lineRule="auto"/>
        <w:tabs>
          <w:tab w:leader="none" w:pos="38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 players in cardiac EP and advanced ablation catheter markets are Biosense Webster, Inc. (a division of Johnson &amp; Johnson), Abbott, Medtronic, and Boston Scientific. Today, VT ablations are predominantly performed using point-by-point RF ablation catheter technology. In the U.S. the RF catheters by Biosense Webster (Navistar™ Thermocool® Deflectable Diagnostic/Ablation Catheter) and Abbott Electrophysiology (FlexAbility™ Ablation Catheter, Sensor Enabled™), both originally designed for treatment of AF, have expanded indications for the ablation of sustained, drug-refractory monomorphic ventricular tachycardia.</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Saline​-enhanced RF needle catheter has been suggested to overcome lesion-depth limitations of the standard RF ablations. The needle can be inserted deeper into myocardial tissue and the injected saline creates a virtual electrode for RF application, resulting in large and deep (9.9 ± 2.7 millimeter) myocardial lesions in the preclinical models. Several small clinical studies on catheters of two principal designs have been conducted in patients with both structural heart disease VTs and PVCs, all demonstrating moderate effectiveness with 13-20% rates of serious complications.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rapid adoption of PFA technology for ablation of atrial arrhythmias has spurred interest in applying PFA to ventricular ablations. In addition to the need for irrigation to manage the heat from PFA and for the use of nitroglycerin to try to prevent vasospasm, where high-energy fields of PFA have been shown to trigger smooth muscle contraction, reducing blood flow, we believe the use of PFA in VT may require significant adjustment to achieve the lesion depth required for ventricular ablations. Such changes, which could include substantial increases in pulse voltage, could have related risks including harm to otherwise healthy tissue in the heart. To date, the clinical evidence for ventricular PFA is limited to a small number of cases associated with early feasibility studies and a small case series of off-label use of atrial PFA catheters, primarily in ischemic VTs. We are currently not aware of any IDE studies in the U.S. for the use of PFA in VT.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jc w:val="both"/>
        <w:ind w:left="60" w:right="59" w:hanging="10"/>
        <w:spacing w:after="0" w:line="252" w:lineRule="auto"/>
        <w:tabs>
          <w:tab w:leader="none" w:pos="3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policy is to seek to protect our proprietary position by, among other methods, pursuing and obtaining patent protection in the United States and in jurisdictions outside of the United States related to our technology, inventions, improvements and products that are important to the development and implementation of our business. Our patent portfolio consists of 85 issued patents and 25 patent applications in the United States, Japan, China, Australia, Republic of Korea, Brazil, Israel, United Kingdom, and countries of European Union, covering more than 20 patent families ranging from the disclosures of foundational ULTA technology to the details and components of catheter and accessory designs. More recently issued patents are directed to Tissue Contact Verification, VT- and multi-modality PFCA catheters. We believe that in combination with the trade secrets and other proprietary information related to the manufacturing processes of catheters and consoles, this patent portfolio creates significant entry barrier for competitive ULTA and PFCA entries near term, allowing us to remain a single-source provider of these differentiating technologies in Cardiac EP. However, trade secrets and proprietary information can be difficult to protect. We seek to protect our trade secrets and proprietary information, in part, by confidentiality agreements and proprietary invention assignment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 measures we take to protect and preserve our trade secrets and proprietary information, there may be instances in which they may not provide meaningful protection. Such measures can be breached, and we may not have adequate remedies for any such breach. In addition, our trade secrets may otherwise become known or be independently discovered by competitors or misused by any collaborator to whom we disclose such information. Despite any measures taken to protect our intellectual property, unauthorized parties may attempt to copy aspects of our products or to obtain or use information that we regard as proprietary. As a result, we may be unable to meaningfully protect our trade secrets and proprietary information.</w:t>
      </w:r>
    </w:p>
    <w:p>
      <w:pPr>
        <w:spacing w:after="0" w:line="18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trademark portfolio covers all of the main product families: iCLAS™ for ULTA AF ablation catheter and system, vCLAS™ for ULTA VT catheter, and Cryopulse™ for PFCA catheters. The trademarks have been registered or pending in Canada, United Kingdom, United States and European Union. We maintain our priority filings for trademarks in the United States through periodic extensions to ensure their availability at the time of products’ commercial availability in the United States.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 Food &amp; Drug Administration</w:t>
      </w:r>
    </w:p>
    <w:p>
      <w:pPr>
        <w:spacing w:after="0" w:line="229" w:lineRule="exact"/>
        <w:rPr>
          <w:sz w:val="20"/>
          <w:szCs w:val="20"/>
          <w:color w:val="auto"/>
        </w:rPr>
      </w:pPr>
    </w:p>
    <w:p>
      <w:pPr>
        <w:jc w:val="both"/>
        <w:ind w:left="60" w:right="59" w:hanging="10"/>
        <w:spacing w:after="0" w:line="255" w:lineRule="auto"/>
        <w:tabs>
          <w:tab w:leader="none" w:pos="3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operations are subject to extensive and ongoing regulation by the FDA under the Federal Food, Drug, and Cosmetic Act (“FDCA”), and its implementing regulations, as well as other federal and state regulatory bodies in the United States. The laws and regulations govern, among other things, product design and development, laboratory testing, preclinical and clinical testing, manufacturing and release, packaging, labeling, storage, record keeping and reporting, premarket clearance or approval, establishment registration and device listing, marketing, distribution, promotion, import and export, product complaints, recalls and field safety corrective actions, and post-marketing surveillance.</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Unless​ an exemption applies, each new or significantly modified medical device we seek to commercially distribute in the United States will require either a premarket notification to the FDA requesting permission for commercial distribution under Section 510(k) of the FDCA, also referred to as a 510(k) clearance, a de novo classification request, or approval from the FDA of a premarket approval (“PMA”) application. Generally, if a new device is considered low- or moderate-risk and has a predicate that is already on the market under a 510(k) clearance, the FDA will allow that new device to be marketed under a 510(k) clearance; otherwise, a de novo or PMA is required. The 510(k) clearance, de novo classification request and PMA processes can be resource intensive, expensive, and lengthy, and require payment of significant user fees, unless a fee waiver is granted.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Device Classification</w:t>
      </w:r>
    </w:p>
    <w:p>
      <w:pPr>
        <w:spacing w:after="0" w:line="229" w:lineRule="exact"/>
        <w:rPr>
          <w:sz w:val="20"/>
          <w:szCs w:val="20"/>
          <w:color w:val="auto"/>
        </w:rPr>
      </w:pPr>
    </w:p>
    <w:p>
      <w:pPr>
        <w:jc w:val="both"/>
        <w:ind w:left="60" w:right="59" w:hanging="10"/>
        <w:spacing w:after="0" w:line="266" w:lineRule="auto"/>
        <w:tabs>
          <w:tab w:leader="none" w:pos="38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FDCA, medical devices are classified into one of three classes-Class I, Class II, or Class III-depending on the degree of risk associated with each medical device and the extent of control needed to provide reasonable assurances with respect to safety and effectiveness.</w:t>
      </w:r>
    </w:p>
    <w:p>
      <w:pPr>
        <w:spacing w:after="0" w:line="175" w:lineRule="exact"/>
        <w:rPr>
          <w:rFonts w:ascii="Times New Roman" w:cs="Times New Roman" w:eastAsia="Times New Roman" w:hAnsi="Times New Roman"/>
          <w:sz w:val="18"/>
          <w:szCs w:val="18"/>
          <w:color w:val="auto"/>
        </w:rPr>
      </w:pPr>
    </w:p>
    <w:p>
      <w:pPr>
        <w:jc w:val="both"/>
        <w:ind w:left="60" w:right="59" w:hanging="10"/>
        <w:spacing w:after="0" w:line="255" w:lineRule="auto"/>
        <w:tabs>
          <w:tab w:leader="none" w:pos="38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includes devices deemed to be the lowest risk to the patient and are those for which safety and effectiveness can be reasonably assured by adherence to general controls that include compliance with the applicable portions of the FDA’s Quality System Regulation (“QSR”), facility registration and product listing, reporting of adverse events and malfunctions, and appropriate, truthful and non-misleading labeling, advertising and promotional materials. Some Class I devices, called Class I reserved devices, require premarket clearance by the FDA through the 510(k) premarket notification process described below. Most Class I products, however, are exempt from the premarket notification requirements and therefore may be commercially distributed without obtaining 510(k) clearance from the FDA.</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Class​ II devices are those that are subject to the general controls, and special controls as deemed necessary by the FDA to provide reasonable assurance of the safety and effectiveness of the device. These special controls can include performance standards, patient registries, FDA guidance documents and post-market surveillance. Most Class II devices are subject to premarket review and clearance by the FDA. As a result, most Class II devices require the manufacturer to submit to the FDA a Premarket Notification 510(k) requesting permission to commercially distribute the devices meeting the threshold for substantial equivalence.</w:t>
      </w:r>
    </w:p>
    <w:p>
      <w:pPr>
        <w:spacing w:after="0" w:line="187" w:lineRule="exact"/>
        <w:rPr>
          <w:sz w:val="20"/>
          <w:szCs w:val="20"/>
          <w:color w:val="auto"/>
        </w:rPr>
      </w:pPr>
    </w:p>
    <w:p>
      <w:pPr>
        <w:jc w:val="both"/>
        <w:ind w:left="60" w:right="59" w:hanging="10"/>
        <w:spacing w:after="0" w:line="258" w:lineRule="auto"/>
        <w:tabs>
          <w:tab w:leader="none" w:pos="3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devices include devices deemed by the FDA to pose the greatest risk such as life-supporting or life-sustaining devices, or implantable devices, in addition to those deemed novel and not substantially equivalent following the 510(k) process. The safety and effectiveness of Class III devices cannot be reasonably assured solely by the general controls and special controls described above. Therefore, these devices are subject to the PMA application process, which is generally more costly and time consuming than the 510(k) process.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Investigational Device Process</w:t>
      </w:r>
    </w:p>
    <w:p>
      <w:pPr>
        <w:spacing w:after="0" w:line="229" w:lineRule="exact"/>
        <w:rPr>
          <w:sz w:val="20"/>
          <w:szCs w:val="20"/>
          <w:color w:val="auto"/>
        </w:rPr>
      </w:pPr>
    </w:p>
    <w:p>
      <w:pPr>
        <w:jc w:val="both"/>
        <w:ind w:left="60" w:right="59" w:hanging="10"/>
        <w:spacing w:after="0" w:line="251" w:lineRule="auto"/>
        <w:tabs>
          <w:tab w:leader="none" w:pos="38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States, absent certain limited exceptions, human clinical trials intended to support medical device clearance, de novo classification, or approval require compliance with FDA investigational device exemption (“IDE”) regulations in 21 CFR Part 812. Trials that present “non-significant risk” do not require FDA review or approval of an IDE application. These non-significant risk trials are deemed to have an approved IDE once certain requirements are addressed, and institutional review board (IRB) approval is obtained. If a device presents a “significant risk” to human health, as defined by the FDA, the sponsor must submit an IDE application to the FDA and obtain IDE approval prior to commencing the human clinical trials. The IDE application must be supported by appropriate data, such as animal and laboratory testing results, showing that the risks to subjects are outweighed by the anticipated benefits and that the testing protocol is scientifically sound. The IDE application must be approved in advance by the FDA for a specified number of subjects at specified study sites. Generally, clinical trials for a significant risk device may begin once the IDE application is approved by the FDA and the trial protocol and informed consent are approved by appropriate IRBs. An IRB is an appropriately constituted group that has been formally designated to review and monitor medical research involving subjects and which has the authority to approve, require modifications in, or disapprove research to protect the rights, safety and welfare of human research subjects. There can be no assurance that submission of an IDE application will result in the ability to commence clinical trials, and although the FDA’s approval of an IDE application allows clinical testing to go forward for a specified number of subjects, it does not bind the FDA to accept the results of the trial as sufficient to prove the product’s safety and effectiveness, even if the trial meets its intended success criteria. All clinical trials must be conducted in accordance with the FDA’s IDE regulations that govern investigational device labeling, prohibit promotion and specify an array of recordkeeping, reporting and monitoring responsibilities of trial sponsors and trial investigators. Clinical trials must further comply with the FDA’s good clinical practice regulations for IRB approval and for informed consent and other human subject protections. Required records and reports are subject to inspection by the FDA. The FDA or the IRB may withdraw approval of a clinical trial, or place a trial on clinical hold at any time for various reasons, including a belief that the risks to study subjects outweigh the benefits or a failure to comply with FDA or IRB requirements. Even if a trial is complete, the results of clinical testing may be unfavorable, or, even if the intended safety and effectiveness success criteria are achieved, may not be considered sufficient for the FDA to grant marketing approval or clearance of a product.</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PMA Approval Process</w:t>
      </w:r>
    </w:p>
    <w:p>
      <w:pPr>
        <w:spacing w:after="0" w:line="229" w:lineRule="exact"/>
        <w:rPr>
          <w:sz w:val="20"/>
          <w:szCs w:val="20"/>
          <w:color w:val="auto"/>
        </w:rPr>
      </w:pPr>
    </w:p>
    <w:p>
      <w:pPr>
        <w:jc w:val="both"/>
        <w:ind w:left="60" w:right="59" w:hanging="10"/>
        <w:spacing w:after="0" w:line="255" w:lineRule="auto"/>
        <w:tabs>
          <w:tab w:leader="none" w:pos="3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PMA application process, the applicant must submit data and information demonstrating reasonable assurance of the safety and effectiveness of the device for its intended use to the FDA’s satisfaction. Accordingly, a PMA application typically includes, but is not limited to, extensive technical information regarding device design and development, data from preclinical studies and one or more clinical trials, a full description of the methods, facilities and controls used for manufacturing, proposed labeling and financial disclosure information for the clinical investigators in device trials. The PMA application must provide valid scientific evidence that demonstrates to the FDA’s satisfaction a reasonable assurance of the safety and effectiveness of the device for its intended use.</w:t>
      </w:r>
    </w:p>
    <w:p>
      <w:pPr>
        <w:spacing w:after="0" w:line="188" w:lineRule="exact"/>
        <w:rPr>
          <w:rFonts w:ascii="Times New Roman" w:cs="Times New Roman" w:eastAsia="Times New Roman" w:hAnsi="Times New Roman"/>
          <w:sz w:val="18"/>
          <w:szCs w:val="18"/>
          <w:color w:val="auto"/>
        </w:rPr>
      </w:pPr>
    </w:p>
    <w:p>
      <w:pPr>
        <w:jc w:val="both"/>
        <w:ind w:left="60" w:right="59" w:hanging="10"/>
        <w:spacing w:after="0" w:line="253" w:lineRule="auto"/>
        <w:tabs>
          <w:tab w:leader="none" w:pos="3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receipt of a PMA application, the FDA conducts an administrative review to determine whether the application is sufficiently complete to permit a substantive review. If it is not, the agency will refuse to file the PMA. If it is, the FDA will accept the application for filing and begin the review. The FDA, by statute and by regulation, has 180 days to review a filed PMA application, although the review of an application more often occurs over a significantly longer period. During this review period, the FDA may request additional information or clarification of information already provided, and the FDA may issue a major deficiency letter to the applicant, requesting the applicant’s response to deficiencies communicated by the FDA. The FDA considers a PMA or PMA supplement to have been voluntarily withdrawn if an applicant fails to respond to an FDA request for information (e.g., major deficiency letter) within a total of 360 days. Before approving or denying a PMA, an FDA advisory committee may review the PMA at a public meeting and provide the FDA with the committee’s recommendation on whether the FDA should approve the submission, approve it with specific conditions, or not approve it. The FDA is not bound by the recommendations of an advisory committee, but it considers such recommendations carefully when making decisions.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hanging="10"/>
        <w:spacing w:after="0" w:line="261" w:lineRule="auto"/>
        <w:tabs>
          <w:tab w:leader="none" w:pos="3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approval of a PMA, the FDA may conduct inspections of the clinical trial data and clinical trial sites, as well as inspections of the manufacturing facility and processes. Overall, the FDA review of a PMA application generally takes between one and three years but may take significantly longer. The FDA can delay, limit or deny approval of a PMA application for many reasons, including:</w:t>
      </w:r>
    </w:p>
    <w:p>
      <w:pPr>
        <w:spacing w:after="0" w:line="17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device may not be shown safe or effective to the FDA’s satisfaction;</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preclinical studies and/or clinical trials may be found unreliable or insufficient to support approval;</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may not meet applicable requirements;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contains a false statement of material fact;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or clinical studies were not conducted in accordance with applicable regulations;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device labeling is false or misleading;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FDA approval policies or adoption of new regulations may require additional data.</w:t>
      </w:r>
    </w:p>
    <w:p>
      <w:pPr>
        <w:spacing w:after="0" w:line="206" w:lineRule="exact"/>
        <w:rPr>
          <w:rFonts w:ascii="Times New Roman" w:cs="Times New Roman" w:eastAsia="Times New Roman" w:hAnsi="Times New Roman"/>
          <w:sz w:val="18"/>
          <w:szCs w:val="18"/>
          <w:color w:val="auto"/>
        </w:rPr>
      </w:pPr>
    </w:p>
    <w:p>
      <w:pPr>
        <w:jc w:val="both"/>
        <w:ind w:left="60" w:right="59" w:hanging="10"/>
        <w:spacing w:after="0" w:line="253" w:lineRule="auto"/>
        <w:tabs>
          <w:tab w:leader="none" w:pos="3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 the device, subject to the conditions of approval and the limitations established in the approval letter. If the FDA’s evaluation of a PMA application or manufacturing facilities is not favorable, the FDA may deny approval of the PMA or issue a not approvable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the data are available. The PMA process can be expensive, uncertain and lengthy and a number of devices for which the FDA approval has been sought by other companies have never been approved by the FDA for marketing.</w:t>
      </w:r>
    </w:p>
    <w:p>
      <w:pPr>
        <w:spacing w:after="0" w:line="194"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New​ PMA applications or PMA supplements are required for modification to the manufacturing process, equipment or facility, quality control procedures, sterilization, packaging, expiration date, labeling, device specifications, ingredients, materials or design of a device that has been approved through the PMA process. PMA supplements often require submission of the same type of information as an initial PMA application, except that the supplement is limited to information needed to support any changes from the device covered by the approved PMA application and may or may not require as extensive technical or clinical data or the convening of an advisory committee panel, depending on the nature of the proposed change.</w:t>
      </w:r>
    </w:p>
    <w:p>
      <w:pPr>
        <w:spacing w:after="0" w:line="189" w:lineRule="exact"/>
        <w:rPr>
          <w:sz w:val="20"/>
          <w:szCs w:val="20"/>
          <w:color w:val="auto"/>
        </w:rPr>
      </w:pPr>
    </w:p>
    <w:p>
      <w:pPr>
        <w:jc w:val="both"/>
        <w:ind w:left="60" w:right="59" w:hanging="10"/>
        <w:spacing w:after="0" w:line="256" w:lineRule="auto"/>
        <w:tabs>
          <w:tab w:leader="none" w:pos="38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approving a PMA application, as a condition of approval, the FDA may also require some form of post-approval study or post-market surveillance, whereby the applicant conducts a follow-up clinical study or follows certain patient groups for a number of years and makes periodic reports to the FDA on the clinical status of those patients when necessary to protect the public health or to provide additional or longer term safety and effectiveness data for the device. The FDA may also approve a PMA application with other post-approval conditions intended to ensure the safety and effectiveness of the device, such as, among other things, restrictions on labeling, promotion, sale, distribution and use.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Pervasive and Continuing Regulation</w:t>
      </w:r>
    </w:p>
    <w:p>
      <w:pPr>
        <w:spacing w:after="0" w:line="229" w:lineRule="exact"/>
        <w:rPr>
          <w:sz w:val="20"/>
          <w:szCs w:val="20"/>
          <w:color w:val="auto"/>
        </w:rPr>
      </w:pPr>
    </w:p>
    <w:p>
      <w:pPr>
        <w:ind w:left="380" w:hanging="330"/>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 device is placed on the market in the U.S., numerous regulatory requirements continue to apply. These include: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and updating establishment registration and device listings with the FDA;</w:t>
      </w:r>
    </w:p>
    <w:p>
      <w:pPr>
        <w:spacing w:after="0" w:line="27"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QSR, which requires manufacturers, including their suppliers, to follow stringent design, testing, control, documentation, record maintenance, including maintenance of complaint and related investigation files, and other quality assurance procedures during all aspects of the manufacturing process;</w:t>
      </w:r>
    </w:p>
    <w:p>
      <w:pPr>
        <w:ind w:left="720" w:right="79" w:hanging="319"/>
        <w:spacing w:after="0" w:line="258" w:lineRule="auto"/>
        <w:tabs>
          <w:tab w:leader="none" w:pos="7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routine​ or unannounced for-cause device facility inspections by the FDA, which may include the manufacturing facilities of subcontractors;</w:t>
      </w:r>
    </w:p>
    <w:p>
      <w:pPr>
        <w:ind w:left="720" w:right="79" w:hanging="319"/>
        <w:spacing w:after="0" w:line="258" w:lineRule="auto"/>
        <w:tabs>
          <w:tab w:leader="none" w:pos="7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which prohibit the promotion of products for uncleared, unapproved or off-label uses and impose other restrictions relating to promotional activities;</w:t>
      </w:r>
    </w:p>
    <w:p>
      <w:pPr>
        <w:jc w:val="both"/>
        <w:ind w:left="720" w:right="79" w:hanging="319"/>
        <w:spacing w:after="0" w:line="260" w:lineRule="auto"/>
        <w:tabs>
          <w:tab w:leader="none" w:pos="7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or MDR, regulations, which require that manufacturers report to the FDA if their device may have caused or contributed to a death or serious injury or malfunctioned in a way that would likely cause or contribute to a death or serious injury if the malfunction were to recur;</w:t>
      </w:r>
    </w:p>
    <w:p>
      <w:pPr>
        <w:spacing w:after="0" w:line="2" w:lineRule="exact"/>
        <w:rPr>
          <w:rFonts w:ascii="Times New Roman" w:cs="Times New Roman" w:eastAsia="Times New Roman" w:hAnsi="Times New Roman"/>
          <w:sz w:val="18"/>
          <w:szCs w:val="18"/>
          <w:color w:val="auto"/>
        </w:rPr>
      </w:pPr>
    </w:p>
    <w:p>
      <w:pPr>
        <w:jc w:val="both"/>
        <w:ind w:left="720" w:right="79" w:hanging="319"/>
        <w:spacing w:after="0" w:line="260" w:lineRule="auto"/>
        <w:tabs>
          <w:tab w:leader="none" w:pos="7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recalls, which require that manufacturers report to the FDA field corrections or removals of a medical device, provided the recall was initiated to either reduce a risk to health posed by the device, or to remedy a violation of the FDCA caused by the device that may present a risk to health; and</w:t>
      </w:r>
    </w:p>
    <w:p>
      <w:pPr>
        <w:spacing w:after="0" w:line="2" w:lineRule="exact"/>
        <w:rPr>
          <w:rFonts w:ascii="Times New Roman" w:cs="Times New Roman" w:eastAsia="Times New Roman" w:hAnsi="Times New Roman"/>
          <w:sz w:val="18"/>
          <w:szCs w:val="18"/>
          <w:color w:val="auto"/>
        </w:rPr>
      </w:pPr>
    </w:p>
    <w:p>
      <w:pPr>
        <w:ind w:left="720" w:right="79" w:hanging="319"/>
        <w:spacing w:after="0" w:line="276" w:lineRule="auto"/>
        <w:tabs>
          <w:tab w:leader="none" w:pos="7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regulations, which apply to certain Class II or III devices when necessary to protect the public health or to provide additional safety and effectiveness data for the device.</w:t>
      </w:r>
    </w:p>
    <w:p>
      <w:pPr>
        <w:spacing w:after="0" w:line="181" w:lineRule="exact"/>
        <w:rPr>
          <w:sz w:val="20"/>
          <w:szCs w:val="20"/>
          <w:color w:val="auto"/>
        </w:rPr>
      </w:pPr>
    </w:p>
    <w:p>
      <w:pPr>
        <w:jc w:val="both"/>
        <w:ind w:left="60" w:right="59" w:hanging="10"/>
        <w:spacing w:after="0" w:line="261" w:lineRule="auto"/>
        <w:tabs>
          <w:tab w:leader="none" w:pos="3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obtained a manufacturing license from the California Department of Public Health (“CDPH”). The FDA and CDPH have broad post-market and regulatory enforcement powers. We are (or upon FDA clearance or approval, will be) subject to announced and unannounced inspections by the FDA and the Food and Drug Branch of CDPH to determine our compliance with the QSR and other regulations, and these inspections may include the manufacturing facilities of our suppliers. Additionally, our Notified Body, TÜV SÜD (as defined herein), regularly inspects our manufacturing, design and operational facilities to ensure ongoing ISO 13485:2016 compliance in order to maintain our CE Mark.</w:t>
      </w:r>
    </w:p>
    <w:p>
      <w:pPr>
        <w:spacing w:after="0" w:line="4"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60" w:right="59" w:firstLine="324"/>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applicable regulatory requirements can result in enforcement actions, which may include any of the following sanctions:</w:t>
      </w:r>
    </w:p>
    <w:p>
      <w:pPr>
        <w:spacing w:after="0" w:line="16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fines, injunctions, consent decrees and civil penalties;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replacement, refunds, recall or seizure of our products;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partial suspension or total shutdown of production;</w:t>
      </w:r>
    </w:p>
    <w:p>
      <w:pPr>
        <w:spacing w:after="0" w:line="22" w:lineRule="exact"/>
        <w:rPr>
          <w:rFonts w:ascii="Times New Roman" w:cs="Times New Roman" w:eastAsia="Times New Roman" w:hAnsi="Times New Roman"/>
          <w:sz w:val="18"/>
          <w:szCs w:val="18"/>
          <w:color w:val="auto"/>
        </w:rPr>
      </w:pPr>
    </w:p>
    <w:p>
      <w:pPr>
        <w:ind w:left="720" w:right="79" w:hanging="319"/>
        <w:spacing w:after="0" w:line="258" w:lineRule="auto"/>
        <w:tabs>
          <w:tab w:leader="none" w:pos="7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our requests for 510(k) clearance or premarket approval of new products, new intended uses or modifications to existing products;</w:t>
      </w:r>
    </w:p>
    <w:p>
      <w:pPr>
        <w:ind w:left="720" w:hanging="319"/>
        <w:spacing w:after="0"/>
        <w:tabs>
          <w:tab w:leader="none" w:pos="7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 or premarket approvals that may have already been granted; and</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Export of Our Products</w:t>
      </w:r>
    </w:p>
    <w:p>
      <w:pPr>
        <w:spacing w:after="0" w:line="229" w:lineRule="exact"/>
        <w:rPr>
          <w:sz w:val="20"/>
          <w:szCs w:val="20"/>
          <w:color w:val="auto"/>
        </w:rPr>
      </w:pPr>
    </w:p>
    <w:p>
      <w:pPr>
        <w:jc w:val="both"/>
        <w:ind w:left="60" w:right="59" w:hanging="10"/>
        <w:spacing w:after="0" w:line="254" w:lineRule="auto"/>
        <w:tabs>
          <w:tab w:leader="none" w:pos="3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of products subject to the 510(k) notification requirements, but not yet cleared to market in the United States, is permitted with FDA authorization provided certain requirements are met. Similarly, unapproved or uncleared products subject to the PMA requirements may be exported certain statutory criteria are met and we submit a “Simple Notification” to FDA when it begins to export. Importantly, however, export of such products may be limited to certain countries designated by statutory provisions, and petitions may need to be submitted to FDA to enable export to countries other than those designated in the statutory provisions. The petitioning process can be difficult, and FDA may not authorize unapproved or uncleared products to be exported to countries to which a manufacturer wishes to export. Devices that are adulterated, devices whose label and labeling does not comply with requirements of the country receiving the product, and devices that are not promoted in accordance with the law of the receiving country, among others, cannot be exported.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Government Regulation</w:t>
      </w:r>
    </w:p>
    <w:p>
      <w:pPr>
        <w:spacing w:after="0" w:line="229" w:lineRule="exact"/>
        <w:rPr>
          <w:sz w:val="20"/>
          <w:szCs w:val="20"/>
          <w:color w:val="auto"/>
        </w:rPr>
      </w:pPr>
    </w:p>
    <w:p>
      <w:pPr>
        <w:jc w:val="both"/>
        <w:ind w:left="60" w:right="59" w:hanging="10"/>
        <w:spacing w:after="0" w:line="258" w:lineRule="auto"/>
        <w:tabs>
          <w:tab w:leader="none" w:pos="3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review process for medical devices varies from country to country, and many countries also impose product standards, packaging requirements, environmental requirements, labeling requirements and import restrictions on devices. Each country has its own tariff regulations, duties, and tax requirements. Failure to comply with applicable foreign regulatory requirements may subject a company to fines, suspension or withdrawal of regulatory approvals, product recalls, seizure of products, operating restrictions, criminal prosecution or other consequences.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 Federal, State and Foreign Fraud and Abuse Laws</w:t>
      </w:r>
    </w:p>
    <w:p>
      <w:pPr>
        <w:spacing w:after="0" w:line="229" w:lineRule="exact"/>
        <w:rPr>
          <w:sz w:val="20"/>
          <w:szCs w:val="20"/>
          <w:color w:val="auto"/>
        </w:rPr>
      </w:pPr>
    </w:p>
    <w:p>
      <w:pPr>
        <w:jc w:val="both"/>
        <w:ind w:left="60" w:right="59" w:hanging="10"/>
        <w:spacing w:after="0" w:line="256" w:lineRule="auto"/>
        <w:tabs>
          <w:tab w:leader="none" w:pos="38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and state governments have enacted, and actively enforce, a number of laws to address fraud and abuse in federal healthcare programs. Our business is subject to compliance with these laws. Violations of such laws could result in significant civil, criminal and administrative sanctions, damages, disgorgement, monetary fines, possible exclusion from participation in Medicare, Medicaid and other federal healthcare programs, imprisonment, integrity oversight and reporting obligations, contractual damages, reputational harm, diminished profits and future earnings, and curtailment or restructuring of our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Anti-Kickback Statutes</w:t>
      </w:r>
    </w:p>
    <w:p>
      <w:pPr>
        <w:spacing w:after="0" w:line="229" w:lineRule="exact"/>
        <w:rPr>
          <w:sz w:val="20"/>
          <w:szCs w:val="20"/>
          <w:color w:val="auto"/>
        </w:rPr>
      </w:pPr>
    </w:p>
    <w:p>
      <w:pPr>
        <w:ind w:left="60" w:right="199" w:hanging="10"/>
        <w:spacing w:after="0" w:line="277" w:lineRule="auto"/>
        <w:tabs>
          <w:tab w:leader="none" w:pos="384" w:val="left"/>
        </w:tabs>
        <w:numPr>
          <w:ilvl w:val="0"/>
          <w:numId w:val="3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The federal Anti-Kickback Statute prohibits, among other things, persons from knowingly and willfully soliciting, offering, receiving or providing remuneration, directly or indirectly, in cash or in kind, in exchange for or to induce either the referral of an individual for, or the furnishing, recommending, purchasing, leasing, ordering or arranging for a good or service, for which payment may be made under a federal healthcare program, such as Medicare or Medicaid. A person or entity does not need to have actual knowledge of the statute or specific intent to violate it to have committed a violation.</w:t>
      </w:r>
    </w:p>
    <w:p>
      <w:pPr>
        <w:spacing w:after="0" w:line="167" w:lineRule="exact"/>
        <w:rPr>
          <w:rFonts w:ascii="Times New Roman" w:cs="Times New Roman" w:eastAsia="Times New Roman" w:hAnsi="Times New Roman"/>
          <w:sz w:val="17"/>
          <w:szCs w:val="17"/>
          <w:b w:val="1"/>
          <w:bCs w:val="1"/>
          <w:i w:val="1"/>
          <w:iCs w:val="1"/>
          <w:color w:val="auto"/>
        </w:rPr>
      </w:pPr>
    </w:p>
    <w:p>
      <w:pPr>
        <w:jc w:val="both"/>
        <w:ind w:left="60" w:right="59" w:hanging="10"/>
        <w:spacing w:after="0" w:line="253" w:lineRule="auto"/>
        <w:tabs>
          <w:tab w:leader="none" w:pos="3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“remuneration” has been broadly interpreted to include anything of value, including, for example, gifts, certain discounts, the furnishing of free supplies, equipment or services, credit arrangements, payment of cash, waivers of payments and providing anything of value at less than fair market value. Several courts have interpreted the statute’s intent requirement to mean that if any one purpose of an arrangement involving remuneration is to induce referrals of federal healthcare covered businesses, the statute has been violated. In addition, the Patient Protection and Affordable Care Act (the “ACA”), as amended by the Health Care and Education Reconciliation Act of 2010, or collectively, the Affordable Care Act, codified case law that a claim including items or services resulting from a violation of the federal Anti-Kickback Statute constitutes a false or fraudulent claim for purposes of the Federal False Claims Act. There are a number of statutory exceptions and regulatory safe harbors protecting some common activities from prosecution, but the exceptions and safe harbors are drawn narrowly and require strict compliance in order to offer protection.</w:t>
      </w:r>
    </w:p>
    <w:p>
      <w:pPr>
        <w:spacing w:after="0" w:line="194" w:lineRule="exact"/>
        <w:rPr>
          <w:rFonts w:ascii="Times New Roman" w:cs="Times New Roman" w:eastAsia="Times New Roman" w:hAnsi="Times New Roman"/>
          <w:sz w:val="18"/>
          <w:szCs w:val="18"/>
          <w:color w:val="auto"/>
        </w:rPr>
      </w:pPr>
    </w:p>
    <w:p>
      <w:pPr>
        <w:jc w:val="both"/>
        <w:ind w:left="60" w:right="59" w:hanging="10"/>
        <w:spacing w:after="0" w:line="256" w:lineRule="auto"/>
        <w:tabs>
          <w:tab w:leader="none" w:pos="3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 transaction or arrangement to fit precisely within one or more safe harbors does not necessarily mean that it is illegal or that prosecution will be pursued. The legality of the arrangement will be evaluated on a case-by-case basis based on a cumulative review of all of its facts and circumstances. However, conduct and business arrangements that do not fully satisfy an applicable statutory exception or regulatory safe harbor may result in increased scrutiny by government enforcement authorities such as the Office of Inspector General, or OIG, of U.S. Department of Health and Human Services.</w:t>
      </w:r>
    </w:p>
    <w:p>
      <w:pPr>
        <w:spacing w:after="0" w:line="187"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3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states have adopted laws similar to the Anti-Kickback Statute. Some of these state prohibitions apply to referral of recipients for healthcare products or services reimbursed by any source, not only government healthcare programs, and may apply to payments made directly by the patient.</w:t>
      </w:r>
    </w:p>
    <w:p>
      <w:pPr>
        <w:spacing w:after="0" w:line="175" w:lineRule="exact"/>
        <w:rPr>
          <w:rFonts w:ascii="Times New Roman" w:cs="Times New Roman" w:eastAsia="Times New Roman" w:hAnsi="Times New Roman"/>
          <w:sz w:val="18"/>
          <w:szCs w:val="18"/>
          <w:color w:val="auto"/>
        </w:rPr>
      </w:pPr>
    </w:p>
    <w:p>
      <w:pPr>
        <w:jc w:val="both"/>
        <w:ind w:left="60" w:right="59" w:hanging="10"/>
        <w:spacing w:after="0" w:line="261" w:lineRule="auto"/>
        <w:tabs>
          <w:tab w:leader="none" w:pos="38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officials have continued their enforcement efforts related to the marketing of healthcare services and products, among other activities, and continue to bring cases against companies, and certain individual sales, marketing and executive personnel, for allegedly offering unlawful inducements to potential or existing customers in an attempt to procure their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Federal False Claims Act</w:t>
      </w:r>
    </w:p>
    <w:p>
      <w:pPr>
        <w:spacing w:after="0" w:line="229" w:lineRule="exact"/>
        <w:rPr>
          <w:sz w:val="20"/>
          <w:szCs w:val="20"/>
          <w:color w:val="auto"/>
        </w:rPr>
      </w:pPr>
    </w:p>
    <w:p>
      <w:pPr>
        <w:jc w:val="both"/>
        <w:ind w:left="60" w:right="59" w:hanging="10"/>
        <w:spacing w:after="0" w:line="256" w:lineRule="auto"/>
        <w:tabs>
          <w:tab w:leader="none" w:pos="38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(“FCA”) imposes liability on any person or entity that, among other things, knowingly presents, or causes to be presented, a false or fraudulent claim for payment by a federal healthcare program. The qui tam provisions of the FCA allow a private individual to bring actions on behalf of the federal government alleging that the defendant has violated the FCA and to share in any monetary recovery. In addition, various states have enacted false claims laws analogous to the FCA, and many of these state laws apply where a claim is submitted to any third-party payor and not only a federal healthcare program or other state program.</w:t>
      </w:r>
    </w:p>
    <w:p>
      <w:pPr>
        <w:spacing w:after="0" w:line="187" w:lineRule="exact"/>
        <w:rPr>
          <w:rFonts w:ascii="Times New Roman" w:cs="Times New Roman" w:eastAsia="Times New Roman" w:hAnsi="Times New Roman"/>
          <w:sz w:val="18"/>
          <w:szCs w:val="18"/>
          <w:color w:val="auto"/>
        </w:rPr>
      </w:pPr>
    </w:p>
    <w:p>
      <w:pPr>
        <w:jc w:val="both"/>
        <w:ind w:left="60" w:right="59" w:hanging="10"/>
        <w:spacing w:after="0" w:line="253" w:lineRule="auto"/>
        <w:tabs>
          <w:tab w:leader="none" w:pos="38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 entity is determined to have violated the FCA, it may be required to pay up to three times the actual damages sustained by the government, plus significant civil fines and penalties. As part of any settlement, the government may require the entity to enter into a corporate integrity agreement, which imposes certain compliance, certification and reporting obligations. There are many potential bases for liability under the FCA. Liability arises, primarily, when an entity knowingly submits, or causes another to submit, a false claim for reimbursement to the federal government. For example, the federal government has used the FCA to assert liability on the basis of kickbacks, or in instances in which manufacturers have provided billing or coding advice to providers that the government considered to be inaccurate. In these cases, the manufacturer faces liability for “causing” a false claim. In addition, the federal government has prosecuted companies under the FCA in connection with off-label promotion of products. Our future activities relating to information affecting federal, state and third-party reimbursement of our products and the sale and marketing of our products may be subject to scrutiny under these laws.</w:t>
      </w:r>
    </w:p>
    <w:p>
      <w:pPr>
        <w:spacing w:after="0" w:line="191"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38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are unaware of any current matters, we are unable to predict whether it will be subject to actions under the FCA or a similar state law, or the impact of such actions. However, the costs of defending such claims, as well as any sanctions imposed, could significantly affect our financial performance.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Civil Monetary Penalties</w:t>
      </w:r>
    </w:p>
    <w:p>
      <w:pPr>
        <w:spacing w:after="0" w:line="229" w:lineRule="exact"/>
        <w:rPr>
          <w:sz w:val="20"/>
          <w:szCs w:val="20"/>
          <w:color w:val="auto"/>
        </w:rPr>
      </w:pPr>
    </w:p>
    <w:p>
      <w:pPr>
        <w:jc w:val="both"/>
        <w:ind w:left="60" w:right="79" w:hanging="10"/>
        <w:spacing w:after="0" w:line="258" w:lineRule="auto"/>
        <w:tabs>
          <w:tab w:leader="none" w:pos="3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Penalty laws imposes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Open Payments</w:t>
      </w:r>
    </w:p>
    <w:p>
      <w:pPr>
        <w:spacing w:after="0" w:line="229" w:lineRule="exact"/>
        <w:rPr>
          <w:sz w:val="20"/>
          <w:szCs w:val="20"/>
          <w:color w:val="auto"/>
        </w:rPr>
      </w:pPr>
    </w:p>
    <w:p>
      <w:pPr>
        <w:jc w:val="both"/>
        <w:ind w:left="60" w:right="59" w:hanging="10"/>
        <w:spacing w:after="0" w:line="253" w:lineRule="auto"/>
        <w:tabs>
          <w:tab w:leader="none" w:pos="3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known as “Open Payments” and enacted as part of the Affordable Care Act, requires certain pharmaceutical and medical device manufacturers of products covered by Medicare, Medicaid or the Children’s Health Insurance Program to report annually to the CMS: direct and indirect payments and other transfers of value to physicians (defined to include doctors, dentists, optometrists, podiatrists, and chiropractors), other healthcare professionals (such as physician assistants and nurse practitioners), and teaching hospitals, and applicable manufacturers and group purchasing organizations. Applicable manufacturers must also report annually ownership and investment interests held by physicians and their immediate family members. Applicable manufacturers are required to submit annual reports to the CMS. Failure to submit required information in a timely, complete and accurate manner may result in significant civil monetary penalties. We are subject to Open Payments and the information it discloses may lead to greater scrutiny, which may result in modifications to established practices and additional costs. Additionally, similar reporting requirements have also been enacted on the state level domestically, and an increasing number of countries worldwide either have adopted or are considering similar laws requiring transparency of interactions with healthcare professionals.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Corrupt Practices Act</w:t>
      </w:r>
    </w:p>
    <w:p>
      <w:pPr>
        <w:spacing w:after="0" w:line="229" w:lineRule="exact"/>
        <w:rPr>
          <w:sz w:val="20"/>
          <w:szCs w:val="20"/>
          <w:color w:val="auto"/>
        </w:rPr>
      </w:pPr>
    </w:p>
    <w:p>
      <w:pPr>
        <w:jc w:val="both"/>
        <w:ind w:left="60" w:right="59" w:hanging="10"/>
        <w:spacing w:after="0" w:line="254" w:lineRule="auto"/>
        <w:tabs>
          <w:tab w:leader="none" w:pos="38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(“FCPA”) prohibits any U.S. individual; U.S. companies and officers, directors, and employees; foreign subsidiaries of U.S. entities; and agents or intermediaries operating on behalf of a U.S. company from paying, offering, promising to pay, or authorizing payment or offering of anything of value, directly or indirectly, to any foreign government official, government staff member, political party or candidate for the purpose of improperly influencing any act or decision of a foreign government entity to obtain, retain, or direct business. The FCPA also obligates companies whose securities are listed on a national securities exchange in the United States to comply with accounting provisions which require the maintenance of books, records, and accounts that accurately and fairly reflect all transactions and dispositions of assets of the corporation, including international subsidiaries, if any, and to devise and maintain an adequate system of internal accounting controls.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Laws</w:t>
      </w:r>
    </w:p>
    <w:p>
      <w:pPr>
        <w:spacing w:after="0" w:line="229" w:lineRule="exact"/>
        <w:rPr>
          <w:sz w:val="20"/>
          <w:szCs w:val="20"/>
          <w:color w:val="auto"/>
        </w:rPr>
      </w:pPr>
    </w:p>
    <w:p>
      <w:pPr>
        <w:ind w:left="60" w:right="59" w:hanging="10"/>
        <w:spacing w:after="0" w:line="282" w:lineRule="auto"/>
        <w:tabs>
          <w:tab w:leader="none" w:pos="38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Europe, various countries have adopted anti-bribery laws providing for severe consequences in the form of criminal penalties and significant fines for individuals or companies committing a bribery offense.</w:t>
      </w:r>
    </w:p>
    <w:p>
      <w:pPr>
        <w:spacing w:after="0" w:line="161" w:lineRule="exact"/>
        <w:rPr>
          <w:rFonts w:ascii="Times New Roman" w:cs="Times New Roman" w:eastAsia="Times New Roman" w:hAnsi="Times New Roman"/>
          <w:sz w:val="18"/>
          <w:szCs w:val="18"/>
          <w:color w:val="auto"/>
        </w:rPr>
      </w:pPr>
    </w:p>
    <w:p>
      <w:pPr>
        <w:ind w:left="60" w:right="59" w:hanging="10"/>
        <w:spacing w:after="0" w:line="282" w:lineRule="auto"/>
        <w:tabs>
          <w:tab w:leader="none" w:pos="38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of these anti-bribery laws, or allegations of such violations, could have a negative impact on our business, results of operations and reputation.</w:t>
      </w:r>
    </w:p>
    <w:p>
      <w:pPr>
        <w:spacing w:after="0" w:line="161" w:lineRule="exact"/>
        <w:rPr>
          <w:rFonts w:ascii="Times New Roman" w:cs="Times New Roman" w:eastAsia="Times New Roman" w:hAnsi="Times New Roman"/>
          <w:sz w:val="18"/>
          <w:szCs w:val="18"/>
          <w:color w:val="auto"/>
        </w:rPr>
      </w:pPr>
    </w:p>
    <w:p>
      <w:pPr>
        <w:jc w:val="both"/>
        <w:ind w:left="60" w:right="59" w:hanging="10"/>
        <w:spacing w:after="0" w:line="256" w:lineRule="auto"/>
        <w:tabs>
          <w:tab w:leader="none" w:pos="38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instance, in the United Kingdom, the U.K. Bribery Act 2010 covers both public and private sector bribery, and prohibits the offer, provision, or promise to give a financial or other advantage to induce or reward another individual to improperly perform their relevant functions or activities, including any function of a public nature. Bribery of foreign public officials also falls within the scope of the U.K. Bribery Act 2010. An individual found in violation of the U.K. Bribery Act 2010 faces imprisonment of up to ten years. In addition, individuals can be subject to an unlimited fine, as can commercial organizations for failure to prevent bribery.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Trade Laws</w:t>
      </w:r>
    </w:p>
    <w:p>
      <w:pPr>
        <w:spacing w:after="0" w:line="229" w:lineRule="exact"/>
        <w:rPr>
          <w:sz w:val="20"/>
          <w:szCs w:val="20"/>
          <w:color w:val="auto"/>
        </w:rPr>
      </w:pPr>
    </w:p>
    <w:p>
      <w:pPr>
        <w:jc w:val="both"/>
        <w:ind w:left="60" w:right="59" w:hanging="10"/>
        <w:spacing w:after="0" w:line="258" w:lineRule="auto"/>
        <w:tabs>
          <w:tab w:leader="none" w:pos="38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 is subject to other laws and regulations governing its international operations, including regulations administered by the U.S. Department of Commerce’s Bureau of Industry and Security, the U.S. Department of Treasury’s Office of Foreign Assets Control (“OFAC”), and various non-U.S. government entities, including applicable export control regulations, economic sanctions on countries and persons, customs requirements, currency exchange regulations, and transfer pricing regulations.</w:t>
      </w:r>
    </w:p>
    <w:p>
      <w:pPr>
        <w:spacing w:after="0" w:line="183" w:lineRule="exact"/>
        <w:rPr>
          <w:rFonts w:ascii="Times New Roman" w:cs="Times New Roman" w:eastAsia="Times New Roman" w:hAnsi="Times New Roman"/>
          <w:sz w:val="18"/>
          <w:szCs w:val="18"/>
          <w:color w:val="auto"/>
        </w:rPr>
      </w:pPr>
    </w:p>
    <w:p>
      <w:pPr>
        <w:jc w:val="both"/>
        <w:ind w:left="60" w:right="59" w:hanging="10"/>
        <w:spacing w:after="0" w:line="256" w:lineRule="auto"/>
        <w:tabs>
          <w:tab w:leader="none" w:pos="38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Commerce regulates certain “dual use” items, as well as associated foreign assistance. OFAC administers and enforces economic sanctions programs primarily against countries and groups of individuals. Sanctions can be either comprehensive or selective, using the blocking of assets and trade restrictions to accomplish foreign policy and national security goals. U.S. persons must comply with OFAC regulations, including all U.S. citizens and permanent resident aliens regardless of where they are located, all persons and entities within the United States, all U.S. incorporated entities, and their foreign branches. In the cases of certain programs, foreign subsidiaries owned or controlled by U.S. companies also must comply.</w:t>
      </w:r>
    </w:p>
    <w:p>
      <w:pPr>
        <w:spacing w:after="0" w:line="187" w:lineRule="exact"/>
        <w:rPr>
          <w:rFonts w:ascii="Times New Roman" w:cs="Times New Roman" w:eastAsia="Times New Roman" w:hAnsi="Times New Roman"/>
          <w:sz w:val="18"/>
          <w:szCs w:val="18"/>
          <w:color w:val="auto"/>
        </w:rPr>
      </w:pPr>
    </w:p>
    <w:p>
      <w:pPr>
        <w:ind w:left="60" w:right="59" w:hanging="10"/>
        <w:spacing w:after="0" w:line="282" w:lineRule="auto"/>
        <w:tabs>
          <w:tab w:leader="none" w:pos="38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authorizations may be required before we can export technology, equipment or materials, our services, or to collaborate with foreign entities.</w:t>
      </w:r>
    </w:p>
    <w:p>
      <w:pPr>
        <w:spacing w:after="0" w:line="161"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38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export control laws and regulations could expose us to civil or criminal penalties, fines, investigations, more onerous compliance requirements, loss of export privileges, debarment from government contracts or limitations on our ability to enter into contracts with the U.S. government.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HIPAA and HITECH</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breaches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 Health Reform</w:t>
      </w:r>
    </w:p>
    <w:p>
      <w:pPr>
        <w:spacing w:after="0" w:line="229" w:lineRule="exact"/>
        <w:rPr>
          <w:sz w:val="20"/>
          <w:szCs w:val="20"/>
          <w:color w:val="auto"/>
        </w:rPr>
      </w:pPr>
    </w:p>
    <w:p>
      <w:pPr>
        <w:jc w:val="both"/>
        <w:ind w:left="60" w:right="59" w:hanging="10"/>
        <w:spacing w:after="0" w:line="252" w:lineRule="auto"/>
        <w:tabs>
          <w:tab w:leader="none" w:pos="3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healthcare policy could increase our costs and subject it to additional regulatory requirements that may interrupt commercialization of our current and future solutions. Changes in healthcare policy could increase our costs, decrease our revenue and impact sales of and reimbursement for our current and future products. For example, the ACA substantially changed the way healthcare is financed by both governmental and private insurers, and significantly impacts the life sciences industry. The United States and some foreign jurisdictions are considering or have enacted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or expanding access. Current and future legislative proposals to further reform healthcare or reduce healthcare costs may limit coverage of or lower reimbursement for the procedures associated with the use of our products.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The cost containment measures that payors and providers are instituting and the effect of any healthcare reform initiative implemented in the future could impact our revenue from the sale of our products.</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recently called on Congress to enact “The Great Healthcare Plan,” to codify and expand Most-Favored Nation pricing, lower government subsidies to private insurance companies and increase healthcare price transparency, among other things. Other recent actions, for example, include directing agencies to reduce agency workforce and cut programs.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medical device approval process.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229" w:lineRule="exact"/>
        <w:rPr>
          <w:sz w:val="20"/>
          <w:szCs w:val="20"/>
          <w:color w:val="auto"/>
        </w:rPr>
      </w:pPr>
    </w:p>
    <w:p>
      <w:pPr>
        <w:jc w:val="both"/>
        <w:ind w:left="60" w:right="59" w:hanging="10"/>
        <w:spacing w:after="0" w:line="253" w:lineRule="auto"/>
        <w:tabs>
          <w:tab w:leader="none" w:pos="38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both U.S. and non-U.S. markets, our ability to successfully commercialize and achieve market acceptance of our products depends, in significant part, on the availability of adequate financial coverage and reimbursement from third-party payors, including governmental payors (such as the Medicare and Medicaid programs in the United States), managed care organizations and private health insurers. Reimbursement systems in international markets vary significantly by country and by region within some countries, and reimbursement approvals must be obtained on a country-by-country basis. In many international markets, a product must be approved for reimbursement before it can be approved for sale in that country. Further, many international markets have government-managed healthcare systems that control reimbursement for new devices and procedures. In most markets there are private insurance systems as well as government-managed systems. Should our products under development be cleared or approved for commercialization by the FDA, reimbursement may not be available in the United States or other countries, or the amount of reimbursement may not be sufficient to allow sales of our products on a profitable basis.</w:t>
      </w:r>
    </w:p>
    <w:p>
      <w:pPr>
        <w:spacing w:after="0" w:line="191" w:lineRule="exact"/>
        <w:rPr>
          <w:rFonts w:ascii="Times New Roman" w:cs="Times New Roman" w:eastAsia="Times New Roman" w:hAnsi="Times New Roman"/>
          <w:sz w:val="18"/>
          <w:szCs w:val="18"/>
          <w:color w:val="auto"/>
        </w:rPr>
      </w:pPr>
    </w:p>
    <w:p>
      <w:pPr>
        <w:jc w:val="both"/>
        <w:ind w:left="60" w:right="59" w:hanging="10"/>
        <w:spacing w:after="0" w:line="254" w:lineRule="auto"/>
        <w:tabs>
          <w:tab w:leader="none" w:pos="38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payors are increasingly examining the cost effectiveness of products, in addition to their safety and efficacy, when making coverage and payment decisions. Third-party payors have also instituted initiatives to limit the growth of healthcare costs using, for example, price regulation or controls and competitive pricing programs. Some third-party payors also require demonstrated superiority, on the basis of randomized clinical trials, or pre-approval of coverage, for new or innovative devices or procedures before they will reimburse healthcare providers who use such devices or procedures. Additionally,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w:t>
      </w:r>
    </w:p>
    <w:p>
      <w:pPr>
        <w:spacing w:after="0" w:line="18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Coverage​ policies and third-party reimbursement rates may change at any time. Even if favorable coverage and reimbursement status is attained for procedures that utilize one or more products for which we might receive regulatory clearance and approval, less favorable coverage policies and reimbursement rates may be implemented in the future. It is uncertain whether our current products or any planned or future products will be viewed as sufficiently cost effective to warrant coverage and adequate reimbursement levels for procedures using such products.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Facilities, Manufacturing and Supply</w:t>
      </w:r>
    </w:p>
    <w:p>
      <w:pPr>
        <w:spacing w:after="0" w:line="229" w:lineRule="exact"/>
        <w:rPr>
          <w:sz w:val="20"/>
          <w:szCs w:val="20"/>
          <w:color w:val="auto"/>
        </w:rPr>
      </w:pPr>
    </w:p>
    <w:p>
      <w:pPr>
        <w:jc w:val="both"/>
        <w:ind w:left="60" w:right="59" w:hanging="10"/>
        <w:spacing w:after="0" w:line="261" w:lineRule="auto"/>
        <w:tabs>
          <w:tab w:leader="none" w:pos="38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headquarters and manufacturing, storage and distribution centers for our catheters and consoles are located at Laguna Hills, California. The facility is approximately 12,000 square feet, which includes clean room space and labs. We do not own any real property and believe that our current facilities are sufficient to support our operations and growth plans and that, additional space, if needed, will be available on commercially reasonably terms.</w:t>
      </w:r>
    </w:p>
    <w:p>
      <w:pPr>
        <w:spacing w:after="0" w:line="179" w:lineRule="exact"/>
        <w:rPr>
          <w:rFonts w:ascii="Times New Roman" w:cs="Times New Roman" w:eastAsia="Times New Roman" w:hAnsi="Times New Roman"/>
          <w:sz w:val="18"/>
          <w:szCs w:val="18"/>
          <w:color w:val="auto"/>
        </w:rPr>
      </w:pPr>
    </w:p>
    <w:p>
      <w:pPr>
        <w:jc w:val="both"/>
        <w:ind w:left="60" w:right="59" w:hanging="10"/>
        <w:spacing w:after="0" w:line="254" w:lineRule="auto"/>
        <w:tabs>
          <w:tab w:leader="none" w:pos="38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and distribution operations are subject to regulatory requirements of the European Medical Devices Regulations 2017/745 and amendments (“MDR”), for medical devices marketed in the European Union. When we begin marketing and distributing our products in the United States, we will be subject to the FDA’s Quality Management System Regulation (“QMSR”), set forth in 21 CFR part 820. Our Laguna Hills facility is certified to have established and is maintaining a quality management system pursuant to the requirements of the ISO 13485:2016 standard. In addition, the Laguna Hills facility is licensed by the California Department of Public Health Food and Drug Branch (“CDPH”). We are also subject to applicable local regulations relating to the environment, waste management and health and safety matters, including measures relating to the release, use, storage, treatment, transportation, discharge, disposal, sale, labeling, collection, recycling, treatment and remediation of hazardous substances.</w:t>
      </w:r>
    </w:p>
    <w:p>
      <w:pPr>
        <w:spacing w:after="0" w:line="188" w:lineRule="exact"/>
        <w:rPr>
          <w:rFonts w:ascii="Times New Roman" w:cs="Times New Roman" w:eastAsia="Times New Roman" w:hAnsi="Times New Roman"/>
          <w:sz w:val="18"/>
          <w:szCs w:val="18"/>
          <w:color w:val="auto"/>
        </w:rPr>
      </w:pPr>
    </w:p>
    <w:p>
      <w:pPr>
        <w:ind w:left="60" w:right="79" w:hanging="10"/>
        <w:spacing w:after="0" w:line="282" w:lineRule="auto"/>
        <w:tabs>
          <w:tab w:leader="none" w:pos="38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TÜV​ SÜD Product Service GmbH (München, Germany) (“TÜV SÜD”) monitors our compliance with the MDR and ISO 13485:2016 requirements through annual scheduled audits and unannounced audits of the Laguna Hills facilities.</w:t>
      </w:r>
    </w:p>
    <w:p>
      <w:pPr>
        <w:spacing w:after="0" w:line="161" w:lineRule="exact"/>
        <w:rPr>
          <w:rFonts w:ascii="Times New Roman" w:cs="Times New Roman" w:eastAsia="Times New Roman" w:hAnsi="Times New Roman"/>
          <w:sz w:val="18"/>
          <w:szCs w:val="18"/>
          <w:color w:val="auto"/>
        </w:rPr>
      </w:pPr>
    </w:p>
    <w:p>
      <w:pPr>
        <w:jc w:val="both"/>
        <w:ind w:left="60" w:right="59" w:hanging="10"/>
        <w:spacing w:after="0" w:line="261" w:lineRule="auto"/>
        <w:tabs>
          <w:tab w:leader="none" w:pos="38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suppliers or third-party manufacturers, to maintain acceptable quality requirements could result in non-compliance of our manufacturing operations, which would harm our business. In the event that one of our suppliers or third-party manufacturers fails to maintain acceptable quality requirements, we may have to qualify a new supplier and could experience a material adverse effect to manufacturing and manufacturing delays as a result.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hanging="10"/>
        <w:spacing w:after="0" w:line="256" w:lineRule="auto"/>
        <w:tabs>
          <w:tab w:leader="none" w:pos="38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procure a broad range of the components and raw materials required for manufacturing of our catheters and consoles, including plastic and precious metals components and raw materials, complex electromechanical assemblies, electronic components and electronic assemblies. The identification and qualification of the suppliers is governed by the relevant provisions of our quality management system. As such, we can be materially adversely affected by disruptions in global supply chain, as well as inability of our suppliers to maintain required quality of the components and raw materials supplied to us, resulting in temporary hold or delay in manufacturing and distribution operations.</w:t>
      </w:r>
    </w:p>
    <w:p>
      <w:pPr>
        <w:spacing w:after="0" w:line="187" w:lineRule="exact"/>
        <w:rPr>
          <w:rFonts w:ascii="Times New Roman" w:cs="Times New Roman" w:eastAsia="Times New Roman" w:hAnsi="Times New Roman"/>
          <w:sz w:val="18"/>
          <w:szCs w:val="18"/>
          <w:color w:val="auto"/>
        </w:rPr>
      </w:pPr>
    </w:p>
    <w:p>
      <w:pPr>
        <w:ind w:left="60" w:right="59" w:hanging="10"/>
        <w:spacing w:after="0" w:line="282" w:lineRule="auto"/>
        <w:tabs>
          <w:tab w:leader="none" w:pos="38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pursue the opportunities for facility expansion as well as the transfer of the part or whole of the manufacturing operation to qualified third-party suppliers as warranted by business conditions.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Adagio Team</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we had 41 full-time employees, located in the U.S. None of our employees are represented by a labor union or are a party to a collective bargaining agreement. We believe that the success of our business will depend, in part, on our ability to attract and retain qualified personnel. We have not experienced and do not expect any significant strikes or work stoppages and believe our relations with employees are in good standing.</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Adagio Medical Holdings, Inc., formerly known as Aja Holdco, Inc., was incorporated was incorporated as a Delaware corporation on December 19, 2023.</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26051 Merit Circle, Suite 102, Laguna Hills, California, 92653, and our telephone number is (949) 348-1188.</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Availability of SEC Filings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file annual reports on Form 10-K, quarterly reports on Form 10-Q, current reports on Form 8-K, and amendments to reports filed or furnished pursuant to Sections 13(a), 14, and 15(d) of the Securities and Exchange Act of 1934, as amended, or the Exchange Act. The SEC maintains a website at http://www.sec.gov that contains reports, and other information regarding us and other companies that file materials with the SEC electronically. Copies of our reports on Forms 10-K, Forms 10-Q, and Forms 8-K, may be obtained, free of charge, electronically through our corporate website at https://us.adagiomedical.com as soon as reasonably practicable after we file such material electronically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Our business, prospects, financial condition, or operating results could be harmed by any of these risks, as well as other risks not currently known to us or that we currently consider immaterial. If any of such risks and uncertainties actually occurs, our business, prospects, financial condition, cash flows, or operating results could differ materially from the plans, projections, and other forward-looking statements included in the section titled “Management’s Discussion and Analysis of Financial Condition and Results of Operations” and elsewhere in this Annual Report on Form 10-K and in our other public filings. For more information, see the section titled “Special Note Regarding Forward-Looking Statements” included elsewhere in this Annual Report on Form 10-K.</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212529"/>
        </w:rPr>
        <w:t>We are a medical device company that has incurred net losses in every period to date and expect to continue to incur significant losses as we develop our business, and our financial conditions raise substantial doubt about our ability to continue as a going concern.</w:t>
      </w:r>
    </w:p>
    <w:p>
      <w:pPr>
        <w:spacing w:after="0" w:line="175"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are a medical device company that has incurred net losses in each quarterly and annual period since inception and that has not yet generated any meaningful revenue. We expect to incur increasing costs as we continue to devote substantially all of our resources towards the development and anticipated further commercialization of our main platform technology, vCLAS. We cannot be certain if we will ever generate meaningful revenue or if or when we will produce sufficient revenue from operations to support our costs. Even if profitability is achieved, we may not be able to sustain profitability. We incurred net losses of $25.1 million and $75.0 million in 2025 and 2024, respectively. As of December 31, 2025 and December 31, 2024, we had an accumulated deficit of $95.6 and $70.6 million, respectively. We expect to incur substantial losses and negative cash flows for the foreseeable future. In addition, as a public company, we incur significant legal, accounting, and other expenses that we did not incur as a private company. These increased expenses may make it harder for us to achieve and sustain future profitability. We may incur significant losses in the future for a number of reasons, many of which are beyond our control, including the other risks described in this report and in our other filings with the SEC. Even if we achieve profitability, we may not be able to sustain or increase profitability on a quarterly or annual basis. Our failure to become and remain profitable could depress the value of our company and could impair our ability to raise capital, expand our business, maintain our development efforts, obtain regulatory approvals or certificates, diversify our product offerings or continue our operations.</w:t>
      </w:r>
    </w:p>
    <w:p>
      <w:pPr>
        <w:spacing w:after="0" w:line="19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independent auditors have included an explanatory paragraph in their audit report regarding our ability to continue as a going concern. This going concern risk may materially limit our ability to raise additional funds through the issuance of new debt or equity or may adversely affect the terms upon which such capital may be available. The inability to obtain sufficient financing on acceptable terms could have a material adverse effect on our financial condition, results of operations, and business prospects.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are actively pursuing strategies to mitigate these risks, however, there can be no assurance that these efforts will prove successful or that we will achieve our intended financial stability. The failure to successfully address these going concern risks may materially and adversely affect our business, financial condition, and results of operations. Investors should consider the substantial risks and uncertainties inherent in our business before investing in our securities.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We have a limited operating history and no history of commercializing products, which may make it difficult for an investor to evaluate the success of our business to date and to assess our future viability.</w:t>
      </w:r>
    </w:p>
    <w:p>
      <w:pPr>
        <w:spacing w:after="0" w:line="15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a clinical-stage medical device company with a limited operating history. We commenced operations in 2011, and our operations to date have been largely focused on organizing and staffing our company, business planning, raising capital and conducting preclinical research and development activities for our product candidates. To date, we have not yet demonstrated our ability to successfully complete clinical trials, obtain regulatory approvals, manufacture a product on a commercial scale, or arrange for a third party to do so on our behalf, or conduct sales and marketing activities necessary for successful commercialization. Consequently, any predictions you make about our future success or viability may not be as accurate as they could be if we had a longer operating history or a history of successfully developing and commercializing products.</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may encounter unforeseen expenses, difficulties, complications, delays and other known or unknown factors in achieving our business objectives. We will need to develop commercial capabilities, and we may not be successful in doing so.</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12529"/>
        </w:rPr>
        <w:t>We may need to raise additional capital to fund our development and commercialization plans.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If our available cash resources are insufficient to satisfy our liquidity requirements, due to, for example, the realization of other risks described in this Annual Report, we may be required to raise additional capital prior to such time by issuing equity or convertible debt securities, entering into a credit facility or another form of third-party funding or seeking other debt financing.</w:t>
      </w:r>
    </w:p>
    <w:p>
      <w:pPr>
        <w:spacing w:after="0" w:line="18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We may consider raising additional capital in the future to expand our business, to pursue strategic investments, to take advantage of financing or acquisition opportunities or for other reasons, including:</w:t>
      </w:r>
    </w:p>
    <w:p>
      <w:pPr>
        <w:spacing w:after="0" w:line="62" w:lineRule="exact"/>
        <w:rPr>
          <w:sz w:val="20"/>
          <w:szCs w:val="20"/>
          <w:color w:val="auto"/>
        </w:rPr>
      </w:pPr>
    </w:p>
    <w:p>
      <w:pPr>
        <w:ind w:left="720" w:hanging="319"/>
        <w:spacing w:after="0"/>
        <w:tabs>
          <w:tab w:leader="none" w:pos="720" w:val="left"/>
        </w:tabs>
        <w:numPr>
          <w:ilvl w:val="0"/>
          <w:numId w:val="4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funding development and marketing efforts of our ablation technology or any other future products;</w:t>
      </w:r>
    </w:p>
    <w:p>
      <w:pPr>
        <w:spacing w:after="0" w:line="15" w:lineRule="exact"/>
        <w:rPr>
          <w:rFonts w:ascii="Times New Roman" w:cs="Times New Roman" w:eastAsia="Times New Roman" w:hAnsi="Times New Roman"/>
          <w:sz w:val="29"/>
          <w:szCs w:val="29"/>
          <w:color w:val="auto"/>
          <w:vertAlign w:val="superscript"/>
        </w:rPr>
      </w:pPr>
    </w:p>
    <w:p>
      <w:pPr>
        <w:ind w:left="720" w:right="259" w:hanging="319"/>
        <w:spacing w:after="0" w:line="197" w:lineRule="auto"/>
        <w:tabs>
          <w:tab w:leader="none" w:pos="720" w:val="left"/>
        </w:tabs>
        <w:numPr>
          <w:ilvl w:val="0"/>
          <w:numId w:val="4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increasing our sales and marketing and other commercialization efforts to drive market adoption of our ablation technology;</w:t>
      </w:r>
    </w:p>
    <w:p>
      <w:pPr>
        <w:ind w:left="720" w:hanging="319"/>
        <w:spacing w:after="0" w:line="184" w:lineRule="auto"/>
        <w:tabs>
          <w:tab w:leader="none" w:pos="720" w:val="left"/>
        </w:tabs>
        <w:numPr>
          <w:ilvl w:val="0"/>
          <w:numId w:val="4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expanding our technologies into additional markets;</w:t>
      </w:r>
    </w:p>
    <w:p>
      <w:pPr>
        <w:spacing w:after="0" w:line="15" w:lineRule="exact"/>
        <w:rPr>
          <w:rFonts w:ascii="Times New Roman" w:cs="Times New Roman" w:eastAsia="Times New Roman" w:hAnsi="Times New Roman"/>
          <w:sz w:val="26"/>
          <w:szCs w:val="26"/>
          <w:color w:val="auto"/>
          <w:vertAlign w:val="superscript"/>
        </w:rPr>
      </w:pPr>
    </w:p>
    <w:p>
      <w:pPr>
        <w:ind w:left="720" w:hanging="319"/>
        <w:spacing w:after="0" w:line="186" w:lineRule="auto"/>
        <w:tabs>
          <w:tab w:leader="none" w:pos="720" w:val="left"/>
        </w:tabs>
        <w:numPr>
          <w:ilvl w:val="0"/>
          <w:numId w:val="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preparing, filing, prosecuting, defending and enforcing any patent claims and other intellectual property rights;</w:t>
      </w:r>
    </w:p>
    <w:p>
      <w:pPr>
        <w:spacing w:after="0" w:line="15"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acquiring, licensing or defending against third party intellectual property rights;</w:t>
      </w:r>
    </w:p>
    <w:p>
      <w:pPr>
        <w:spacing w:after="0" w:line="15"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acquiring or investing in complementary technologies, businesses or assets; and</w:t>
      </w:r>
    </w:p>
    <w:p>
      <w:pPr>
        <w:spacing w:after="0" w:line="15"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financing capital expenditures and general and administrative expenses.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present and future funding requirements will depend on many factors, including:</w:t>
      </w:r>
    </w:p>
    <w:p>
      <w:pPr>
        <w:spacing w:after="0" w:line="126" w:lineRule="exact"/>
        <w:rPr>
          <w:sz w:val="20"/>
          <w:szCs w:val="20"/>
          <w:color w:val="auto"/>
        </w:rPr>
      </w:pPr>
    </w:p>
    <w:p>
      <w:pPr>
        <w:ind w:left="720" w:hanging="319"/>
        <w:spacing w:after="0"/>
        <w:tabs>
          <w:tab w:leader="none" w:pos="720" w:val="left"/>
        </w:tabs>
        <w:numPr>
          <w:ilvl w:val="0"/>
          <w:numId w:val="4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delays in execution of our development plans;</w:t>
      </w:r>
    </w:p>
    <w:p>
      <w:pPr>
        <w:spacing w:after="0" w:line="15" w:lineRule="exact"/>
        <w:rPr>
          <w:rFonts w:ascii="Times New Roman" w:cs="Times New Roman" w:eastAsia="Times New Roman" w:hAnsi="Times New Roman"/>
          <w:sz w:val="29"/>
          <w:szCs w:val="29"/>
          <w:color w:val="auto"/>
          <w:vertAlign w:val="superscript"/>
        </w:rPr>
      </w:pPr>
    </w:p>
    <w:p>
      <w:pPr>
        <w:ind w:left="720" w:hanging="319"/>
        <w:spacing w:after="0" w:line="186" w:lineRule="auto"/>
        <w:tabs>
          <w:tab w:leader="none" w:pos="72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scope and timing of our investment in our sales, marketing, and distribution capabilities;</w:t>
      </w:r>
    </w:p>
    <w:p>
      <w:pPr>
        <w:spacing w:after="0" w:line="15"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changes we may make to our business that affect ongoing operating expenses;</w:t>
      </w:r>
    </w:p>
    <w:p>
      <w:pPr>
        <w:spacing w:after="0" w:line="15"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costs of filing, prosecuting, defending and enforcing any patent claims and other intellectual property rights;</w:t>
      </w:r>
    </w:p>
    <w:p>
      <w:pPr>
        <w:spacing w:after="0" w:line="15"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changes we may make in our business or commercialization strategy;</w:t>
      </w:r>
    </w:p>
    <w:p>
      <w:pPr>
        <w:spacing w:after="0" w:line="15"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changes we may make in our research and development spending plans;</w:t>
      </w:r>
    </w:p>
    <w:p>
      <w:pPr>
        <w:spacing w:after="0" w:line="15" w:lineRule="exact"/>
        <w:rPr>
          <w:rFonts w:ascii="Times New Roman" w:cs="Times New Roman" w:eastAsia="Times New Roman" w:hAnsi="Times New Roman"/>
          <w:sz w:val="24"/>
          <w:szCs w:val="24"/>
          <w:color w:val="auto"/>
          <w:vertAlign w:val="superscript"/>
        </w:rPr>
      </w:pPr>
    </w:p>
    <w:p>
      <w:pPr>
        <w:ind w:left="720" w:hanging="319"/>
        <w:spacing w:after="0" w:line="186" w:lineRule="auto"/>
        <w:tabs>
          <w:tab w:leader="none" w:pos="72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our need to implement additional infrastructure and internal systems; and</w:t>
      </w:r>
    </w:p>
    <w:p>
      <w:pPr>
        <w:spacing w:after="0" w:line="15" w:lineRule="exact"/>
        <w:rPr>
          <w:rFonts w:ascii="Times New Roman" w:cs="Times New Roman" w:eastAsia="Times New Roman" w:hAnsi="Times New Roman"/>
          <w:sz w:val="24"/>
          <w:szCs w:val="24"/>
          <w:color w:val="auto"/>
          <w:vertAlign w:val="superscript"/>
        </w:rPr>
      </w:pPr>
    </w:p>
    <w:p>
      <w:pPr>
        <w:ind w:left="720" w:right="859" w:hanging="319"/>
        <w:spacing w:after="0" w:line="197" w:lineRule="auto"/>
        <w:tabs>
          <w:tab w:leader="none" w:pos="720" w:val="left"/>
        </w:tabs>
        <w:numPr>
          <w:ilvl w:val="0"/>
          <w:numId w:val="4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other items affecting our forecasted level of expenditures and use of cash resources, including potential acquisitions.</w:t>
      </w:r>
    </w:p>
    <w:p>
      <w:pPr>
        <w:spacing w:after="0" w:line="225"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terms satisfactory to us, should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Raising additional capital may cause dilution to our stockholders, restrict our operations or require us to relinquish rights to our technologies or product candidates.</w:t>
      </w:r>
    </w:p>
    <w:p>
      <w:pPr>
        <w:spacing w:after="0" w:line="15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we may finance our cash needs through a combination of equity offerings, government or private party grants, debt financings and license and collaboration agreements. We do not currently have any other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equity financing, if available, may involve agreements that include covenants limiting or restricting our ability to take specific actions, such as incurring additional debt, making capital expenditures or declaring dividends.</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business strategy or restructuring of our businesses may increase our costs or otherwise affect the profitability of our businesses or the value of our assets.</w:t>
      </w:r>
    </w:p>
    <w:p>
      <w:pPr>
        <w:spacing w:after="0" w:line="15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there are changes in our business environment, we have adjusted, and may further, adjust our business strategies to meet these changes and we may otherwise decide to further restructure our operations or particular businesses or assets. Our new organization and strategies may not produce the anticipated benefits, such as supporting our growth strategies and enhancing shareholder value, and could be less successful than our previous organizational structure and strategies. In addition, external events, including changes in technology, changes in acceptance of our products and changes in macroeconomic conditions, may impair the value of our assets. When these changes or events occur, we may incur costs to change our business strategy and may need to write-down the value of assets. For example, current economic conditions, including relatively high interest rates, inflation and potential economic slowdowns, as well as our business decisions, may reduce the value of some of our assets. We also make investments in existing or new businesses, including re-investing in the expansion of our sales and build-out of our efforts in Europe. In any of these events, our costs may increase or returns on new investments may be lower than prior to the change in strategy or restructuring.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and revenue prospects partially depend on our ability to accelerate the commercialization of our products and to capitalize on market opportunities.</w:t>
      </w:r>
    </w:p>
    <w:p>
      <w:pPr>
        <w:spacing w:after="0" w:line="15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future success is largely dependent on our ability to successfully develop and commercialize our pipeline products, which are based on innovative yet complex technologies and, at any time, can be in various stages of development. We are investing substantially all of our management efforts and financial resources in the development and commercialization of such products. For planning purposes, we estimate the timing of the accomplishment of various scientific, clinical, regulatory and other product development and commercialization goals, which we sometimes refer to as milestones. These milestones include the commencement or completion of scientific studies and clinical studies and the submission of regulatory applications. We base these milestones on a variety of assumptions, which are subject to numerous risks and uncertainties. There is a risk we will not achieve these milestones on a timely basis or at all. Even if we achieve these milestones, the actual timing of the achievement of these milestones can vary dramatically compared to our estimates, often for reasons beyond our control. Our ability to achieve milestones and generate future revenue from our current and/or future products depends on a number of additional factors, including:</w:t>
      </w:r>
    </w:p>
    <w:p>
      <w:pPr>
        <w:spacing w:after="0" w:line="200" w:lineRule="exact"/>
        <w:rPr>
          <w:sz w:val="20"/>
          <w:szCs w:val="20"/>
          <w:color w:val="auto"/>
        </w:rPr>
      </w:pPr>
    </w:p>
    <w:p>
      <w:pPr>
        <w:spacing w:after="0" w:line="208" w:lineRule="exact"/>
        <w:rPr>
          <w:sz w:val="20"/>
          <w:szCs w:val="20"/>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and costs and results of our clinical studies and research and development activities;</w:t>
      </w:r>
    </w:p>
    <w:p>
      <w:pPr>
        <w:spacing w:after="0" w:line="27" w:lineRule="exact"/>
        <w:rPr>
          <w:rFonts w:ascii="Times New Roman" w:cs="Times New Roman" w:eastAsia="Times New Roman" w:hAnsi="Times New Roman"/>
          <w:sz w:val="18"/>
          <w:szCs w:val="18"/>
          <w:color w:val="auto"/>
        </w:rPr>
      </w:pPr>
    </w:p>
    <w:p>
      <w:pPr>
        <w:ind w:left="720" w:right="579" w:hanging="319"/>
        <w:spacing w:after="0" w:line="250"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clinical development of our products, including necessary clinical studies;</w:t>
      </w: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acceptance of our clinical trial data by the FDA or foreign regulatory authorities;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optimize and scale up the manufacturing processes for our products;</w:t>
      </w:r>
    </w:p>
    <w:p>
      <w:pPr>
        <w:spacing w:after="0" w:line="22" w:lineRule="exact"/>
        <w:rPr>
          <w:rFonts w:ascii="Times New Roman" w:cs="Times New Roman" w:eastAsia="Times New Roman" w:hAnsi="Times New Roman"/>
          <w:sz w:val="18"/>
          <w:szCs w:val="18"/>
          <w:color w:val="auto"/>
        </w:rPr>
      </w:pPr>
    </w:p>
    <w:p>
      <w:pPr>
        <w:ind w:left="720" w:right="339" w:hanging="319"/>
        <w:spacing w:after="0" w:line="250"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supply and manufacturing relationships with third parties that ensure adequate and legally-compliant production of our products;</w:t>
      </w:r>
    </w:p>
    <w:p>
      <w:pPr>
        <w:ind w:left="720" w:right="439" w:hanging="319"/>
        <w:spacing w:after="0" w:line="250"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and/or the ability of third parties to manufacture our products, including our ability to source critical components or materials for the manufacture of our products;</w:t>
      </w:r>
    </w:p>
    <w:p>
      <w:pPr>
        <w:ind w:left="720" w:right="999" w:hanging="319"/>
        <w:spacing w:after="0" w:line="258"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and submit necessary applications for regulatory clearances, approvals or certifications for our products in the United States and elsewhere;</w:t>
      </w:r>
    </w:p>
    <w:p>
      <w:pPr>
        <w:ind w:left="720" w:right="259" w:hanging="319"/>
        <w:spacing w:after="0" w:line="258"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requirements enforced by the FDA, and other comparable regulatory authorities with respect to our marketing of products;</w:t>
      </w:r>
    </w:p>
    <w:p>
      <w:pPr>
        <w:ind w:left="720" w:right="79" w:hanging="319"/>
        <w:spacing w:after="0" w:line="255"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standards of FDA or foreign regulatory agencies and obtain necessary FDA or foreign regulatory clearances, approvals, or certifications, for our products or for future product modifications or proposed expansions in indication for any of our products that receive regulatory approval or certification;</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by regulators, including actions related to a class of products;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effective sales and marketing capabilities;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against more established or better funded competitors;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patient, physician, and market acceptance for our products;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maintain and protect our intellectual property rights; and</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personnel.</w:t>
      </w:r>
    </w:p>
    <w:p>
      <w:pPr>
        <w:spacing w:after="0" w:line="234" w:lineRule="exact"/>
        <w:rPr>
          <w:sz w:val="20"/>
          <w:szCs w:val="20"/>
          <w:color w:val="auto"/>
        </w:rPr>
      </w:pPr>
    </w:p>
    <w:p>
      <w:pPr>
        <w:jc w:val="both"/>
        <w:ind w:left="60" w:right="59" w:firstLine="360"/>
        <w:spacing w:after="0" w:line="254" w:lineRule="auto"/>
        <w:rPr>
          <w:sz w:val="20"/>
          <w:szCs w:val="20"/>
          <w:color w:val="auto"/>
        </w:rPr>
      </w:pPr>
      <w:r>
        <w:rPr>
          <w:rFonts w:ascii="Times New Roman" w:cs="Times New Roman" w:eastAsia="Times New Roman" w:hAnsi="Times New Roman"/>
          <w:sz w:val="18"/>
          <w:szCs w:val="18"/>
          <w:color w:val="auto"/>
        </w:rPr>
        <w:t>In addition, because of the numerous risks and uncertainties associated with completing clinical studies and obtaining necessary clearances, approvals or certifications, we are unable to predict the timing or amount of our expenses, or if or when we will achieve or maintain revenues or profitability. In addition, our expenses could increase beyond expectations if we decide to or are required by the FDA or foreign regulatory authorities to perform studies or trials for our products in addition to those that we currently anticipate. If we complete the development and regulatory processes of our products, we anticipate incurring significant costs associated with launching and commercializing our products. Even if we generate revenues from the sale of our products, we may not be profitable and may need to obtain additional funding to continue operations. If we fail to achieve profitability or do not sustain profitability on a continuing basis, then we may be unable to continue our operations at planned levels and be forced to reduce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59" w:lineRule="exact"/>
        <w:rPr>
          <w:sz w:val="20"/>
          <w:szCs w:val="20"/>
          <w:color w:val="auto"/>
        </w:rPr>
      </w:pPr>
    </w:p>
    <w:p>
      <w:pPr>
        <w:jc w:val="both"/>
        <w:ind w:left="60" w:right="59" w:firstLine="360"/>
        <w:spacing w:after="0" w:line="258" w:lineRule="auto"/>
        <w:rPr>
          <w:sz w:val="20"/>
          <w:szCs w:val="20"/>
          <w:color w:val="auto"/>
        </w:rPr>
      </w:pPr>
      <w:r>
        <w:rPr>
          <w:rFonts w:ascii="Times New Roman" w:cs="Times New Roman" w:eastAsia="Times New Roman" w:hAnsi="Times New Roman"/>
          <w:sz w:val="18"/>
          <w:szCs w:val="18"/>
          <w:color w:val="auto"/>
        </w:rPr>
        <w:t>Our quarterly and annual results of operations, including our revenue, profitability and cash flow, may vary significantly in the future, and period-to-period comparisons of our operating results may not be meaningful. Accordingly, the results of any one quarter or other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Factors that may cause fluctuations in our quarterly and annual results include, without limitation:</w:t>
      </w:r>
    </w:p>
    <w:p>
      <w:pPr>
        <w:spacing w:after="0" w:line="225" w:lineRule="exact"/>
        <w:rPr>
          <w:sz w:val="20"/>
          <w:szCs w:val="20"/>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which may vary significantly from period to period;</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products and technologies;</w:t>
      </w:r>
    </w:p>
    <w:p>
      <w:pPr>
        <w:spacing w:after="0" w:line="22" w:lineRule="exact"/>
        <w:rPr>
          <w:rFonts w:ascii="Times New Roman" w:cs="Times New Roman" w:eastAsia="Times New Roman" w:hAnsi="Times New Roman"/>
          <w:sz w:val="18"/>
          <w:szCs w:val="18"/>
          <w:color w:val="auto"/>
        </w:rPr>
      </w:pPr>
    </w:p>
    <w:p>
      <w:pPr>
        <w:ind w:left="720" w:right="279" w:hanging="319"/>
        <w:spacing w:after="0" w:line="258"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clinical trials, including obtaining regulatory approvals or clearances for planned or future products;</w:t>
      </w:r>
    </w:p>
    <w:p>
      <w:pPr>
        <w:ind w:left="720" w:right="179" w:hanging="319"/>
        <w:spacing w:after="0" w:line="258"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we grow our sales force and the speed at which newly hired salespeople become effective, and the cost and level of investment therein;</w:t>
      </w:r>
    </w:p>
    <w:p>
      <w:pPr>
        <w:ind w:left="720" w:right="579" w:hanging="319"/>
        <w:spacing w:after="0" w:line="250"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competition in our industry and any change in the competitive landscape of our industry, including consolidation among our competitors or future partners;</w:t>
      </w:r>
    </w:p>
    <w:p>
      <w:pPr>
        <w:ind w:left="720" w:right="199" w:hanging="319"/>
        <w:spacing w:after="0" w:line="258"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coverage and reimbursement policies with respect to the procedures using our products and potential future products that compete with our products;</w:t>
      </w:r>
    </w:p>
    <w:p>
      <w:pPr>
        <w:ind w:left="720" w:right="179" w:hanging="319"/>
        <w:spacing w:after="0" w:line="258"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for our current or planned products or any future products we develop or competing products;</w:t>
      </w:r>
    </w:p>
    <w:p>
      <w:pPr>
        <w:ind w:left="720" w:right="899" w:hanging="319"/>
        <w:spacing w:after="0" w:line="258"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regulatory approval and commercialization activities relating to our products, which may change from time to time;</w:t>
      </w:r>
    </w:p>
    <w:p>
      <w:pPr>
        <w:ind w:left="720" w:right="379" w:hanging="319"/>
        <w:spacing w:after="0" w:line="258" w:lineRule="auto"/>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products, which may vary depending on the quantity of production and the terms of our agreements with third-party suppliers and manufacturers;</w:t>
      </w: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outbreaks of disease or public health crises;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nature of any future acquisitions or strategic partnerships;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26" w:lineRule="exact"/>
        <w:rPr>
          <w:sz w:val="20"/>
          <w:szCs w:val="20"/>
          <w:color w:val="auto"/>
        </w:rPr>
      </w:pPr>
    </w:p>
    <w:p>
      <w:pPr>
        <w:jc w:val="both"/>
        <w:ind w:left="60" w:right="59" w:firstLine="360"/>
        <w:spacing w:after="0" w:line="266" w:lineRule="auto"/>
        <w:rPr>
          <w:sz w:val="20"/>
          <w:szCs w:val="20"/>
          <w:color w:val="auto"/>
        </w:rPr>
      </w:pPr>
      <w:r>
        <w:rPr>
          <w:rFonts w:ascii="Times New Roman" w:cs="Times New Roman" w:eastAsia="Times New Roman" w:hAnsi="Times New Roman"/>
          <w:sz w:val="18"/>
          <w:szCs w:val="18"/>
          <w:color w:val="auto"/>
        </w:rPr>
        <w:t>Because our quarterly and annual results may fluctuate, period-to-period comparisons may not be the best indication of the underlying results of our business and should only be relied upon as one factor in determining how our business is performing.</w:t>
      </w:r>
    </w:p>
    <w:p>
      <w:pPr>
        <w:spacing w:after="0" w:line="176" w:lineRule="exact"/>
        <w:rPr>
          <w:sz w:val="20"/>
          <w:szCs w:val="20"/>
          <w:color w:val="auto"/>
        </w:rPr>
      </w:pPr>
    </w:p>
    <w:p>
      <w:pPr>
        <w:jc w:val="both"/>
        <w:ind w:left="60" w:right="59" w:firstLine="360"/>
        <w:spacing w:after="0" w:line="261" w:lineRule="auto"/>
        <w:rPr>
          <w:sz w:val="20"/>
          <w:szCs w:val="20"/>
          <w:color w:val="auto"/>
        </w:rPr>
      </w:pPr>
      <w:r>
        <w:rPr>
          <w:rFonts w:ascii="Times New Roman" w:cs="Times New Roman" w:eastAsia="Times New Roman" w:hAnsi="Times New Roman"/>
          <w:sz w:val="18"/>
          <w:szCs w:val="18"/>
          <w:color w:val="auto"/>
        </w:rPr>
        <w:t>In addition, this variability and unpredictability could result in us failing to meet the expectations of industry or financial analysts or investors for any period. If our revenue or operating results fall below the expectations of analysts or investors or below any forecasts we may provide to the market, it may result in a decrease in the share price of the common stock.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assurance that we will be able to execute on our business model, including achieving market acceptance of our products.</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ability to execute our business model is dependent on a number of factors, including:</w:t>
      </w:r>
    </w:p>
    <w:p>
      <w:pPr>
        <w:spacing w:after="0" w:line="117" w:lineRule="exact"/>
        <w:rPr>
          <w:sz w:val="20"/>
          <w:szCs w:val="20"/>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senior management team to execute our business model;</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begin or maintain our pace of product development, manufacturing and commercialization;</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meet the changing needs of the catheter market;</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market acceptance of our product; and</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employees to perform at a high level.</w:t>
      </w:r>
    </w:p>
    <w:p>
      <w:pPr>
        <w:spacing w:after="0" w:line="112" w:lineRule="exact"/>
        <w:rPr>
          <w:sz w:val="20"/>
          <w:szCs w:val="20"/>
          <w:color w:val="auto"/>
        </w:rPr>
      </w:pPr>
    </w:p>
    <w:p>
      <w:pPr>
        <w:jc w:val="both"/>
        <w:ind w:left="60" w:right="59" w:firstLine="360"/>
        <w:spacing w:after="0" w:line="275" w:lineRule="auto"/>
        <w:rPr>
          <w:sz w:val="20"/>
          <w:szCs w:val="20"/>
          <w:color w:val="auto"/>
        </w:rPr>
      </w:pPr>
      <w:r>
        <w:rPr>
          <w:rFonts w:ascii="Times New Roman" w:cs="Times New Roman" w:eastAsia="Times New Roman" w:hAnsi="Times New Roman"/>
          <w:sz w:val="18"/>
          <w:szCs w:val="18"/>
          <w:color w:val="auto"/>
        </w:rPr>
        <w:t>If we are unable to execute our business model, or if our business model does not drive the growth that we anticipate, or if our market opportunity is not as large as we have estimated, it could adversely affect our business and our prospects.</w:t>
      </w:r>
    </w:p>
    <w:p>
      <w:pPr>
        <w:spacing w:after="0" w:line="282" w:lineRule="exact"/>
        <w:rPr>
          <w:sz w:val="20"/>
          <w:szCs w:val="20"/>
          <w:color w:val="auto"/>
        </w:rPr>
      </w:pPr>
    </w:p>
    <w:p>
      <w:pPr>
        <w:jc w:val="both"/>
        <w:ind w:left="60" w:right="59" w:firstLine="363"/>
        <w:spacing w:after="0" w:line="253" w:lineRule="auto"/>
        <w:rPr>
          <w:sz w:val="20"/>
          <w:szCs w:val="20"/>
          <w:color w:val="auto"/>
        </w:rPr>
      </w:pPr>
      <w:r>
        <w:rPr>
          <w:rFonts w:ascii="Times New Roman" w:cs="Times New Roman" w:eastAsia="Times New Roman" w:hAnsi="Times New Roman"/>
          <w:sz w:val="18"/>
          <w:szCs w:val="18"/>
          <w:color w:val="auto"/>
        </w:rPr>
        <w:t>Our success will depend, in part, on the acceptance of our products as safe, effective and, with respect to providers, cost-effective. We cannot predict how quickly, if at all, hospitals, physicians, patients or payors will accept our products or, if accepted, how frequently they will be used. Our products and planned or future products we may develop or market may never gain broad market acceptance for some or all of our targeted indications. Hospitals, physicians, patients and payors must believe that our products offer benefits over alternative treatment methods. Our future growth and profitability largely depend on our ability to increase physician awareness of our system and our products and on the willingness of hospitals, physicians, patients or payors to adopt them. These parties may not adopt our products unless they are able to determine, based on experience, clinical data, medical society recommendations and other analyses, that our products are safe, effective and, with respect to providers, cost-effective, on a stand-alone basis and relative to competitors’ products. Healthcare providers must believe that our products offer benefits over alternative treatment methods. Even if we are able to raise awareness, physicians tend to be slow in changing their medical treatment practices and may be hesitant to select our products for recommendation to their hospitals or patients for a variety of reasons, including:</w:t>
      </w:r>
    </w:p>
    <w:p>
      <w:pPr>
        <w:spacing w:after="0" w:line="200" w:lineRule="exact"/>
        <w:rPr>
          <w:sz w:val="20"/>
          <w:szCs w:val="20"/>
          <w:color w:val="auto"/>
        </w:rPr>
      </w:pPr>
    </w:p>
    <w:p>
      <w:pPr>
        <w:spacing w:after="0" w:line="206" w:lineRule="exact"/>
        <w:rPr>
          <w:sz w:val="20"/>
          <w:szCs w:val="20"/>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long-standing relationships with competing companies and distributors that sell other products;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response and negative selling efforts from providers of alternative products;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our products and concerns that we are relatively new to the market;</w:t>
      </w:r>
    </w:p>
    <w:p>
      <w:pPr>
        <w:spacing w:after="0" w:line="22" w:lineRule="exact"/>
        <w:rPr>
          <w:rFonts w:ascii="Times New Roman" w:cs="Times New Roman" w:eastAsia="Times New Roman" w:hAnsi="Times New Roman"/>
          <w:sz w:val="18"/>
          <w:szCs w:val="18"/>
          <w:color w:val="auto"/>
        </w:rPr>
      </w:pPr>
    </w:p>
    <w:p>
      <w:pPr>
        <w:ind w:left="720" w:right="159" w:hanging="319"/>
        <w:spacing w:after="0" w:line="258"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or perceived lack of sufficient clinical evidence, including long-term data, supporting safety or clinical benefits; and</w:t>
      </w:r>
    </w:p>
    <w:p>
      <w:pPr>
        <w:ind w:left="720" w:right="319" w:hanging="319"/>
        <w:spacing w:after="0" w:line="260" w:lineRule="auto"/>
        <w:tabs>
          <w:tab w:leader="none" w:pos="7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commitment and skill development that may be required to gain familiarity and proficiency with our products.</w:t>
      </w:r>
    </w:p>
    <w:p>
      <w:pPr>
        <w:spacing w:after="0" w:line="195" w:lineRule="exact"/>
        <w:rPr>
          <w:sz w:val="20"/>
          <w:szCs w:val="20"/>
          <w:color w:val="auto"/>
        </w:rPr>
      </w:pPr>
    </w:p>
    <w:p>
      <w:pPr>
        <w:jc w:val="both"/>
        <w:ind w:left="60" w:right="59" w:firstLine="360"/>
        <w:spacing w:after="0" w:line="261" w:lineRule="auto"/>
        <w:rPr>
          <w:sz w:val="20"/>
          <w:szCs w:val="20"/>
          <w:color w:val="auto"/>
        </w:rPr>
      </w:pPr>
      <w:r>
        <w:rPr>
          <w:rFonts w:ascii="Times New Roman" w:cs="Times New Roman" w:eastAsia="Times New Roman" w:hAnsi="Times New Roman"/>
          <w:sz w:val="18"/>
          <w:szCs w:val="18"/>
          <w:color w:val="auto"/>
        </w:rPr>
        <w:t>Physicians play a significant role in determining the type of treatment that will be utilized and provided to a patient. We focus our sales, marketing and education efforts primarily on cardiac electrophysiologists, and aim to educate referring physicians regarding the patient population that would benefit from our products. However, we cannot assure you that we will achieve broad market acceptance among these practitioners.</w:t>
      </w:r>
    </w:p>
    <w:p>
      <w:pPr>
        <w:spacing w:after="0" w:line="180" w:lineRule="exact"/>
        <w:rPr>
          <w:sz w:val="20"/>
          <w:szCs w:val="20"/>
          <w:color w:val="auto"/>
        </w:rPr>
      </w:pPr>
    </w:p>
    <w:p>
      <w:pPr>
        <w:jc w:val="both"/>
        <w:ind w:left="60" w:right="59" w:firstLine="363"/>
        <w:spacing w:after="0" w:line="253" w:lineRule="auto"/>
        <w:rPr>
          <w:sz w:val="20"/>
          <w:szCs w:val="20"/>
          <w:color w:val="auto"/>
        </w:rPr>
      </w:pPr>
      <w:r>
        <w:rPr>
          <w:rFonts w:ascii="Times New Roman" w:cs="Times New Roman" w:eastAsia="Times New Roman" w:hAnsi="Times New Roman"/>
          <w:sz w:val="18"/>
          <w:szCs w:val="18"/>
          <w:color w:val="auto"/>
        </w:rPr>
        <w:t>For example, if electrophysiologists are not made aware of our products, they may not recommend ablation for their patients or the use of our product in their hospitals. In addition, some physicians may choose to utilize our products on only a subset of their total patient population or may not adopt our products at all. If we are not able to effectively demonstrate that the use of our products is beneficial in a broad range of patients, adoption of our products will be limited and may not occur as rapidly as we anticipate or at all, which would have a material adverse effect on our business, financial condition and results of operations. We cannot assure you that our products will achieve broad market acceptance among hospitals and physicians. Additionally, even if our products achieve market acceptance, they may not maintain that market acceptance over time if competing products, procedures or technologies are considered safer or more cost-effective or otherwise superior. Any failure of our products to generate sufficient demand or to achieve meaningful market acceptance and penetration will harm our future prospects and have a material adverse effect on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363"/>
        <w:spacing w:after="0" w:line="258" w:lineRule="auto"/>
        <w:rPr>
          <w:sz w:val="20"/>
          <w:szCs w:val="20"/>
          <w:color w:val="auto"/>
        </w:rPr>
      </w:pPr>
      <w:r>
        <w:rPr>
          <w:rFonts w:ascii="Times New Roman" w:cs="Times New Roman" w:eastAsia="Times New Roman" w:hAnsi="Times New Roman"/>
          <w:sz w:val="18"/>
          <w:szCs w:val="18"/>
          <w:color w:val="auto"/>
        </w:rPr>
        <w:t>Our reputation among our current or potential customers, as well as among electrophysiologists, could also be negatively affected by safety or customer satisfaction issues involving us or our products, including product recalls. Future product recalls or other safety or customer satisfaction issues relating to our reputation could negatively affect our ability to establish or maintain broad adoption of our products, which could harm our future prospects and have a material adverse effect on our business, financial condition and results of operations.</w:t>
      </w:r>
    </w:p>
    <w:p>
      <w:pPr>
        <w:spacing w:after="0" w:line="183" w:lineRule="exact"/>
        <w:rPr>
          <w:sz w:val="20"/>
          <w:szCs w:val="20"/>
          <w:color w:val="auto"/>
        </w:rPr>
      </w:pPr>
    </w:p>
    <w:p>
      <w:pPr>
        <w:jc w:val="both"/>
        <w:ind w:left="60" w:right="59" w:firstLine="363"/>
        <w:spacing w:after="0" w:line="258" w:lineRule="auto"/>
        <w:rPr>
          <w:sz w:val="20"/>
          <w:szCs w:val="20"/>
          <w:color w:val="auto"/>
        </w:rPr>
      </w:pPr>
      <w:r>
        <w:rPr>
          <w:rFonts w:ascii="Times New Roman" w:cs="Times New Roman" w:eastAsia="Times New Roman" w:hAnsi="Times New Roman"/>
          <w:sz w:val="18"/>
          <w:szCs w:val="18"/>
          <w:color w:val="auto"/>
        </w:rPr>
        <w:t>In the United States, before a hospital can purchase our product for the first time, our system must be approved for use by a hospital’s new product or value analysis committee, or the staff of a hospital or health system. Such approvals could deter or delay the use of our products by physicians. We cannot provide assurance that our efforts to obtain such approvals or generate adoption will be successful or increase the use of our products, and if we are not successful, it could have a material adverse effect on our business, financial condition and results of operations.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The size of the markets for our products may be smaller than estimated, limiting our ability to successfully sell our products.</w:t>
      </w:r>
    </w:p>
    <w:p>
      <w:pPr>
        <w:spacing w:after="0" w:line="241" w:lineRule="exact"/>
        <w:rPr>
          <w:sz w:val="20"/>
          <w:szCs w:val="20"/>
          <w:color w:val="auto"/>
        </w:rPr>
      </w:pPr>
    </w:p>
    <w:p>
      <w:pPr>
        <w:jc w:val="both"/>
        <w:ind w:left="60" w:right="59" w:firstLine="360"/>
        <w:spacing w:after="0" w:line="254" w:lineRule="auto"/>
        <w:rPr>
          <w:sz w:val="20"/>
          <w:szCs w:val="20"/>
          <w:color w:val="auto"/>
        </w:rPr>
      </w:pPr>
      <w:r>
        <w:rPr>
          <w:rFonts w:ascii="Times New Roman" w:cs="Times New Roman" w:eastAsia="Times New Roman" w:hAnsi="Times New Roman"/>
          <w:sz w:val="18"/>
          <w:szCs w:val="18"/>
          <w:color w:val="auto"/>
        </w:rPr>
        <w:t>Our estimates of the total addressable markets for our current products and products under development are based on a number of internal and third-party estimates, including, without limitation, the number of patients with cardiac arrhythmias and the assumed prices at which we can sell our products in markets that have not been established or that we have not yet entered. While we believe our assumptions and the data underlying our estimates are reasonable, these assumptions and estimates may not be correct and the conditions supporting our assumptions or estimates may change at any time, thereby reducing the predictive accuracy of these estimates. As a result, our estimates of the total addressable market for our current or future products may prove to be incorrect. If the actual number of patients who would benefit from our products, the price at which we can sell products or the total addressable market for our products is smaller than we have estimated, it may impair our sales growth and have an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the third parties with whom we work experience disruption in our information technology systems, data, or security incidents, our business could be adversely affected, including our ability to operate, the loss of confidential and proprietary information, increased remediation costs, and reputational damage.</w:t>
      </w:r>
    </w:p>
    <w:p>
      <w:pPr>
        <w:spacing w:after="0" w:line="175"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the third parties with whom we work, including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attacks enhanced or facilitated by AI, supply-chain attacks, supply-chain attacks, employee theft or misuse, denial-of-service attacks and sophisticated nation-state and nation-state supported actors now engage in attacks, including advanced persistent threat intrusions 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200" w:lineRule="exact"/>
        <w:rPr>
          <w:sz w:val="20"/>
          <w:szCs w:val="20"/>
          <w:color w:val="auto"/>
        </w:rPr>
      </w:pPr>
    </w:p>
    <w:p>
      <w:pPr>
        <w:spacing w:after="0" w:line="21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Despite our efforts to create security barriers to such threats, it is virtually impossible for us to entirely mitigate these risks.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 For example, we have been the target of unsuccessful phishing attempts in the past, and expect such attempts will continue in the future.</w:t>
      </w:r>
    </w:p>
    <w:p>
      <w:pPr>
        <w:spacing w:after="0" w:line="190"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our employees, customers and others, any of which could have a material adverse effect on our business, reputation, financial condition and results of operations. Certain data privacy and security obligations have required us to implement and maintain specific security measures or industry-standard or reasonable security measures to protect our information technology systems and sensitive information.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254"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Our contracts may not contain limitations of liability, and even where they do, there can be no assurance that limitations of liability in our contracts are sufficient to protect us from liabilities, damages, or claims related to our data privacy and security obligations.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200" w:lineRule="exact"/>
        <w:rPr>
          <w:sz w:val="20"/>
          <w:szCs w:val="20"/>
          <w:color w:val="auto"/>
        </w:rPr>
      </w:pPr>
    </w:p>
    <w:p>
      <w:pPr>
        <w:spacing w:after="0" w:line="20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In addition, U.S. and international laws and regulations that have been applied to protect user privacy (including laws regarding unfair and deceptive practices in the U.S. and the GDPR in the European Union) may be subject to evolving interpretations or applications. Furthermore, defending a suit, regardless of its merit, could be costly, divert management’s attention and harm our reputation. In addition, although we seek to detect and investigate data security incidents, security breaches and other incidents of unauthorized access to our information technology systems and data can be difficult to detect and any delay in identifying such breaches or incidents may lead to increased harm and legal exposure.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common stock.</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We may not in the future, however, detect and remediate all such vulnerabilities including on a timely basis. Further, we have and may in the future experience delays in developing and deploying remedial measures and patches designed to address identified vulnerabilities. The inability to implement, maintain and upgrade adequate safeguards could have a material adverse effect on our business, financial condition, results of operations and prospects.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anticipated growth effectively.</w:t>
      </w:r>
    </w:p>
    <w:p>
      <w:pPr>
        <w:spacing w:after="0" w:line="229"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December 31, 2025, we had 41 employees. To execute our anticipated growth successfully, we must continue to attract and retain qualified personnel and manage and train them effectively. Developing and commercializing the ablation technology will require us to hire and retain scientific, sales and marketing, software, manufacturing, customer service, distribution and quality assurance personnel. In addition, we expect that we will need to hire additional accounting, finance and other personnel as a public company. As a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63"/>
        <w:spacing w:after="0" w:line="266" w:lineRule="auto"/>
        <w:rPr>
          <w:sz w:val="20"/>
          <w:szCs w:val="20"/>
          <w:color w:val="auto"/>
        </w:rPr>
      </w:pPr>
      <w:r>
        <w:rPr>
          <w:rFonts w:ascii="Times New Roman" w:cs="Times New Roman" w:eastAsia="Times New Roman" w:hAnsi="Times New Roman"/>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76" w:lineRule="exact"/>
        <w:rPr>
          <w:sz w:val="20"/>
          <w:szCs w:val="20"/>
          <w:color w:val="auto"/>
        </w:rPr>
      </w:pPr>
    </w:p>
    <w:p>
      <w:pPr>
        <w:jc w:val="both"/>
        <w:ind w:left="60" w:right="59" w:firstLine="363"/>
        <w:spacing w:after="0" w:line="256" w:lineRule="auto"/>
        <w:rPr>
          <w:sz w:val="20"/>
          <w:szCs w:val="20"/>
          <w:color w:val="auto"/>
        </w:rPr>
      </w:pPr>
      <w:r>
        <w:rPr>
          <w:rFonts w:ascii="Times New Roman" w:cs="Times New Roman" w:eastAsia="Times New Roman" w:hAnsi="Times New Roman"/>
          <w:sz w:val="18"/>
          <w:szCs w:val="18"/>
          <w:color w:val="auto"/>
        </w:rPr>
        <w:t>Our ability to successfully transition from a largely development stage company to a full scale commercial operation is uncertain given the fact that we have been in operation since 2011.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financial condition, results of operations, and prospects could be harmed.</w:t>
      </w:r>
    </w:p>
    <w:p>
      <w:pPr>
        <w:spacing w:after="0" w:line="183"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companies or technologies, or form strategic partnerships with other companies, which could divert our management’s attention, increase our capital requirements, and otherwise disrupt our operations, subject us to other risks and harm our operating results.</w:t>
      </w:r>
    </w:p>
    <w:p>
      <w:pPr>
        <w:spacing w:after="0" w:line="175" w:lineRule="exact"/>
        <w:rPr>
          <w:sz w:val="20"/>
          <w:szCs w:val="20"/>
          <w:color w:val="auto"/>
        </w:rPr>
      </w:pPr>
    </w:p>
    <w:p>
      <w:pPr>
        <w:jc w:val="both"/>
        <w:ind w:left="60" w:right="59" w:firstLine="360"/>
        <w:spacing w:after="0" w:line="256"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applications or technologies that we believe could complement or expand our ablation technology product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200" w:lineRule="exact"/>
        <w:rPr>
          <w:sz w:val="20"/>
          <w:szCs w:val="20"/>
          <w:color w:val="auto"/>
        </w:rPr>
      </w:pPr>
    </w:p>
    <w:p>
      <w:pPr>
        <w:spacing w:after="0" w:line="203" w:lineRule="exact"/>
        <w:rPr>
          <w:sz w:val="20"/>
          <w:szCs w:val="20"/>
          <w:color w:val="auto"/>
        </w:rPr>
      </w:pPr>
    </w:p>
    <w:p>
      <w:pPr>
        <w:jc w:val="both"/>
        <w:ind w:left="60" w:right="59" w:firstLine="360"/>
        <w:spacing w:after="0" w:line="256" w:lineRule="auto"/>
        <w:rPr>
          <w:sz w:val="20"/>
          <w:szCs w:val="20"/>
          <w:color w:val="auto"/>
        </w:rPr>
      </w:pPr>
      <w:r>
        <w:rPr>
          <w:rFonts w:ascii="Times New Roman" w:cs="Times New Roman" w:eastAsia="Times New Roman" w:hAnsi="Times New Roman"/>
          <w:sz w:val="18"/>
          <w:szCs w:val="18"/>
          <w:color w:val="auto"/>
        </w:rPr>
        <w:t>To date, the growth of our operations has been organic, and 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recruit and retain key executives and scientists, we may be unable to achieve our goals.</w:t>
      </w:r>
    </w:p>
    <w:p>
      <w:pPr>
        <w:spacing w:after="0" w:line="229" w:lineRule="exact"/>
        <w:rPr>
          <w:sz w:val="20"/>
          <w:szCs w:val="20"/>
          <w:color w:val="auto"/>
        </w:rPr>
      </w:pPr>
    </w:p>
    <w:p>
      <w:pPr>
        <w:jc w:val="both"/>
        <w:ind w:left="60" w:right="59" w:firstLine="360"/>
        <w:spacing w:after="0" w:line="261" w:lineRule="auto"/>
        <w:rPr>
          <w:sz w:val="20"/>
          <w:szCs w:val="20"/>
          <w:color w:val="auto"/>
        </w:rPr>
      </w:pPr>
      <w:r>
        <w:rPr>
          <w:rFonts w:ascii="Times New Roman" w:cs="Times New Roman" w:eastAsia="Times New Roman" w:hAnsi="Times New Roman"/>
          <w:sz w:val="18"/>
          <w:szCs w:val="18"/>
          <w:color w:val="auto"/>
        </w:rPr>
        <w:t>Our success depends largely on the continued services of key members of our executive management team and others in key management positions. We do not currently maintain key person life insurance policies on any of our employees. If we lose one or more key employees, we may experience difficulties in competing effectively, developing our technologies and implementing our business strategy.</w:t>
      </w:r>
    </w:p>
    <w:p>
      <w:pPr>
        <w:spacing w:after="0" w:line="180"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In addition, our research and development programs, clinical operations and sales and marketing efforts depend on our ability to attract and retain highly skilled scientists, engineers and sales professionals. Competition for skilled personnel in our market is intense, and we have from time to time experienced, and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we fail to attract new personnel or fail to retain and motivate our current personnel, our business and future growth prospects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Consolidation in the medical device industry could have an adverse effect on our revenue and results of operations.</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Many medical device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negotiate price concessions or reductions for their products. If we reduce our prices because of consolidation in the medical device industry, our revenue would decrease, which could have a material adverse effect on our business, financial condition and results of operations.</w:t>
      </w:r>
    </w:p>
    <w:p>
      <w:pPr>
        <w:spacing w:after="0" w:line="400" w:lineRule="exact"/>
        <w:rPr>
          <w:sz w:val="20"/>
          <w:szCs w:val="20"/>
          <w:color w:val="auto"/>
        </w:rPr>
      </w:pPr>
    </w:p>
    <w:p>
      <w:pPr>
        <w:jc w:val="both"/>
        <w:ind w:left="60" w:right="7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Unfavorable U.S. or global economic conditions as a result of a pandemic, political instability, natural disasters, or otherwise, could adversely affect our ability to raise capital and our business, financial condition and results of operations.</w:t>
      </w:r>
    </w:p>
    <w:p>
      <w:pPr>
        <w:spacing w:after="0" w:line="136" w:lineRule="exact"/>
        <w:rPr>
          <w:sz w:val="20"/>
          <w:szCs w:val="20"/>
          <w:color w:val="auto"/>
        </w:rPr>
      </w:pPr>
    </w:p>
    <w:p>
      <w:pPr>
        <w:jc w:val="both"/>
        <w:ind w:left="60" w:right="59" w:firstLine="360"/>
        <w:spacing w:after="0" w:line="252"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Unfavorable conditions in the economy both in the United States and abroad, including conditions resulting from changes in gross domestic product growth in the United States or abroad, financial and credit market fluctuations, inflation, fluctuating interest rates, international tariff policies, trade wars and other concerns regarding international trade relations, political turmoil, natural catastrophes, outbreaks of contagious diseases, geopolitical tensions, warfare and terrorist attacks, could cause a decrease in business investments, disrupt the timing and cadence of key industry events, and negatively affect the growth of our business and our results of operations. For example, the COVID-19 pandemic adversely affected workforces, economies and financial markets globally, leading to a reduction in the ability of, or the inability of, partners, suppliers, vendors or other parties to meet their contractual obligations, and for a period of time, a reduction in customer spending on technology, and such conditions may reoccur in the future.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191"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common stock.</w:t>
      </w:r>
    </w:p>
    <w:p>
      <w:pPr>
        <w:spacing w:after="0" w:line="175"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common stock.</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facilities become unavailable or inoperable, our research and development program and commercialization launch plan could be adversely affected, which could materially and adversely impact our business, financial condition and results of operations.</w:t>
      </w:r>
    </w:p>
    <w:p>
      <w:pPr>
        <w:spacing w:after="0" w:line="175"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currently maintain our research, development, manufacturing and administrative operations in a building located in Laguna Hills, California, and we do not have redundant facilities. Should our building be significantly damaged or destroyed by natural or man-made disasters, such as earthquakes, fires (both of which are prevalent in California) or other events, it could take months to relocate or rebuild, during which time our employees may seek other positions, our research, development and manufacturing would cease or be delayed and our products may be unavailable. Because of the time required to authorize manufacturing in a new facility under federal, state and non-U.S. regulatory requirements, we may not be able to resume production on a timely basis even if we were able to replace production capacity. While we maintain property and business interruption insurance, such insurance has limits and would not cover all damages, including losses caused by earthquakes or losses we may suffer due to our products being replaced by competitors’ products. If our facilities become inoperable, the inability to perform our research, development and manufacturing activities, combined with our limited inventory of materials and components and manufactured products, may cause physicians to discontinue using our products or harm our reputation, and we may be unable to re-establish relationships with such physicians in the future. Consequently, a catastrophic event at our current facility or any future facilities could have a material adverse effect on our business, financial condition and results of operations.</w:t>
      </w:r>
    </w:p>
    <w:p>
      <w:pPr>
        <w:spacing w:after="0" w:line="200" w:lineRule="exact"/>
        <w:rPr>
          <w:sz w:val="20"/>
          <w:szCs w:val="20"/>
          <w:color w:val="auto"/>
        </w:rPr>
      </w:pPr>
    </w:p>
    <w:p>
      <w:pPr>
        <w:spacing w:after="0" w:line="20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59" w:lineRule="exact"/>
        <w:rPr>
          <w:sz w:val="20"/>
          <w:szCs w:val="20"/>
          <w:color w:val="auto"/>
        </w:rPr>
      </w:pPr>
    </w:p>
    <w:p>
      <w:pPr>
        <w:jc w:val="both"/>
        <w:ind w:left="60" w:right="59" w:firstLine="360"/>
        <w:spacing w:after="0" w:line="255" w:lineRule="auto"/>
        <w:rPr>
          <w:sz w:val="20"/>
          <w:szCs w:val="20"/>
          <w:color w:val="auto"/>
        </w:rPr>
      </w:pPr>
      <w:r>
        <w:rPr>
          <w:rFonts w:ascii="Times New Roman" w:cs="Times New Roman" w:eastAsia="Times New Roman" w:hAnsi="Times New Roman"/>
          <w:sz w:val="18"/>
          <w:szCs w:val="18"/>
          <w:color w:val="auto"/>
        </w:rPr>
        <w:t>Our research and development processes and manufacturing involve the controlled use of hazardous materials, including select chemicals that may be flammable, toxic or corrosive. We do not currently have research processes involving biohazard materials. We cannot eliminate the risk of accidental contamination or discharge and any resultant injury from these materials. In addition, the products involve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200" w:lineRule="exact"/>
        <w:rPr>
          <w:sz w:val="20"/>
          <w:szCs w:val="20"/>
          <w:color w:val="auto"/>
        </w:rPr>
      </w:pPr>
    </w:p>
    <w:p>
      <w:pPr>
        <w:spacing w:after="0" w:line="201"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International trade policies, including tariffs, sanctions and trade barriers may adversely affect our business, financial condition, results of operations and prospects</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operate in a global economy, and our business depends on a global supply chain for the development, manufacturing, and distribution of our products, and for the advancement of our preclinical and clinical development programs. There is inherent risk, based on the complex relationships among the United States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For example, in February 2026, the United States Supreme Court (SCOTUS) invalidated certain tariffs imposed by the U.S. government under emergency statutory authority in 2025. Shortly thereafter, President Trump signed an executive order implementing a new 10% global tariff pursuant to an alternative statutory authority, which may be raised up to 15%. It remains unclear whether and to what extent duties previously collected under the invalidated tariffs will be refunded, whether refunds will be subject to administrative or judicial processes, or whether offsets or alternative measures may be imposed. This evolving legal and policy landscape have contributed to continued volatility in the trade environment.</w:t>
      </w:r>
    </w:p>
    <w:p>
      <w:pPr>
        <w:spacing w:after="0" w:line="190" w:lineRule="exact"/>
        <w:rPr>
          <w:sz w:val="20"/>
          <w:szCs w:val="20"/>
          <w:color w:val="auto"/>
        </w:rPr>
      </w:pPr>
    </w:p>
    <w:p>
      <w:pPr>
        <w:jc w:val="both"/>
        <w:ind w:left="60" w:right="59" w:firstLine="324"/>
        <w:spacing w:after="0" w:line="281" w:lineRule="auto"/>
        <w:rPr>
          <w:sz w:val="20"/>
          <w:szCs w:val="20"/>
          <w:color w:val="auto"/>
        </w:rPr>
      </w:pPr>
      <w:r>
        <w:rPr>
          <w:rFonts w:ascii="Times New Roman" w:cs="Times New Roman" w:eastAsia="Times New Roman" w:hAnsi="Times New Roman"/>
          <w:sz w:val="17"/>
          <w:szCs w:val="17"/>
          <w:color w:val="auto"/>
        </w:rPr>
        <w:t>We source some materials from international suppliers, with reliance on foreign manufacturers, including China. Tariff policies, particularly those affecting China, could materially increase our costs and reduce our profitability, including as a result of our inability to adjust pricing in formulary-based markets. Recent and potential future changes in international trade policies, particularly regarding U.S. China trade relations present risks to our operations and financial performance.</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Unlike many industries, our ability to pass increased costs to customers may be limited by the structure of medical device pricing and reimbursement systems. In many cases, pricing of medical devices are established through annual or multi-year contracts with commercial, third-party payors, customers, and group purchasing organizations, and reimbursement methodologies established by government programs, such as Medicare. These arrangements typically include fixed pricing terms. As a result, and depending on the timing and scope of our future commercialization and the implementation of any future tariffs, cost increases due to tariffs may be difficult or impossible to pass through to customers until the next negotiation cycle.</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Current or future tariffs will also result in increased research and development expenses, including with respect to increased costs associated with raw materials, equipment and research materials and components.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and could reduce investor confidence and negatively impact our business, results of operations, financial condition and growth prospects.</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complexity of announced or future tariffs may also increase the risk that we or our customers or suppliers may be subject to civil or criminal enforcement actions in the United States or foreign jurisdictions related to compliance with trade regulations. Foreign governments may also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spacing w:after="0" w:line="19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in our 2024 Annual Report.</w:t>
      </w:r>
    </w:p>
    <w:p>
      <w:pPr>
        <w:spacing w:after="0" w:line="184"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prioritization initiative may not achieve our intended outcome and may result in significant adverse consequences.</w:t>
      </w:r>
    </w:p>
    <w:p>
      <w:pPr>
        <w:spacing w:after="0" w:line="15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February 2025, we implemented a corporate prioritization initiative focusing all resources on the FULCRUM-VT clinical trial activities and our new product design optimization program. This corporate prioritization initiative may result in unintended consequences and costs, such as the loss of institutional knowledge and expertise, attrition beyond the intended number of employees, decreased morale among our remaining employees, and the risk that we may not achieve the anticipated benefits of the corporate prioritization initiative. If we are unable to realize the anticipated benefits from the corporate prioritization initiative, or if we experience significant adverse consequences from the corporate prioritization initiative, our business, financial condition, and results of operations may be materially adversely affected</w:t>
      </w:r>
      <w:r>
        <w:rPr>
          <w:rFonts w:ascii="Times New Roman" w:cs="Times New Roman" w:eastAsia="Times New Roman" w:hAnsi="Times New Roman"/>
          <w:sz w:val="18"/>
          <w:szCs w:val="18"/>
          <w:b w:val="1"/>
          <w:bCs w:val="1"/>
          <w:i w:val="1"/>
          <w:iCs w:val="1"/>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Products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clinical trials are unsuccessful or significantly delayed, or if we do not complete our clinical trials, our business may be harmed.</w:t>
      </w:r>
    </w:p>
    <w:p>
      <w:pPr>
        <w:spacing w:after="0" w:line="159" w:lineRule="exact"/>
        <w:rPr>
          <w:sz w:val="20"/>
          <w:szCs w:val="20"/>
          <w:color w:val="auto"/>
        </w:rPr>
      </w:pPr>
    </w:p>
    <w:p>
      <w:pPr>
        <w:jc w:val="both"/>
        <w:ind w:left="60" w:right="59" w:firstLine="360"/>
        <w:spacing w:after="0" w:line="256" w:lineRule="auto"/>
        <w:rPr>
          <w:sz w:val="20"/>
          <w:szCs w:val="20"/>
          <w:color w:val="auto"/>
        </w:rPr>
      </w:pPr>
      <w:r>
        <w:rPr>
          <w:rFonts w:ascii="Times New Roman" w:cs="Times New Roman" w:eastAsia="Times New Roman" w:hAnsi="Times New Roman"/>
          <w:sz w:val="18"/>
          <w:szCs w:val="18"/>
          <w:color w:val="auto"/>
        </w:rPr>
        <w:t>Clinical development is a long, expensive and uncertain process and is subject to delays and the risk that products may ultimately prove unsafe or ineffective in treating the indications for which they are designed. Completion of clinical trials may take several years or more. Clinical trials can be delayed for a variety of reasons, including delays in obtaining regulatory approval to commence a trial, in reaching an agreement on acceptable clinical trial terms with prospective sites, in obtaining institutional review board (“IRB”) approval at each site, in recruiting patients to participate in a trial or in obtaining sufficient supplies of clinical trial materials.</w:t>
      </w:r>
    </w:p>
    <w:p>
      <w:pPr>
        <w:spacing w:after="0" w:line="187"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In September 2023, we announced the first Ventricular Tachycardia (“VT”) ULTA procedure performed using the Adagio VT Cryoablation System in the United States as part of the FULCRUM-VT early feasibility (“EFS IDE”) clinical trial. Delays in the completion of these and other clinical testing could significantly affect our product development costs. The completion of clinical trials can be delayed for a number of reasons, including delays related to: inability to enroll sufficient numbers of study subjects in a timely manner; unexpected or serious adverse effects related to our medical device candidate experienced by patients in a clinical trial; and retaining patients who have initiated a clinical trial, but may withdraw due to treatment protocol, adverse effects from the therapy, lack of effectiveness from the treatment or personal issues or who may not return for a sufficient number of post-operative visits. Clinical trials may also be delayed, suspended or terminated as a result of ambiguous or negative interim results, or results that are inconsistent with earlier results. In addition, a clinical trial may be suspended or terminated by us, the FDA, other regulatory authorities, or other numerous unforeseen factors or events during or because of the clinical trial process, including:</w:t>
      </w:r>
    </w:p>
    <w:p>
      <w:pPr>
        <w:spacing w:after="0" w:line="200" w:lineRule="exact"/>
        <w:rPr>
          <w:sz w:val="20"/>
          <w:szCs w:val="20"/>
          <w:color w:val="auto"/>
        </w:rPr>
      </w:pPr>
    </w:p>
    <w:p>
      <w:pPr>
        <w:spacing w:after="0" w:line="208" w:lineRule="exact"/>
        <w:rPr>
          <w:sz w:val="20"/>
          <w:szCs w:val="20"/>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or our clinical protocols;</w:t>
      </w:r>
    </w:p>
    <w:p>
      <w:pPr>
        <w:spacing w:after="0" w:line="27" w:lineRule="exact"/>
        <w:rPr>
          <w:rFonts w:ascii="Times New Roman" w:cs="Times New Roman" w:eastAsia="Times New Roman" w:hAnsi="Times New Roman"/>
          <w:sz w:val="18"/>
          <w:szCs w:val="18"/>
          <w:color w:val="auto"/>
        </w:rPr>
      </w:pPr>
    </w:p>
    <w:p>
      <w:pPr>
        <w:ind w:left="720" w:right="179" w:hanging="319"/>
        <w:spacing w:after="0" w:line="258"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in our clinical trials may be slower than we anticipate, or we may experience high screen failure rates in our clinical trials, resulting in significant delays;</w:t>
      </w:r>
    </w:p>
    <w:p>
      <w:pPr>
        <w:ind w:left="720" w:right="579" w:hanging="319"/>
        <w:spacing w:after="0" w:line="255"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produce negative or inconclusive results, and we may decide, or regulators may require us, to conduct additional clinical and/or preclinical testing which may be expensive and time-consuming;</w:t>
      </w:r>
    </w:p>
    <w:p>
      <w:pPr>
        <w:spacing w:after="0" w:line="1" w:lineRule="exact"/>
        <w:rPr>
          <w:rFonts w:ascii="Times New Roman" w:cs="Times New Roman" w:eastAsia="Times New Roman" w:hAnsi="Times New Roman"/>
          <w:sz w:val="18"/>
          <w:szCs w:val="18"/>
          <w:color w:val="auto"/>
        </w:rPr>
      </w:pPr>
    </w:p>
    <w:p>
      <w:pPr>
        <w:ind w:left="720" w:right="659" w:hanging="319"/>
        <w:spacing w:after="0" w:line="250"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results may not meet the level of statistical significance required by the FDA or other regulatory authorities;</w:t>
      </w:r>
    </w:p>
    <w:p>
      <w:pPr>
        <w:ind w:left="720" w:right="979" w:hanging="319"/>
        <w:spacing w:after="0" w:line="258"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similar foreign regulatory authorities may find the product is not sufficiently safe for investigational use in humans;</w:t>
      </w:r>
    </w:p>
    <w:p>
      <w:pPr>
        <w:ind w:left="720" w:right="439" w:hanging="319"/>
        <w:spacing w:after="0" w:line="258"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similar foreign regulatory authorities may interpret data from preclinical testing and clinical trials in different ways than we do;</w:t>
      </w:r>
    </w:p>
    <w:p>
      <w:pPr>
        <w:ind w:left="720" w:right="419" w:hanging="319"/>
        <w:spacing w:after="0" w:line="258"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delays or failure in obtaining approval of our clinical trial protocols from the FDA or other regulatory authorities;</w:t>
      </w:r>
    </w:p>
    <w:p>
      <w:pPr>
        <w:ind w:left="720" w:right="579" w:hanging="319"/>
        <w:spacing w:after="0" w:line="258"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delays in obtaining IRB approvals or governmental approvals to conduct clinical trials at prospective sites;</w:t>
      </w:r>
    </w:p>
    <w:p>
      <w:pPr>
        <w:ind w:left="720" w:right="159" w:hanging="319"/>
        <w:spacing w:after="0" w:line="258"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similar foreign regulatory authorities may find our or our suppliers’ manufacturing processes or facilities unsatisfactory;</w:t>
      </w:r>
    </w:p>
    <w:p>
      <w:pPr>
        <w:ind w:left="720" w:right="139" w:hanging="319"/>
        <w:spacing w:after="0" w:line="255"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similar foreign regulatory authorities may change their review policies or adopt new regulations that may negatively affect or delay our ability to bring a product to market or receive approvals or clearances to treat new indications;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trouble in managing multiple clinical sites;</w:t>
      </w:r>
    </w:p>
    <w:p>
      <w:pPr>
        <w:spacing w:after="0" w:line="22" w:lineRule="exact"/>
        <w:rPr>
          <w:rFonts w:ascii="Times New Roman" w:cs="Times New Roman" w:eastAsia="Times New Roman" w:hAnsi="Times New Roman"/>
          <w:sz w:val="18"/>
          <w:szCs w:val="18"/>
          <w:color w:val="auto"/>
        </w:rPr>
      </w:pPr>
    </w:p>
    <w:p>
      <w:pPr>
        <w:ind w:left="720" w:right="219" w:hanging="319"/>
        <w:spacing w:after="0" w:line="276" w:lineRule="auto"/>
        <w:tabs>
          <w:tab w:leader="none" w:pos="7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agreeing on acceptable terms with third-party research organizations and trial sites that may help us conduct the clinical trials; and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39" w:hanging="319"/>
        <w:spacing w:after="0" w:line="258" w:lineRule="auto"/>
        <w:tabs>
          <w:tab w:leader="none" w:pos="7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regulators, may suspend or terminate our clinical trials because the participating patients are being exposed to unacceptable health or safety risks, such as the death of a patient in our iCLAS IDE trial for a former product candidate that we are no longer pursuing, in October 2021, which caused our to voluntarily pause the study for six months (between November 2021 and April 2022) in order to investigate and take corrective actions and obtain FDA approval to resume the study.</w:t>
      </w:r>
    </w:p>
    <w:p>
      <w:pPr>
        <w:spacing w:after="0" w:line="197" w:lineRule="exact"/>
        <w:rPr>
          <w:sz w:val="20"/>
          <w:szCs w:val="20"/>
          <w:color w:val="auto"/>
        </w:rPr>
      </w:pPr>
    </w:p>
    <w:p>
      <w:pPr>
        <w:jc w:val="both"/>
        <w:ind w:left="60" w:right="59" w:firstLine="360"/>
        <w:spacing w:after="0" w:line="261" w:lineRule="auto"/>
        <w:rPr>
          <w:sz w:val="20"/>
          <w:szCs w:val="20"/>
          <w:color w:val="auto"/>
        </w:rPr>
      </w:pPr>
      <w:r>
        <w:rPr>
          <w:rFonts w:ascii="Times New Roman" w:cs="Times New Roman" w:eastAsia="Times New Roman" w:hAnsi="Times New Roman"/>
          <w:sz w:val="18"/>
          <w:szCs w:val="18"/>
          <w:color w:val="auto"/>
        </w:rPr>
        <w:t>Delays in clinical development or delays in our ability to achieve regulatory clearance or approval, if at all, may impact the costs, timing or successful completion of a clinical trial. Moreover, failures or perceived failures in our clinical trials will delay and may prevent our product development and regulatory clearance or approval process, damage our business prospects and negatively affect our reputation and competitive position.</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limited data and experience regarding the safety and efficacy of our products. Results of earlier trials may not be predictive of future clinical trial results, and planned trials may not establish an adequate safety or efficacy profile for such products and other planned or future products, which would affect market acceptance of these products.</w:t>
      </w:r>
    </w:p>
    <w:p>
      <w:pPr>
        <w:spacing w:after="0" w:line="175"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have performed clinical trials with only limited patient populations. The long-term effects of using our products in a large number of patients has not been studied and the results of short-term clinical use of such products do not necessarily predict long-term clinical benefits or reveal long-term adverse effects. The results of clinical trials of our products conducted to date and ongoing or future trials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other patient populations. In addition, preclinical and clinical data are often susceptible to various interpretations and analyses, and many companies that have believed their products performed satisfactorily in preclinical studies and earlier clinical trials have nonetheless failed to replicate such results in later clinical trials and subsequently failed to obtain marketing approval. Products in later stages of clinical trials may fail to show the desired safety and efficacy despite having progressed through nonclinical studies and earlier clinical trials.</w:t>
      </w:r>
    </w:p>
    <w:p>
      <w:pPr>
        <w:spacing w:after="0" w:line="200" w:lineRule="exact"/>
        <w:rPr>
          <w:sz w:val="20"/>
          <w:szCs w:val="20"/>
          <w:color w:val="auto"/>
        </w:rPr>
      </w:pPr>
    </w:p>
    <w:p>
      <w:pPr>
        <w:spacing w:after="0" w:line="204"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the commercialization of our products, if approved, if we fail to establish relationships and successfully collaborate with leading life science companies and research institutions or if we are unable to establish effective distribution channels and sales and marketing functions.</w:t>
      </w:r>
    </w:p>
    <w:p>
      <w:pPr>
        <w:spacing w:after="0" w:line="175"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have limited sales and marketing experience. If we are unable to establish effective sales and marketing capabilities, we may not be able to effectively commercialize any of our products, generate product revenue, sustain revenue growth and compete effectively. Should one or more of our products be approved, we plan to expand and leverage our sales and marketing infrastructure to increase our customer base and grow our business. Identifying and recruiting qualified sales and marketing personnel and training them on our products, applicable federal and state laws and regulations and on our internal policies and procedures requires significant time, expense and attention. Our business, financial condition and results of operations may be harmed if our efforts to expand and train our sales force do not generate a corresponding increase in revenue, and our higher fixed costs may slow our ability to reduce costs in the face of a sudden decline in demand for our products. Moreover, the members of our direct sales force are at-will employees and the loss of these personnel to competitors or otherwise could materially harm our business. In addition, our ability to increase our customer base and achieve broader market acceptance of our products will depend to a significant extent on our ability to expand our marketing efforts. If we fail to successfully promote, maintain and protect our brand, or if we incur substantial expenses in an unsuccessful attempt to promote and maintain our brand, we may fail to attract or retain the physician acceptance necessary to realize a sufficient return on our brand building efforts, or to achieve the level of brand awareness that is critical for broad adoption of our products, which would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If we are unable to establish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These factors make it difficult for us to forecast our financial performance and growth, and such forecasts are subject to a number of uncertainties, including our ability to successfully develop additional products that add functionality, reduce the cost of products sold, broaden our commercial portfolio offerings and obtain FDA 510(k) clearance or PMA approval for, and successfully commercialize, market and sell, our planned or future products in the United States or in international markets. If our assumptions regarding the risks and uncertainties we face, which we use to plan our business, are incorrect or change due to circumstances in our business or our markets, or if we do not address these risks successfully, our operating and financial results could differ materially from our expectations and our business could suffer.</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not be successful if there is inadequate physician training, practice and patient selection.</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success of our products will depend in part on the skill of the physician performing the catheter-based procedures and on their adherence to our stated patient selection criteria and proper techniques that we provide in training sessions. For example, we train physicians to ensure correct use of our products; however, physicians rely on their previous medical training and experience when performing catheter-based procedures, and we cannot guarantee that all such physicians will have the necessary skills or experience to safely and effectively perform these procedures. We do not control which physicians perform these procedures or how much training they receive, and physicians who have not completed our training sessions may nonetheless attempt to perform catheter-based procedures with our products. In addition, a perception by physicians that our products are difficult to use may negatively impact adoption. If physicians perform these procedures in a manner that is inconsistent with our labeled indications, with components that are not our products, with patients who are not indicated for treatment with our products or without adhering to or completing our training sessions, the patient outcomes may be negative or inconsistent with the outcomes achieved in clinical trials. This could negatively impact the perception of patient benefits and safety associated with our products and limit adoption of our products and catheter-based thrombectomy procedures generally,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life sciences industry is highly competitive. Even if our products are commercialized and achieve broad scientific and market acceptance, if we fail to improve them or introduce compelling new products, our revenue and our prospects could be harmed.</w:t>
      </w:r>
    </w:p>
    <w:p>
      <w:pPr>
        <w:spacing w:after="0" w:line="175" w:lineRule="exact"/>
        <w:rPr>
          <w:sz w:val="20"/>
          <w:szCs w:val="20"/>
          <w:color w:val="auto"/>
        </w:rPr>
      </w:pPr>
    </w:p>
    <w:p>
      <w:pPr>
        <w:jc w:val="both"/>
        <w:ind w:left="60" w:right="59" w:firstLine="360"/>
        <w:spacing w:after="0" w:line="261" w:lineRule="auto"/>
        <w:rPr>
          <w:sz w:val="20"/>
          <w:szCs w:val="20"/>
          <w:color w:val="auto"/>
        </w:rPr>
      </w:pPr>
      <w:r>
        <w:rPr>
          <w:rFonts w:ascii="Times New Roman" w:cs="Times New Roman" w:eastAsia="Times New Roman" w:hAnsi="Times New Roman"/>
          <w:sz w:val="18"/>
          <w:szCs w:val="18"/>
          <w:color w:val="auto"/>
        </w:rPr>
        <w:t>The life sciences industry is characterized by rapid and significant technological changes, frequent new product introductions and enhancements and evolving industry standards. We compete primarily on the basis that our products are designed to enable more physicians to treat more patients more efficiently and effectively. Our continued success depends on our ability to:</w:t>
      </w:r>
    </w:p>
    <w:p>
      <w:pPr>
        <w:spacing w:after="0" w:line="180" w:lineRule="exact"/>
        <w:rPr>
          <w:sz w:val="20"/>
          <w:szCs w:val="20"/>
          <w:color w:val="auto"/>
        </w:rPr>
      </w:pPr>
    </w:p>
    <w:p>
      <w:pPr>
        <w:ind w:left="720" w:right="179" w:hanging="319"/>
        <w:spacing w:after="0" w:line="261"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innovative, proprietary products that address significant clinical needs in a manner that is safe and effective for patients and easy-to-use for physicians;</w:t>
      </w: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regulatory clearances or approvals;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safety and effectiveness in our sponsored and third-party clinical trials;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force across key markets to increase physician awareness;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coverage and adequate reimbursement for procedures using our products;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skilled research, development, sales and clinical personnel;</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cost-effectively manufacture, market and sell our products; and</w:t>
      </w:r>
    </w:p>
    <w:p>
      <w:pPr>
        <w:spacing w:after="0" w:line="22" w:lineRule="exact"/>
        <w:rPr>
          <w:rFonts w:ascii="Times New Roman" w:cs="Times New Roman" w:eastAsia="Times New Roman" w:hAnsi="Times New Roman"/>
          <w:sz w:val="18"/>
          <w:szCs w:val="18"/>
          <w:color w:val="auto"/>
        </w:rPr>
      </w:pPr>
    </w:p>
    <w:p>
      <w:pPr>
        <w:ind w:left="720" w:right="639" w:hanging="319"/>
        <w:spacing w:after="0" w:line="276" w:lineRule="auto"/>
        <w:tabs>
          <w:tab w:leader="none" w:pos="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enforce and defend our intellectual property rights and operate our business without infringing, misappropriating or otherwise violating the intellectual property rights of others.</w:t>
      </w:r>
    </w:p>
    <w:p>
      <w:pPr>
        <w:spacing w:after="0" w:line="167" w:lineRule="exact"/>
        <w:rPr>
          <w:sz w:val="20"/>
          <w:szCs w:val="20"/>
          <w:color w:val="auto"/>
        </w:rPr>
      </w:pPr>
    </w:p>
    <w:p>
      <w:pPr>
        <w:ind w:left="60" w:right="59" w:firstLine="360"/>
        <w:spacing w:after="0" w:line="282" w:lineRule="auto"/>
        <w:rPr>
          <w:sz w:val="20"/>
          <w:szCs w:val="20"/>
          <w:color w:val="auto"/>
        </w:rPr>
      </w:pPr>
      <w:r>
        <w:rPr>
          <w:rFonts w:ascii="Times New Roman" w:cs="Times New Roman" w:eastAsia="Times New Roman" w:hAnsi="Times New Roman"/>
          <w:sz w:val="18"/>
          <w:szCs w:val="18"/>
          <w:color w:val="auto"/>
        </w:rPr>
        <w:t>Even if we are able to achieve broad scientific and market acceptance of our ablation technologies, any one of our competitors could reduce or eliminate our commercial opportunities if they develop or market products that:</w:t>
      </w:r>
    </w:p>
    <w:p>
      <w:pPr>
        <w:spacing w:after="0" w:line="162" w:lineRule="exact"/>
        <w:rPr>
          <w:sz w:val="20"/>
          <w:szCs w:val="20"/>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more effective;</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fewer or less severe adverse side effects;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easier to use; or</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less expensive than our products.</w:t>
      </w:r>
    </w:p>
    <w:p>
      <w:pPr>
        <w:spacing w:after="0" w:line="207" w:lineRule="exact"/>
        <w:rPr>
          <w:sz w:val="20"/>
          <w:szCs w:val="20"/>
          <w:color w:val="auto"/>
        </w:rPr>
      </w:pPr>
    </w:p>
    <w:p>
      <w:pPr>
        <w:jc w:val="both"/>
        <w:ind w:left="60" w:right="59" w:firstLine="360"/>
        <w:spacing w:after="0" w:line="263" w:lineRule="auto"/>
        <w:rPr>
          <w:sz w:val="20"/>
          <w:szCs w:val="20"/>
          <w:color w:val="auto"/>
        </w:rPr>
      </w:pPr>
      <w:r>
        <w:rPr>
          <w:rFonts w:ascii="Times New Roman" w:cs="Times New Roman" w:eastAsia="Times New Roman" w:hAnsi="Times New Roman"/>
          <w:sz w:val="18"/>
          <w:szCs w:val="18"/>
          <w:color w:val="auto"/>
        </w:rPr>
        <w:t>In addition, our ability to attract new customers and increase revenue from existing customers will depend in large part on our ability to enhance and improve our technologies and to introduce compelling new products. The success of any enhancement to our ablation technologies or introduction of new products depends on several factors, including:</w:t>
      </w:r>
    </w:p>
    <w:p>
      <w:pPr>
        <w:spacing w:after="0" w:line="400" w:lineRule="exact"/>
        <w:rPr>
          <w:sz w:val="20"/>
          <w:szCs w:val="20"/>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and delivery;</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quality testing;</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with existing technologies;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freedom from intellectual property encumbrance;</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appropriately timed and staged introduction; and</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acceptance.</w:t>
      </w:r>
    </w:p>
    <w:p>
      <w:pPr>
        <w:spacing w:after="0" w:line="234"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Any new product or enhancement to the ablation technologies that we develop may not be introduced in a timely or cost-effective manner, may contain defects, errors, vulnerabilities or bugs, or may not achieve the market acceptance necessary to generate significant revenue. 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cannot provide assurance that we will be successful in developing new products or commercializing them in ways that achieve market acceptance. If we develop new products, sales of those products may reduce revenue generated from our existing products or may not compete effectively with competitor products. Moreover, any significant delays in our product launches may significantly impede our ability to enter or compete in a given market and may reduce the sales that we are able to generate from these products. We may experience delays in any phase of product development, including during research and development, clinical trials, regulatory review, manufacturing and marketing. Delays in product introductions could have a material adverse effect on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both"/>
        <w:ind w:left="60" w:right="79" w:firstLine="360"/>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develop new products, enhance our ablation technologies to meet customer requirements, compete with alternative products, or otherwise gain and maintain market acceptance, our business, financial condition and results of operations could be harmed.</w:t>
      </w:r>
    </w:p>
    <w:p>
      <w:pPr>
        <w:spacing w:after="0" w:line="172" w:lineRule="exact"/>
        <w:rPr>
          <w:sz w:val="20"/>
          <w:szCs w:val="20"/>
          <w:color w:val="auto"/>
        </w:rPr>
      </w:pPr>
    </w:p>
    <w:p>
      <w:pPr>
        <w:jc w:val="both"/>
        <w:ind w:left="60" w:right="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establish manufacturing capacity by ourselves or with third-party partners in a timely and cost-effective manner, commercialization of our products would be delayed, which would result in lost revenue and harm our business.</w:t>
      </w:r>
    </w:p>
    <w:p>
      <w:pPr>
        <w:spacing w:after="0" w:line="136" w:lineRule="exact"/>
        <w:rPr>
          <w:sz w:val="20"/>
          <w:szCs w:val="20"/>
          <w:color w:val="auto"/>
        </w:rPr>
      </w:pPr>
    </w:p>
    <w:p>
      <w:pPr>
        <w:jc w:val="both"/>
        <w:ind w:left="60" w:right="59" w:firstLine="360"/>
        <w:spacing w:after="0" w:line="275" w:lineRule="auto"/>
        <w:rPr>
          <w:sz w:val="20"/>
          <w:szCs w:val="20"/>
          <w:color w:val="auto"/>
        </w:rPr>
      </w:pPr>
      <w:r>
        <w:rPr>
          <w:rFonts w:ascii="Times New Roman" w:cs="Times New Roman" w:eastAsia="Times New Roman" w:hAnsi="Times New Roman"/>
          <w:sz w:val="18"/>
          <w:szCs w:val="18"/>
          <w:color w:val="auto"/>
        </w:rPr>
        <w:t>We may encounter production delays or shortfalls because of our limited experience in manufacturing our products in commercial quantities. Such production delays or shortfalls may be caused by many factors, including the following:</w:t>
      </w:r>
    </w:p>
    <w:p>
      <w:pPr>
        <w:spacing w:after="0" w:line="390" w:lineRule="exact"/>
        <w:rPr>
          <w:sz w:val="20"/>
          <w:szCs w:val="20"/>
          <w:color w:val="auto"/>
        </w:rPr>
      </w:pPr>
    </w:p>
    <w:p>
      <w:pPr>
        <w:ind w:left="720" w:right="199" w:hanging="319"/>
        <w:spacing w:after="0" w:line="261"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 to expand our manufacturing capacity, as a result of which our production processes may have to change;</w:t>
      </w:r>
    </w:p>
    <w:p>
      <w:pPr>
        <w:ind w:left="720" w:right="139" w:hanging="319"/>
        <w:spacing w:after="0" w:line="258"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components of our products are provided by a single supplier or limited number of suppliers, and we do not maintain large inventory levels of these components;</w:t>
      </w:r>
    </w:p>
    <w:p>
      <w:pPr>
        <w:ind w:left="720" w:right="459" w:hanging="319"/>
        <w:spacing w:after="0" w:line="250"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a shortage or quality issues in any of these components, we would need to identify and qualify new supply sources, which could increase our expenses and result in manufacturing delays;</w:t>
      </w:r>
    </w:p>
    <w:p>
      <w:pPr>
        <w:ind w:left="720" w:right="619" w:hanging="319"/>
        <w:spacing w:after="0" w:line="250"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completing validation and verification testing for new controlled environment rooms at our manufacturing facility;</w:t>
      </w:r>
    </w:p>
    <w:p>
      <w:pPr>
        <w:ind w:left="720" w:right="199" w:hanging="319"/>
        <w:spacing w:after="0" w:line="258"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federal regulations, including the FDA’s Quality System Regulation (“QSR”), for the manufacture of our products, noncompliance with which could cause an interruption in our manufacturing; and</w:t>
      </w:r>
    </w:p>
    <w:p>
      <w:pPr>
        <w:ind w:left="720" w:right="559" w:hanging="319"/>
        <w:spacing w:after="0" w:line="276"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attraction and retention of qualified employees for our operations in order to significantly increase our manufacturing output.</w:t>
      </w:r>
    </w:p>
    <w:p>
      <w:pPr>
        <w:spacing w:after="0" w:line="181" w:lineRule="exact"/>
        <w:rPr>
          <w:sz w:val="20"/>
          <w:szCs w:val="20"/>
          <w:color w:val="auto"/>
        </w:rPr>
      </w:pPr>
    </w:p>
    <w:p>
      <w:pPr>
        <w:jc w:val="both"/>
        <w:ind w:left="60" w:right="59" w:firstLine="360"/>
        <w:spacing w:after="0" w:line="266" w:lineRule="auto"/>
        <w:rPr>
          <w:sz w:val="20"/>
          <w:szCs w:val="20"/>
          <w:color w:val="auto"/>
        </w:rPr>
      </w:pPr>
      <w:r>
        <w:rPr>
          <w:rFonts w:ascii="Times New Roman" w:cs="Times New Roman" w:eastAsia="Times New Roman" w:hAnsi="Times New Roman"/>
          <w:sz w:val="18"/>
          <w:szCs w:val="18"/>
          <w:color w:val="auto"/>
        </w:rPr>
        <w:t>If we are unable to keep up with demand for our products, our growth could be impaired, and market acceptance for our products could be harmed and physicians may instead elect to use our competitors’ products. Our inability to successfully manufacture our products in sufficient quantities could materially harm our business.</w:t>
      </w:r>
    </w:p>
    <w:p>
      <w:pPr>
        <w:spacing w:after="0" w:line="176" w:lineRule="exact"/>
        <w:rPr>
          <w:sz w:val="20"/>
          <w:szCs w:val="20"/>
          <w:color w:val="auto"/>
        </w:rPr>
      </w:pPr>
    </w:p>
    <w:p>
      <w:pPr>
        <w:jc w:val="both"/>
        <w:ind w:left="60" w:right="59" w:firstLine="360"/>
        <w:spacing w:after="0" w:line="255" w:lineRule="auto"/>
        <w:rPr>
          <w:sz w:val="20"/>
          <w:szCs w:val="20"/>
          <w:color w:val="auto"/>
        </w:rPr>
      </w:pPr>
      <w:r>
        <w:rPr>
          <w:rFonts w:ascii="Times New Roman" w:cs="Times New Roman" w:eastAsia="Times New Roman" w:hAnsi="Times New Roman"/>
          <w:sz w:val="18"/>
          <w:szCs w:val="18"/>
          <w:color w:val="auto"/>
        </w:rPr>
        <w:t>In addition, our manufacturing facility and processes and those of our third-party suppliers are subject to announced or unannounced FDA and state regulatory inspections or audits for compliance with the QSR, state equivalent requirements, and international manufacturing standards. Developing and maintaining a compliant quality system is time consuming and expensive. Failure to maintain compliance with, or not fully complying with the requirements of the FDA, state, or foreign regulators, could result in enforcement actions against us or our third-party suppliers, which could include the issuance of warning letters, seizures, prohibitions on product sales, recalls and civil and criminal penalties, any one of which could significantly impact our manufacturing supply and impair our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limited third-party suppliers and manufacturers for some of the components and materials used in our products, and so long as we remain dependent on them, the loss of any of these suppliers and manufacturers, or any difficulties encountered by these suppliers and manufacturers in the production of our products, could harm our business.</w:t>
      </w:r>
    </w:p>
    <w:p>
      <w:pPr>
        <w:spacing w:after="0" w:line="157" w:lineRule="exact"/>
        <w:rPr>
          <w:sz w:val="20"/>
          <w:szCs w:val="20"/>
          <w:color w:val="auto"/>
        </w:rPr>
      </w:pPr>
    </w:p>
    <w:p>
      <w:pPr>
        <w:jc w:val="both"/>
        <w:ind w:left="60" w:right="59" w:firstLine="360"/>
        <w:spacing w:after="0" w:line="252" w:lineRule="auto"/>
        <w:rPr>
          <w:sz w:val="20"/>
          <w:szCs w:val="20"/>
          <w:color w:val="auto"/>
        </w:rPr>
      </w:pPr>
      <w:r>
        <w:rPr>
          <w:rFonts w:ascii="Times New Roman" w:cs="Times New Roman" w:eastAsia="Times New Roman" w:hAnsi="Times New Roman"/>
          <w:sz w:val="18"/>
          <w:szCs w:val="18"/>
          <w:color w:val="auto"/>
        </w:rPr>
        <w:t>We rely on third-party suppliers to provide us with certain components of our products, some of which are single-source suppliers. In some cases, we do not have long-term supply agreements with, or guaranteed commitments from, our suppliers, including single-source suppliers. We depend on our suppliers to provide us with components and materials in a timely manner that meet our and their quality, quantity and cost requirements. These suppliers may encounter problems during manufacturing for a variety of reasons, any of which could delay or impede their ability to meet our demand. Our suppliers may also fail to comply with applicable federal, state or foreign laws or regulations, cease producing the components and materials required for our products or otherwise decide to cease doing business with us. If the suppliers, including the single-source suppliers, that we use are unable or unwilling to manufacture the components or materials in our required volumes, or at specified times, we may have to identify and qualify acceptable additional or alternative suppliers. This qualification process could take up to a few months and we may not find sufficient capacity in a timely manner or at an acceptable cost to satisfy our production requirements. Any supply interruption from our suppliers or failure to obtain alternative suppliers for any of the components used in our products would limit our ability to manufacture our products and could have a material adverse effect on our business, financial condition and results of operations.</w:t>
      </w:r>
    </w:p>
    <w:p>
      <w:pPr>
        <w:spacing w:after="0" w:line="200" w:lineRule="exact"/>
        <w:rPr>
          <w:sz w:val="20"/>
          <w:szCs w:val="20"/>
          <w:color w:val="auto"/>
        </w:rPr>
      </w:pPr>
    </w:p>
    <w:p>
      <w:pPr>
        <w:spacing w:after="0" w:line="215" w:lineRule="exact"/>
        <w:rPr>
          <w:sz w:val="20"/>
          <w:szCs w:val="20"/>
          <w:color w:val="auto"/>
        </w:rPr>
      </w:pPr>
    </w:p>
    <w:p>
      <w:pPr>
        <w:jc w:val="both"/>
        <w:ind w:left="60" w:right="59" w:firstLine="360"/>
        <w:spacing w:after="0" w:line="256" w:lineRule="auto"/>
        <w:rPr>
          <w:sz w:val="20"/>
          <w:szCs w:val="20"/>
          <w:color w:val="auto"/>
        </w:rPr>
      </w:pPr>
      <w:r>
        <w:rPr>
          <w:rFonts w:ascii="Times New Roman" w:cs="Times New Roman" w:eastAsia="Times New Roman" w:hAnsi="Times New Roman"/>
          <w:sz w:val="18"/>
          <w:szCs w:val="18"/>
          <w:color w:val="auto"/>
        </w:rPr>
        <w:t>FDA review and approval of a new supplier may be required if these components or materials become unavailable from our current suppliers. Although there may be other suppliers that have equivalent components or materials that would be available to us, FDA approval of any alternate suppliers, if required, could take several months or more to obtain, if it is able to be obtained at all. Any delay, interruption or cessation of production by our third-party suppliers of important components or materials, or any delay in qualifying new components or materials, if necessary, would prevent or delay our ability to manufacture our products.</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have unknown defects or errors, which may give rise to claims against us and adversely affect market adoption of our products.</w:t>
      </w:r>
    </w:p>
    <w:p>
      <w:pPr>
        <w:spacing w:after="0" w:line="159" w:lineRule="exact"/>
        <w:rPr>
          <w:sz w:val="20"/>
          <w:szCs w:val="20"/>
          <w:color w:val="auto"/>
        </w:rPr>
      </w:pPr>
    </w:p>
    <w:p>
      <w:pPr>
        <w:jc w:val="both"/>
        <w:ind w:left="60" w:right="79" w:firstLine="324"/>
        <w:spacing w:after="0" w:line="253" w:lineRule="auto"/>
        <w:rPr>
          <w:sz w:val="20"/>
          <w:szCs w:val="20"/>
          <w:color w:val="auto"/>
        </w:rPr>
      </w:pPr>
      <w:r>
        <w:rPr>
          <w:rFonts w:ascii="Times New Roman" w:cs="Times New Roman" w:eastAsia="Times New Roman" w:hAnsi="Times New Roman"/>
          <w:sz w:val="18"/>
          <w:szCs w:val="18"/>
          <w:color w:val="auto"/>
        </w:rPr>
        <w:t>Our business is subject to significant risks associated with the design, manufacturing, distribution and use of medical devices that are placed inside the human body, including the risk that patients may be severely injured by or even die from the misuse or malfunction of our products caused by design flaws or manufacturing defects. In addition, component failures, design defects, off-label uses, or inadequate disclosure of product-related information discovered after commercial shipment or during commercial use could result in an unsafe condition or the injury or death of a patient. These problems could lead to a voluntary recall or market withdrawal of, or issuance of a safety alert relating to, our products and could result in significant costs, negative publicity and adverse competitive pressure. Furthermore, the reporting of product defects or voluntary recalls to the FDA or analogous regulatory bodies outside the United States could result in manufacturing audits, inspections and broader recalls or other disruptions to our manufacturing processes. The circumstances giving rise to recalls are unpredictable, and any recalls of existing or future products could have a material adverse effect on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both"/>
        <w:ind w:left="60" w:right="59" w:firstLine="363"/>
        <w:spacing w:after="0" w:line="258" w:lineRule="auto"/>
        <w:rPr>
          <w:sz w:val="20"/>
          <w:szCs w:val="20"/>
          <w:color w:val="auto"/>
        </w:rPr>
      </w:pPr>
      <w:r>
        <w:rPr>
          <w:rFonts w:ascii="Times New Roman" w:cs="Times New Roman" w:eastAsia="Times New Roman" w:hAnsi="Times New Roman"/>
          <w:sz w:val="18"/>
          <w:szCs w:val="18"/>
          <w:color w:val="auto"/>
        </w:rPr>
        <w:t>We provide a limited warranty that our products are free of material defects and conform to specifications, and offers to repair, replace or refund the purchase price of defective products. As a result, we bear the risk of potential warranty claims on our products. In the event that we attempt to recover some or all of the expenses associated with a warranty claim against us from our suppliers or vendors, we may not be successful in claiming recovery and any recovery from such vendor or supplier may not be adequate.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63"/>
        <w:spacing w:after="0" w:line="253" w:lineRule="auto"/>
        <w:rPr>
          <w:sz w:val="20"/>
          <w:szCs w:val="20"/>
          <w:color w:val="auto"/>
        </w:rPr>
      </w:pPr>
      <w:r>
        <w:rPr>
          <w:rFonts w:ascii="Times New Roman" w:cs="Times New Roman" w:eastAsia="Times New Roman" w:hAnsi="Times New Roman"/>
          <w:sz w:val="18"/>
          <w:szCs w:val="18"/>
          <w:color w:val="auto"/>
        </w:rPr>
        <w:t>The medical device industry has historically been subject to extensive litigation over product liability claims. We may be subject to product liability claims if our products cause, or merely appear to have caused, an injury or death, even if due to physician error. In addition, an injury or death that is caused by the activities of our suppliers, such as those that provide us with components and raw materials, or by an aspect of a treatment used in combination with our products, such as a complementary drug or anesthesia, may be the basis for a claim against us by patients, hospitals, physicians or others purchasing or using our products, even if our products were not the actual cause of such injury or death. We may choose to settle any such claims even if we believe that such injuries were not due to failure of our products. An adverse outcome of any such claim involving one of our products could result in reduced market acceptance and demand for any or all of our products and could harm our reputation or brand and our ability to market our products in the future. In some circumstances, adverse events arising from or associated with the design, manufacture or marketing of our products could result in the suspension or delay of regulatory reviews of our premarket notifications or applications for marketing. Any of the foregoing problems could disrupt our business and have a material adverse effect on our business, financial condition and results of operations.</w:t>
      </w:r>
    </w:p>
    <w:p>
      <w:pPr>
        <w:spacing w:after="0" w:line="187"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Although we carry product liability insurance, including for clinical trials and product marketing, we can give no assurance that such coverage will be available or adequate to satisfy any claims. Product liability insurance is expensive, subject to significant deductibles and exclusions, and may not continue to be available on acceptable terms, if at all. Any product liability claims brought against us, with or without merit, could increase our product liability insurance rates or prevent us from securing continuing coverage, harm our reputation, significantly increase our expenses, and reduce product sales. If we are unable to obtain or maintain insurance at an acceptable cost or on acceptable terms with adequate coverage or otherwise protect against potential product liability claims, we could be exposed to significant liabilities. Product liability claims could cause us to incur significant legal fees and deductibles and claims in excess of our insurance coverage would be paid out of cash reserves, harming our financial condition and operating results. Defending a suit, regardless of our merit or eventual outcome, could be costly, could divert management’s attention from our business and might result in adverse publicity, which could result in reduced acceptance of our products in the market, product recalls or market withdrawals.</w:t>
      </w:r>
    </w:p>
    <w:p>
      <w:pPr>
        <w:spacing w:after="0" w:line="190"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We are required to file adverse event reports under Medical Device Reporting (“MDR”) regulations with the FDA, which reports are publicly available on the FDA’s website. We are required to file MDRs if our products may have caused or contributed to a serious injury or death or malfunctioned in a way that would be likely to cause or contribute to a serious injury or death if it were to recur. Any such MDR that reports a significant adverse event could result in negative publicity, which could harm our reputation and future sales. If we fail to report these events to the FDA within the required timeframes, or at all, the FDA could take enforcement action against us. Any such adverse event involving our products could also result in future voluntary corrective actions, such as recalls or customer notifications, or agency action, such as inspection or enforcement action. Any corrective action, whether voluntary or involuntary, as well as defending against potential lawsuits, will require the dedication of our time and capital, distract management from operating our business, and may harm our reputation and financial results. Analogous reporting obligations exist in the European Union and other jurisdictions outside the United States. See “- </w:t>
      </w:r>
      <w:r>
        <w:rPr>
          <w:rFonts w:ascii="Times New Roman" w:cs="Times New Roman" w:eastAsia="Times New Roman" w:hAnsi="Times New Roman"/>
          <w:sz w:val="18"/>
          <w:szCs w:val="18"/>
          <w:i w:val="1"/>
          <w:iCs w:val="1"/>
          <w:color w:val="auto"/>
        </w:rPr>
        <w:t>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Regulatory and Legal Compliance Matters</w:t>
      </w:r>
      <w:r>
        <w:rPr>
          <w:rFonts w:ascii="Times New Roman" w:cs="Times New Roman" w:eastAsia="Times New Roman" w:hAnsi="Times New Roman"/>
          <w:sz w:val="18"/>
          <w:szCs w:val="18"/>
          <w:color w:val="auto"/>
        </w:rPr>
        <w:t>” for further detail.</w:t>
      </w:r>
    </w:p>
    <w:p>
      <w:pPr>
        <w:spacing w:after="0" w:line="185" w:lineRule="exact"/>
        <w:rPr>
          <w:sz w:val="20"/>
          <w:szCs w:val="20"/>
          <w:color w:val="auto"/>
        </w:rPr>
      </w:pPr>
    </w:p>
    <w:p>
      <w:pPr>
        <w:jc w:val="both"/>
        <w:ind w:left="60" w:right="59"/>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A breakthrough device designation by the FDA for vCLAS</w:t>
      </w:r>
      <w:r>
        <w:rPr>
          <w:rFonts w:ascii="Times New Roman" w:cs="Times New Roman" w:eastAsia="Times New Roman" w:hAnsi="Times New Roman"/>
          <w:sz w:val="20"/>
          <w:szCs w:val="20"/>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may not lead to a faster development, regulatory review or approval process, and it may not increase the likelihood that vCLAS</w:t>
      </w:r>
      <w:r>
        <w:rPr>
          <w:rFonts w:ascii="Times New Roman" w:cs="Times New Roman" w:eastAsia="Times New Roman" w:hAnsi="Times New Roman"/>
          <w:sz w:val="20"/>
          <w:szCs w:val="20"/>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will receive premarket approval (“PMA”) approval from the FDA.</w:t>
      </w:r>
    </w:p>
    <w:p>
      <w:pPr>
        <w:spacing w:after="0" w:line="196" w:lineRule="exact"/>
        <w:rPr>
          <w:sz w:val="20"/>
          <w:szCs w:val="20"/>
          <w:color w:val="auto"/>
        </w:rPr>
      </w:pPr>
    </w:p>
    <w:p>
      <w:pPr>
        <w:jc w:val="both"/>
        <w:ind w:left="60" w:right="59" w:firstLine="324"/>
        <w:spacing w:after="0" w:line="247" w:lineRule="auto"/>
        <w:rPr>
          <w:sz w:val="20"/>
          <w:szCs w:val="20"/>
          <w:color w:val="auto"/>
        </w:rPr>
      </w:pPr>
      <w:r>
        <w:rPr>
          <w:rFonts w:ascii="Times New Roman" w:cs="Times New Roman" w:eastAsia="Times New Roman" w:hAnsi="Times New Roman"/>
          <w:sz w:val="18"/>
          <w:szCs w:val="18"/>
          <w:color w:val="auto"/>
        </w:rPr>
        <w:t>In April 2025, we announced that the FDA granted breakthrough device designation for the vCLAS</w:t>
      </w:r>
      <w:r>
        <w:rPr>
          <w:rFonts w:ascii="Times New Roman" w:cs="Times New Roman" w:eastAsia="Times New Roman" w:hAnsi="Times New Roman"/>
          <w:sz w:val="20"/>
          <w:szCs w:val="20"/>
          <w:color w:val="auto"/>
          <w:vertAlign w:val="superscript"/>
        </w:rPr>
        <w:t>TM</w:t>
      </w:r>
      <w:r>
        <w:rPr>
          <w:rFonts w:ascii="Times New Roman" w:cs="Times New Roman" w:eastAsia="Times New Roman" w:hAnsi="Times New Roman"/>
          <w:sz w:val="18"/>
          <w:szCs w:val="18"/>
          <w:color w:val="auto"/>
        </w:rPr>
        <w:t xml:space="preserve"> Cryoablation System for the treatment of drug-refractory, recurrent, sustained monomorphic ventricular tachycardia in patients with ischemic or non-ischemic structural heart disease. Breakthrough Device designation provides potential benefits to device developers, including more interactive and timely communications with FDA staff, use of post-market data collection when scientifically appropriate, and opportunities for flexible clinical study design. The receipt of breakthrough device designation for vCLAS</w:t>
      </w:r>
      <w:r>
        <w:rPr>
          <w:rFonts w:ascii="Times New Roman" w:cs="Times New Roman" w:eastAsia="Times New Roman" w:hAnsi="Times New Roman"/>
          <w:sz w:val="20"/>
          <w:szCs w:val="20"/>
          <w:color w:val="auto"/>
          <w:vertAlign w:val="superscript"/>
        </w:rPr>
        <w:t>TM</w:t>
      </w:r>
      <w:r>
        <w:rPr>
          <w:rFonts w:ascii="Times New Roman" w:cs="Times New Roman" w:eastAsia="Times New Roman" w:hAnsi="Times New Roman"/>
          <w:sz w:val="18"/>
          <w:szCs w:val="18"/>
          <w:color w:val="auto"/>
        </w:rPr>
        <w:t xml:space="preserve"> may not result in a faster development process, review or approval compared to conventional FDA procedures and does not ensure ultimate PMA approval by the FDA. In addition, even if a product qualifies as a breakthrough device, the FDA may later decide that the product no longer meets the conditions for qualification.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left="60" w:right="5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obtain and maintain sufficient intellectual property protection for our products and technology, or if the scope of the intellectual property protection obtained is not sufficiently broad, competitors could develop and commercialize products similar or identical to our products, and our ability to successfully commercialize our products may be impaired.</w:t>
      </w:r>
    </w:p>
    <w:p>
      <w:pPr>
        <w:spacing w:after="0" w:line="157" w:lineRule="exact"/>
        <w:rPr>
          <w:sz w:val="20"/>
          <w:szCs w:val="20"/>
          <w:color w:val="auto"/>
        </w:rPr>
      </w:pPr>
    </w:p>
    <w:p>
      <w:pPr>
        <w:jc w:val="both"/>
        <w:ind w:left="60" w:right="59" w:firstLine="360"/>
        <w:spacing w:after="0" w:line="256"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proprietary products and technologies, all of which provide limited protection and may not adequately protect our rights or permit us to gain or keep any competitive advantage. If we fail to obtain, maintain, protect and enforce our intellectual property, third parties may be able to compete more effectively against us. In addition, we may incur substantial litigation costs in our attempts to maintain, recover, enforce or otherwise restrict the use of our intellectual property.</w:t>
      </w:r>
    </w:p>
    <w:p>
      <w:pPr>
        <w:spacing w:after="0" w:line="187" w:lineRule="exact"/>
        <w:rPr>
          <w:sz w:val="20"/>
          <w:szCs w:val="20"/>
          <w:color w:val="auto"/>
        </w:rPr>
      </w:pPr>
    </w:p>
    <w:p>
      <w:pPr>
        <w:jc w:val="both"/>
        <w:ind w:left="60" w:right="59" w:firstLine="360"/>
        <w:spacing w:after="0" w:line="258" w:lineRule="auto"/>
        <w:rPr>
          <w:sz w:val="20"/>
          <w:szCs w:val="20"/>
          <w:color w:val="auto"/>
        </w:rPr>
      </w:pPr>
      <w:r>
        <w:rPr>
          <w:rFonts w:ascii="Times New Roman" w:cs="Times New Roman" w:eastAsia="Times New Roman" w:hAnsi="Times New Roman"/>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products, our competitive position could be adversely affected, as could our business, financial condition, results of operations and prospects. Both the patent application process and the process of managing patent and other intellectual property disputes can be time-consuming and expensive.</w:t>
      </w:r>
    </w:p>
    <w:p>
      <w:pPr>
        <w:spacing w:after="0" w:line="183" w:lineRule="exact"/>
        <w:rPr>
          <w:sz w:val="20"/>
          <w:szCs w:val="20"/>
          <w:color w:val="auto"/>
        </w:rPr>
      </w:pPr>
    </w:p>
    <w:p>
      <w:pPr>
        <w:jc w:val="both"/>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Our success depends in large part on our and our licensors’ ability to obtain and maintain protection of the intellectual property we may own solely and jointly with, or license from, third parties, particularly patents, in the United States and other countries with respect to our products and technologies. We apply for patents covering our products and technologies and uses thereof, as we deem appropriate. However, obtaining, maintaining,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protect any patents that may issue from such patent applications, at a reasonable cost or in a timely manner or in all jurisdictions. It is possible that defects of form in the preparation or filing of our patents or patent applications may exist, or may arise in the future, for example with respect to proper priority claims, inventorship, assignment, recordation, document formalities, fees, claim scope or requests for patent term adjustments. It is also possible that we will fail to identify patentable aspects of our research and development output before it is too late to obtain patent protection. If we delay filing a patent application, and a competitor files a patent application on the same or similar invention before we do, or the subject matter otherwise is made public by us or a competitor, our ability to secure patent rights may be limited or we may not be able to patent the invention at all. Even if we can patent the invention, we may be able to patent only a limited scope of the invention, and the limited scope may be inadequate to protect our products and technologies, or to block a competitor’s products and technologies that are similar or adjacent. Our earliest patent filings have been published. A competitor may review our published patents and arrive at the same or similar technology advances for our products as it develops. If the competitor files a patent application on such an advance before we do, then we may no longer be able to protect that aspect of our products and technologies and we may require a license from the competitor, which may not be available on commercially viable terms. Moreover, we may not develop additional proprietary products, methods and technologies that are patentable. It may not have the right to control the preparation, filing and prosecution of patent applications, or to maintain the rights to patents licensed from or to third parties. Therefore, these patents and applications may not be prosecuted and enforced by such third parties in a manner consistent with the best interests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59"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 xml:space="preserve">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(the “AIA”). These changes include, among others, allowing third-party submission of prior art to the United States Patent and Trademark Office (the “USPTO”) during patent prosecution and additional procedures to challenge the validity of a patent by USPTO administered post-grant proceedings, including post-grant review,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 and derivation proceedings. The changes brought about by the AIA have not been extensively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94" w:lineRule="exact"/>
        <w:rPr>
          <w:sz w:val="20"/>
          <w:szCs w:val="20"/>
          <w:color w:val="auto"/>
        </w:rPr>
      </w:pPr>
    </w:p>
    <w:p>
      <w:pPr>
        <w:jc w:val="both"/>
        <w:ind w:left="60" w:right="59" w:firstLine="360"/>
        <w:spacing w:after="0" w:line="255" w:lineRule="auto"/>
        <w:rPr>
          <w:sz w:val="20"/>
          <w:szCs w:val="20"/>
          <w:color w:val="auto"/>
        </w:rPr>
      </w:pPr>
      <w:r>
        <w:rPr>
          <w:rFonts w:ascii="Times New Roman" w:cs="Times New Roman" w:eastAsia="Times New Roman" w:hAnsi="Times New Roman"/>
          <w:sz w:val="18"/>
          <w:szCs w:val="18"/>
          <w:color w:val="auto"/>
        </w:rPr>
        <w:t>Various courts, including the U.S. Supreme Court, have recently rendered decisions that impact the scope of patentability of certain inventions or discoveries relating to our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spacing w:after="0" w:line="200" w:lineRule="exact"/>
        <w:rPr>
          <w:sz w:val="20"/>
          <w:szCs w:val="20"/>
          <w:color w:val="auto"/>
        </w:rPr>
      </w:pPr>
    </w:p>
    <w:p>
      <w:pPr>
        <w:spacing w:after="0" w:line="205"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 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which could harm our business prospects.</w:t>
      </w:r>
    </w:p>
    <w:p>
      <w:pPr>
        <w:spacing w:after="0" w:line="159" w:lineRule="exact"/>
        <w:rPr>
          <w:sz w:val="20"/>
          <w:szCs w:val="20"/>
          <w:color w:val="auto"/>
        </w:rPr>
      </w:pPr>
    </w:p>
    <w:p>
      <w:pPr>
        <w:jc w:val="both"/>
        <w:ind w:left="60" w:right="59" w:firstLine="360"/>
        <w:spacing w:after="0" w:line="266" w:lineRule="auto"/>
        <w:rPr>
          <w:sz w:val="20"/>
          <w:szCs w:val="20"/>
          <w:color w:val="auto"/>
        </w:rPr>
      </w:pPr>
      <w:r>
        <w:rPr>
          <w:rFonts w:ascii="Times New Roman" w:cs="Times New Roman" w:eastAsia="Times New Roman" w:hAnsi="Times New Roman"/>
          <w:sz w:val="18"/>
          <w:szCs w:val="18"/>
          <w:color w:val="auto"/>
        </w:rPr>
        <w:t>Filing, prosecuting, maintaining, and defending patents on our products in all countries throughout the world would be prohibitively expensive, and our intellectual property rights in some countries outside the United States can be less extensive than those in the United States.</w:t>
      </w:r>
    </w:p>
    <w:p>
      <w:pPr>
        <w:spacing w:after="0" w:line="176" w:lineRule="exact"/>
        <w:rPr>
          <w:sz w:val="20"/>
          <w:szCs w:val="20"/>
          <w:color w:val="auto"/>
        </w:rPr>
      </w:pPr>
    </w:p>
    <w:p>
      <w:pPr>
        <w:jc w:val="both"/>
        <w:ind w:left="60" w:right="59" w:firstLine="360"/>
        <w:spacing w:after="0" w:line="252"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their own products and technologies and may also export infringing products to territories where we have patent protection, but enforcement is not as strong as that in the United States. These products may compete with our products. Our and any future licensor’s patents or other intellectual property rights may not be effective or sufficient to prevent competitors from marketing competing products.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200" w:lineRule="exact"/>
        <w:rPr>
          <w:sz w:val="20"/>
          <w:szCs w:val="20"/>
          <w:color w:val="auto"/>
        </w:rPr>
      </w:pPr>
    </w:p>
    <w:p>
      <w:pPr>
        <w:spacing w:after="0" w:line="215" w:lineRule="exact"/>
        <w:rPr>
          <w:sz w:val="20"/>
          <w:szCs w:val="20"/>
          <w:color w:val="auto"/>
        </w:rPr>
      </w:pPr>
    </w:p>
    <w:p>
      <w:pPr>
        <w:jc w:val="both"/>
        <w:ind w:left="60" w:right="59" w:firstLine="36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88"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Proceedings to enforce our or any future licensor’s patent rights in foreign jurisdictions could result in substantial cost and divert our efforts and attention from other aspects of our business, could put us and any future licensor’s patents at risk of being invalidated or interpreted narrowly and us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spacing w:after="0" w:line="175"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 Patent and Trademark Office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some or all fields. In addition, for example, if a relevant patent is owned by a competitor, that competitor may choose not to license patent rights to us. If we decide to develop alternative technology, we may not be able to do so in a timely or cost-effective manner, if at all.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200" w:lineRule="exact"/>
        <w:rPr>
          <w:sz w:val="20"/>
          <w:szCs w:val="20"/>
          <w:color w:val="auto"/>
        </w:rPr>
      </w:pPr>
    </w:p>
    <w:p>
      <w:pPr>
        <w:spacing w:after="0" w:line="212" w:lineRule="exact"/>
        <w:rPr>
          <w:sz w:val="20"/>
          <w:szCs w:val="20"/>
          <w:color w:val="auto"/>
        </w:rPr>
      </w:pPr>
    </w:p>
    <w:p>
      <w:pPr>
        <w:jc w:val="both"/>
        <w:ind w:left="60" w:right="79" w:firstLine="360"/>
        <w:spacing w:after="0" w:line="266" w:lineRule="auto"/>
        <w:rPr>
          <w:sz w:val="20"/>
          <w:szCs w:val="20"/>
          <w:color w:val="auto"/>
        </w:rPr>
      </w:pPr>
      <w:r>
        <w:rPr>
          <w:rFonts w:ascii="Times New Roman" w:cs="Times New Roman" w:eastAsia="Times New Roman" w:hAnsi="Times New Roman"/>
          <w:sz w:val="18"/>
          <w:szCs w:val="18"/>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176" w:lineRule="exact"/>
        <w:rPr>
          <w:sz w:val="20"/>
          <w:szCs w:val="20"/>
          <w:color w:val="auto"/>
        </w:rPr>
      </w:pPr>
    </w:p>
    <w:p>
      <w:pPr>
        <w:jc w:val="both"/>
        <w:ind w:left="60" w:right="59" w:firstLine="360"/>
        <w:spacing w:after="0" w:line="258" w:lineRule="auto"/>
        <w:rPr>
          <w:sz w:val="20"/>
          <w:szCs w:val="20"/>
          <w:color w:val="auto"/>
        </w:rPr>
      </w:pPr>
      <w:r>
        <w:rPr>
          <w:rFonts w:ascii="Times New Roman" w:cs="Times New Roman" w:eastAsia="Times New Roman" w:hAnsi="Times New Roman"/>
          <w:sz w:val="18"/>
          <w:szCs w:val="18"/>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their proprietary technology without authorization.</w:t>
      </w:r>
    </w:p>
    <w:p>
      <w:pPr>
        <w:spacing w:after="0" w:line="183" w:lineRule="exact"/>
        <w:rPr>
          <w:sz w:val="20"/>
          <w:szCs w:val="20"/>
          <w:color w:val="auto"/>
        </w:rPr>
      </w:pPr>
    </w:p>
    <w:p>
      <w:pPr>
        <w:jc w:val="both"/>
        <w:ind w:left="60" w:right="59" w:firstLine="360"/>
        <w:spacing w:after="0" w:line="254" w:lineRule="auto"/>
        <w:rPr>
          <w:sz w:val="20"/>
          <w:szCs w:val="20"/>
          <w:color w:val="auto"/>
        </w:rPr>
      </w:pPr>
      <w:r>
        <w:rPr>
          <w:rFonts w:ascii="Times New Roman" w:cs="Times New Roman" w:eastAsia="Times New Roman" w:hAnsi="Times New Roman"/>
          <w:sz w:val="18"/>
          <w:szCs w:val="18"/>
          <w:color w:val="auto"/>
        </w:rPr>
        <w:t>An adverse determination in litigation proceedings to which we may become a party could subject us to significant liabilities or require us to seek licenses. In addition, if we are found to willfully infringe third-party patents, we could be required to pay treble damages in addition to other penalties. Adverse determinations in a judicial or administrative proceeding or failure to obtain necessary licenses could cause us to incur significant costs, place significant strain on our resources, divert management’s attention from our business and harm our reputation and prevent us from commercializing products we may develop, which would have a significant adverse impact on our business. Some of our competitors may be able to sustain the costs of complex patent litigation more effectively than we can because they have substantially greater resources.</w:t>
      </w:r>
    </w:p>
    <w:p>
      <w:pPr>
        <w:spacing w:after="0" w:line="192" w:lineRule="exact"/>
        <w:rPr>
          <w:sz w:val="20"/>
          <w:szCs w:val="20"/>
          <w:color w:val="auto"/>
        </w:rPr>
      </w:pPr>
    </w:p>
    <w:p>
      <w:pPr>
        <w:jc w:val="both"/>
        <w:ind w:left="60" w:right="59" w:firstLine="360"/>
        <w:spacing w:after="0" w:line="254" w:lineRule="auto"/>
        <w:rPr>
          <w:sz w:val="20"/>
          <w:szCs w:val="20"/>
          <w:color w:val="auto"/>
        </w:rPr>
      </w:pPr>
      <w:r>
        <w:rPr>
          <w:rFonts w:ascii="Times New Roman" w:cs="Times New Roman" w:eastAsia="Times New Roman" w:hAnsi="Times New Roman"/>
          <w:sz w:val="18"/>
          <w:szCs w:val="18"/>
          <w:color w:val="auto"/>
        </w:rPr>
        <w:t>Litigation may fail and, even if successful, may result in substantial costs and be a distraction to our management. We may not be able to prevent misappropriation of our proprietary rights, particularly in countries outside the United States where patent rights may be more difficult to enforce. Furthermore,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63"/>
        <w:spacing w:after="0" w:line="256" w:lineRule="auto"/>
        <w:rPr>
          <w:sz w:val="20"/>
          <w:szCs w:val="20"/>
          <w:color w:val="auto"/>
        </w:rPr>
      </w:pPr>
      <w:r>
        <w:rPr>
          <w:rFonts w:ascii="Times New Roman" w:cs="Times New Roman" w:eastAsia="Times New Roman" w:hAnsi="Times New Roman"/>
          <w:sz w:val="18"/>
          <w:szCs w:val="18"/>
          <w:color w:val="auto"/>
        </w:rPr>
        <w:t>In addition, we may indemnify our customers and international distributors with respect to infringement by our products of the proprietary rights of third parties.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or distributors or may be required to obtain licenses for the products they use. If we cannot obtain all necessary licenses on commercially reasonable terms, our customers may be forced to stop using our products.</w:t>
      </w:r>
    </w:p>
    <w:p>
      <w:pPr>
        <w:spacing w:after="0" w:line="187" w:lineRule="exact"/>
        <w:rPr>
          <w:sz w:val="20"/>
          <w:szCs w:val="20"/>
          <w:color w:val="auto"/>
        </w:rPr>
      </w:pPr>
    </w:p>
    <w:p>
      <w:pPr>
        <w:jc w:val="both"/>
        <w:ind w:left="60" w:right="59" w:firstLine="360"/>
        <w:spacing w:after="0" w:line="255" w:lineRule="auto"/>
        <w:rPr>
          <w:sz w:val="20"/>
          <w:szCs w:val="20"/>
          <w:color w:val="auto"/>
        </w:rPr>
      </w:pPr>
      <w:r>
        <w:rPr>
          <w:rFonts w:ascii="Times New Roman" w:cs="Times New Roman" w:eastAsia="Times New Roman" w:hAnsi="Times New Roman"/>
          <w:sz w:val="18"/>
          <w:szCs w:val="18"/>
          <w:color w:val="auto"/>
        </w:rPr>
        <w:t>In addition, our competitors and others may have patents or may in the future obtain patents and may claim that use of our products infringes these patents. For example, because patent applications can take years to issue and are often afforded confidentiality for some period of time there may currently be pending applications, unknown to us, that later result in issued patents that could cover one or more of our products. As we move into new markets and applications for our products, incumbent participants in such markets may assert their patents and other proprietary rights against us as a means of slowing or preventing our entry into such markets, or as a means to extract substantial license and royalty payments from us.</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products could be found invalid or unenforceable if challenged, and could materially impact our business.</w:t>
      </w:r>
    </w:p>
    <w:p>
      <w:pPr>
        <w:spacing w:after="0" w:line="159" w:lineRule="exact"/>
        <w:rPr>
          <w:sz w:val="20"/>
          <w:szCs w:val="20"/>
          <w:color w:val="auto"/>
        </w:rPr>
      </w:pPr>
    </w:p>
    <w:p>
      <w:pPr>
        <w:jc w:val="both"/>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 xml:space="preserve">Our owned patents and any future licensed patents and patent applications may be subject to validity, enforceability, inventorship, and priority disputes. The issuance of a patent is not conclusive as to its inventorship, scope, validity or enforceability. Some of our patents or patent applications may be challenged at a future point in time in litigation, 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and which could have a materially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for validity/patentability, including, but not limited to, patentable subject matter, lack of novelty, obviousness, non-enablement or sufficiency of the written description of the invention. Grounds for an unenforceability assertion could be an allegation that someone connected with prosecution of the patent withheld materially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post-grant review, derivation and equivalent proceedings in non-U.S. jurisdictions, such as opposition proceedings. Such proceedings could result in revocation of or amendment to our patents in such a way that they no longer cover and protect our products or exclude competing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63"/>
        <w:spacing w:after="0" w:line="252"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200" w:lineRule="exact"/>
        <w:rPr>
          <w:sz w:val="20"/>
          <w:szCs w:val="20"/>
          <w:color w:val="auto"/>
        </w:rPr>
      </w:pPr>
    </w:p>
    <w:p>
      <w:pPr>
        <w:spacing w:after="0" w:line="20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59" w:lineRule="exact"/>
        <w:rPr>
          <w:sz w:val="20"/>
          <w:szCs w:val="20"/>
          <w:color w:val="auto"/>
        </w:rPr>
      </w:pPr>
    </w:p>
    <w:p>
      <w:pPr>
        <w:jc w:val="both"/>
        <w:ind w:left="60" w:right="59" w:firstLine="360"/>
        <w:spacing w:after="0" w:line="256" w:lineRule="auto"/>
        <w:rPr>
          <w:sz w:val="20"/>
          <w:szCs w:val="20"/>
          <w:color w:val="auto"/>
        </w:rPr>
      </w:pPr>
      <w:r>
        <w:rPr>
          <w:rFonts w:ascii="Times New Roman" w:cs="Times New Roman" w:eastAsia="Times New Roman" w:hAnsi="Times New Roman"/>
          <w:sz w:val="18"/>
          <w:szCs w:val="18"/>
          <w:color w:val="auto"/>
        </w:rPr>
        <w:t>We rely heavily on trade secrets and confidentiality agreements to protect our unpatented know-how, technology and other proprietary information, including parts of the ULTA and PFCA products,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87"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200" w:lineRule="exact"/>
        <w:rPr>
          <w:sz w:val="20"/>
          <w:szCs w:val="20"/>
          <w:color w:val="auto"/>
        </w:rPr>
      </w:pPr>
    </w:p>
    <w:p>
      <w:pPr>
        <w:spacing w:after="0" w:line="206" w:lineRule="exact"/>
        <w:rPr>
          <w:sz w:val="20"/>
          <w:szCs w:val="20"/>
          <w:color w:val="auto"/>
        </w:rPr>
      </w:pPr>
    </w:p>
    <w:p>
      <w:pPr>
        <w:jc w:val="both"/>
        <w:ind w:left="60" w:right="59" w:firstLine="360"/>
        <w:spacing w:after="0" w:line="259" w:lineRule="auto"/>
        <w:rPr>
          <w:sz w:val="20"/>
          <w:szCs w:val="20"/>
          <w:color w:val="auto"/>
        </w:rPr>
      </w:pPr>
      <w:r>
        <w:rPr>
          <w:rFonts w:ascii="Times New Roman" w:cs="Times New Roman" w:eastAsia="Times New Roman" w:hAnsi="Times New Roman"/>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reverse-engineer or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200" w:lineRule="exact"/>
        <w:rPr>
          <w:sz w:val="20"/>
          <w:szCs w:val="20"/>
          <w:color w:val="auto"/>
        </w:rPr>
      </w:pPr>
    </w:p>
    <w:p>
      <w:pPr>
        <w:spacing w:after="0" w:line="204"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 which could have a material adverse effect on our business.</w:t>
      </w:r>
    </w:p>
    <w:p>
      <w:pPr>
        <w:spacing w:after="0" w:line="159" w:lineRule="exact"/>
        <w:rPr>
          <w:sz w:val="20"/>
          <w:szCs w:val="20"/>
          <w:color w:val="auto"/>
        </w:rPr>
      </w:pPr>
    </w:p>
    <w:p>
      <w:pPr>
        <w:jc w:val="both"/>
        <w:ind w:left="60" w:right="59" w:firstLine="360"/>
        <w:spacing w:after="0" w:line="252" w:lineRule="auto"/>
        <w:rPr>
          <w:sz w:val="20"/>
          <w:szCs w:val="20"/>
          <w:color w:val="auto"/>
        </w:rPr>
      </w:pPr>
      <w:r>
        <w:rPr>
          <w:rFonts w:ascii="Times New Roman" w:cs="Times New Roman" w:eastAsia="Times New Roman" w:hAnsi="Times New Roman"/>
          <w:sz w:val="18"/>
          <w:szCs w:val="18"/>
          <w:color w:val="auto"/>
        </w:rPr>
        <w:t>We or any future licensor may be subject to claims that former employees, collaborators or other third parties have an interest in our patents, trade secrets or other intellectual property. For example, we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important to our products.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200" w:lineRule="exact"/>
        <w:rPr>
          <w:sz w:val="20"/>
          <w:szCs w:val="20"/>
          <w:color w:val="auto"/>
        </w:rPr>
      </w:pPr>
    </w:p>
    <w:p>
      <w:pPr>
        <w:spacing w:after="0" w:line="20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and enforce our trademarks and trade names or build name recognition in our markets of interest thereby harming our competitive position, which could have a material adverse effect on our business.</w:t>
      </w:r>
    </w:p>
    <w:p>
      <w:pPr>
        <w:spacing w:after="0" w:line="159" w:lineRule="exact"/>
        <w:rPr>
          <w:sz w:val="20"/>
          <w:szCs w:val="20"/>
          <w:color w:val="auto"/>
        </w:rPr>
      </w:pPr>
    </w:p>
    <w:p>
      <w:pPr>
        <w:jc w:val="both"/>
        <w:ind w:left="60" w:right="59" w:firstLine="360"/>
        <w:spacing w:after="0" w:line="252" w:lineRule="auto"/>
        <w:rPr>
          <w:sz w:val="20"/>
          <w:szCs w:val="20"/>
          <w:color w:val="auto"/>
        </w:rPr>
      </w:pPr>
      <w:r>
        <w:rPr>
          <w:rFonts w:ascii="Times New Roman" w:cs="Times New Roman" w:eastAsia="Times New Roman" w:hAnsi="Times New Roman"/>
          <w:sz w:val="18"/>
          <w:szCs w:val="18"/>
          <w:color w:val="auto"/>
        </w:rPr>
        <w:t>The registered or unregistered trademarks or trade names that we own may be challenged, infringed, circumvented, declared generic, lapsed or determined to be infringing on or dilutive of other marks owned by third parties. We may not be able to protect our rights in these trademarks and trade names, which we need in order to build name recognition. In addition, third parties may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may in the future enter into agreements with owners of such third 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of our products for an adequate amount of time and may adversely affect our business.</w:t>
      </w:r>
    </w:p>
    <w:p>
      <w:pPr>
        <w:spacing w:after="0" w:line="15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effective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portfolio may not provide us with sufficient rights to exclude others from commercializing products similar or identical to ours, which could have a material adverse effect on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 which could have a material adverse effect on our business.</w:t>
      </w:r>
    </w:p>
    <w:p>
      <w:pPr>
        <w:spacing w:after="0" w:line="180"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payments and other similar provisions during the patent application process, and during the lifetime of the patent. In certain circumstances, we may rely on any future licensor, or third-party annuity payment service,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independent contractors or any third parties that have access to our confidential information or trade secrets have wrongfully used or disclosed confidential information of third parties or that our employees have wrongfully used or disclosed trade secrets of their former employers, which could have a material adverse effect on our business.</w:t>
      </w:r>
    </w:p>
    <w:p>
      <w:pPr>
        <w:spacing w:after="0" w:line="180" w:lineRule="exact"/>
        <w:rPr>
          <w:sz w:val="20"/>
          <w:szCs w:val="20"/>
          <w:color w:val="auto"/>
        </w:rPr>
      </w:pPr>
    </w:p>
    <w:p>
      <w:pPr>
        <w:jc w:val="both"/>
        <w:ind w:left="60" w:right="59" w:firstLine="360"/>
        <w:spacing w:after="0" w:line="252" w:lineRule="auto"/>
        <w:rPr>
          <w:sz w:val="20"/>
          <w:szCs w:val="20"/>
          <w:color w:val="auto"/>
        </w:rPr>
      </w:pPr>
      <w:r>
        <w:rPr>
          <w:rFonts w:ascii="Times New Roman" w:cs="Times New Roman" w:eastAsia="Times New Roman" w:hAnsi="Times New Roman"/>
          <w:sz w:val="18"/>
          <w:szCs w:val="18"/>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misappropriated,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200" w:lineRule="exact"/>
        <w:rPr>
          <w:sz w:val="20"/>
          <w:szCs w:val="20"/>
          <w:color w:val="auto"/>
        </w:rPr>
      </w:pPr>
    </w:p>
    <w:p>
      <w:pPr>
        <w:spacing w:after="0" w:line="21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we may be ineffective in perfecting ownership of inventions developed by that individual, which could have a material adverse effect on our business, financial condition, results of operations, and prospects.</w:t>
      </w:r>
    </w:p>
    <w:p>
      <w:pPr>
        <w:spacing w:after="0" w:line="194" w:lineRule="exact"/>
        <w:rPr>
          <w:sz w:val="20"/>
          <w:szCs w:val="20"/>
          <w:color w:val="auto"/>
        </w:rPr>
      </w:pPr>
    </w:p>
    <w:p>
      <w:pPr>
        <w:jc w:val="both"/>
        <w:ind w:left="60" w:right="59" w:firstLine="363"/>
        <w:spacing w:after="0" w:line="254" w:lineRule="auto"/>
        <w:rPr>
          <w:sz w:val="20"/>
          <w:szCs w:val="20"/>
          <w:color w:val="auto"/>
        </w:rPr>
      </w:pPr>
      <w:r>
        <w:rPr>
          <w:rFonts w:ascii="Times New Roman" w:cs="Times New Roman" w:eastAsia="Times New Roman" w:hAnsi="Times New Roman"/>
          <w:sz w:val="18"/>
          <w:szCs w:val="18"/>
          <w:color w:val="auto"/>
        </w:rPr>
        <w:t>Furthermore, we or any future licensor may in the future be subject to claims by former or current employees, consultants or other third parties asserting an ownership right or inventorship in our owned, or any future licensed, patents or patent applications.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in the futured and thus materially harm our business.</w:t>
      </w:r>
    </w:p>
    <w:p>
      <w:pPr>
        <w:spacing w:after="0" w:line="159" w:lineRule="exact"/>
        <w:rPr>
          <w:sz w:val="20"/>
          <w:szCs w:val="20"/>
          <w:color w:val="auto"/>
        </w:rPr>
      </w:pPr>
    </w:p>
    <w:p>
      <w:pPr>
        <w:jc w:val="both"/>
        <w:ind w:left="60" w:right="59" w:firstLine="360"/>
        <w:spacing w:after="0" w:line="255" w:lineRule="auto"/>
        <w:rPr>
          <w:sz w:val="20"/>
          <w:szCs w:val="20"/>
          <w:color w:val="auto"/>
        </w:rPr>
      </w:pPr>
      <w:r>
        <w:rPr>
          <w:rFonts w:ascii="Times New Roman" w:cs="Times New Roman" w:eastAsia="Times New Roman" w:hAnsi="Times New Roman"/>
          <w:sz w:val="18"/>
          <w:szCs w:val="18"/>
          <w:color w:val="auto"/>
        </w:rPr>
        <w:t>We may identify third-party technology that we may need to license or acquire in order to develop or commercialize our products or technologies, including the ULTA and PFCA products.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60"/>
        <w:spacing w:after="0" w:line="254" w:lineRule="auto"/>
        <w:rPr>
          <w:sz w:val="20"/>
          <w:szCs w:val="20"/>
          <w:color w:val="auto"/>
        </w:rPr>
      </w:pPr>
      <w:r>
        <w:rPr>
          <w:rFonts w:ascii="Times New Roman" w:cs="Times New Roman" w:eastAsia="Times New Roman" w:hAnsi="Times New Roman"/>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would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84"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of open-source software and failure to comply with the terms of the underlying open-source software licenses could impose limitations on our ability to commercialize our products and provide third parties access to our proprietary software, which could have a material adverse effect on our business.</w:t>
      </w:r>
    </w:p>
    <w:p>
      <w:pPr>
        <w:spacing w:after="0" w:line="175"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products utilize open-source software that contains modules licensed for use from third-party authors under open-source licenses. In particular, some software may be provided under license arrangements that allow use of the software for research or other noncommercial purposes. Use and distribution of open-source software may entail greater risks than use of third-party commercial software, as open-source software licensors generally do not provide warranties or other contractual protections regarding infringement claims or the quality of the code. Some open-source software licenses contain requirements that the licensee make its source code publicly available if the licensee creates modifications or derivative works using the open-source software, depending on the type of open-source software the licensee uses and how the licensee uses it. If we combine our proprietary software with open-source software in a certain manner, we could, under certain open-source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materially adverse effect on our business, financial condition, results of operations and prospects. In addition, some companies that use third-party open-source software have faced claims challenging their use of such open-source software and their compliance with the terms of the applicable open-source license. We may be subject to suits by third parties claiming ownership of what we believe to be open-source software, or claiming non-compliance with the applicable open-source licensing terms. Use of open-source software may also present additional security risks because the public availability of such software may make it easier for hackers and other third parties to compromise or attempt to compromise our technology platform and systems.</w:t>
      </w:r>
    </w:p>
    <w:p>
      <w:pPr>
        <w:spacing w:after="0" w:line="200" w:lineRule="exact"/>
        <w:rPr>
          <w:sz w:val="20"/>
          <w:szCs w:val="20"/>
          <w:color w:val="auto"/>
        </w:rPr>
      </w:pPr>
    </w:p>
    <w:p>
      <w:pPr>
        <w:spacing w:after="0" w:line="209"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Although we review and monitor our use of open-source software to avoid subjecting our proprietary software to conditions we do not intend, the terms of many open-source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open-source software in our products will be effective. If we are held to have breached the terms of an open-source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and such risk could have a material adverse effect on our business.</w:t>
      </w:r>
    </w:p>
    <w:p>
      <w:pPr>
        <w:spacing w:after="0" w:line="172" w:lineRule="exact"/>
        <w:rPr>
          <w:sz w:val="20"/>
          <w:szCs w:val="20"/>
          <w:color w:val="auto"/>
        </w:rPr>
      </w:pPr>
    </w:p>
    <w:p>
      <w:pPr>
        <w:jc w:val="both"/>
        <w:ind w:left="60" w:right="79" w:firstLine="360"/>
        <w:spacing w:after="0" w:line="275"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w:t>
      </w:r>
    </w:p>
    <w:p>
      <w:pPr>
        <w:spacing w:after="0" w:line="200" w:lineRule="exact"/>
        <w:rPr>
          <w:sz w:val="20"/>
          <w:szCs w:val="20"/>
          <w:color w:val="auto"/>
        </w:rPr>
      </w:pP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example:</w:t>
      </w:r>
    </w:p>
    <w:p>
      <w:pPr>
        <w:spacing w:after="0" w:line="239" w:lineRule="exact"/>
        <w:rPr>
          <w:sz w:val="20"/>
          <w:szCs w:val="20"/>
          <w:color w:val="auto"/>
        </w:rPr>
      </w:pPr>
    </w:p>
    <w:p>
      <w:pPr>
        <w:ind w:left="720" w:right="279" w:hanging="319"/>
        <w:spacing w:after="0" w:line="257"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products and technologies we may develop or may be able to utilize similar technologies that are not covered by the claims of the patents that we own or license now or in the future;</w:t>
      </w:r>
    </w:p>
    <w:p>
      <w:pPr>
        <w:spacing w:after="0" w:line="1" w:lineRule="exact"/>
        <w:rPr>
          <w:rFonts w:ascii="Times New Roman" w:cs="Times New Roman" w:eastAsia="Times New Roman" w:hAnsi="Times New Roman"/>
          <w:sz w:val="18"/>
          <w:szCs w:val="18"/>
          <w:color w:val="auto"/>
        </w:rPr>
      </w:pPr>
    </w:p>
    <w:p>
      <w:pPr>
        <w:ind w:left="720" w:right="459" w:hanging="319"/>
        <w:spacing w:after="0" w:line="258"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licensor(s), might not have been the first to make the inventions covered by the issued patent or pending patent application that we own, license or may own in the future;</w:t>
      </w:r>
    </w:p>
    <w:p>
      <w:pPr>
        <w:ind w:left="720" w:right="159" w:hanging="319"/>
        <w:spacing w:after="0" w:line="258"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licensor(s), might not have been the first to file patent applications covering certain of our or their inventions;</w:t>
      </w:r>
    </w:p>
    <w:p>
      <w:pPr>
        <w:ind w:left="720" w:right="319" w:hanging="319"/>
        <w:spacing w:after="0" w:line="255"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owned or future licensed intellectual property rights;</w:t>
      </w:r>
    </w:p>
    <w:p>
      <w:pPr>
        <w:spacing w:after="0" w:line="1" w:lineRule="exact"/>
        <w:rPr>
          <w:rFonts w:ascii="Times New Roman" w:cs="Times New Roman" w:eastAsia="Times New Roman" w:hAnsi="Times New Roman"/>
          <w:sz w:val="18"/>
          <w:szCs w:val="18"/>
          <w:color w:val="auto"/>
        </w:rPr>
      </w:pPr>
    </w:p>
    <w:p>
      <w:pPr>
        <w:ind w:left="720" w:right="219" w:hanging="319"/>
        <w:spacing w:after="0" w:line="258"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license or own in the future will not lead to issued patents;</w:t>
      </w:r>
    </w:p>
    <w:p>
      <w:pPr>
        <w:ind w:left="720" w:right="479" w:hanging="319"/>
        <w:spacing w:after="0" w:line="258"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ind w:left="720" w:right="79" w:hanging="319"/>
        <w:spacing w:after="0" w:line="255"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and</w:t>
      </w:r>
    </w:p>
    <w:p>
      <w:pPr>
        <w:spacing w:after="0" w:line="22" w:lineRule="exact"/>
        <w:rPr>
          <w:rFonts w:ascii="Times New Roman" w:cs="Times New Roman" w:eastAsia="Times New Roman" w:hAnsi="Times New Roman"/>
          <w:sz w:val="18"/>
          <w:szCs w:val="18"/>
          <w:color w:val="auto"/>
        </w:rPr>
      </w:pPr>
    </w:p>
    <w:p>
      <w:pPr>
        <w:ind w:left="720" w:right="1139" w:hanging="319"/>
        <w:spacing w:after="0" w:line="276" w:lineRule="auto"/>
        <w:tabs>
          <w:tab w:leader="none" w:pos="7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independently derive, use, commercialize, publish or patent such intellectual property.</w:t>
      </w:r>
    </w:p>
    <w:p>
      <w:pPr>
        <w:spacing w:after="0" w:line="181" w:lineRule="exact"/>
        <w:rPr>
          <w:sz w:val="20"/>
          <w:szCs w:val="20"/>
          <w:color w:val="auto"/>
        </w:rPr>
      </w:pPr>
    </w:p>
    <w:p>
      <w:pPr>
        <w:ind w:left="60" w:right="79" w:firstLine="360"/>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materially adversely affect our business, financial condition, results of operations and prospects.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Compliance Matters</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substantial expenses in our pursuit of regulatory clearances and approvals for our products in the United States and can provide no assurances that we will obtain the necessary approvals from the FDA to market our products in the United States.</w:t>
      </w:r>
    </w:p>
    <w:p>
      <w:pPr>
        <w:spacing w:after="0" w:line="175" w:lineRule="exact"/>
        <w:rPr>
          <w:sz w:val="20"/>
          <w:szCs w:val="20"/>
          <w:color w:val="auto"/>
        </w:rPr>
      </w:pPr>
    </w:p>
    <w:p>
      <w:pPr>
        <w:jc w:val="both"/>
        <w:ind w:left="60" w:right="59" w:firstLine="360"/>
        <w:spacing w:after="0" w:line="254" w:lineRule="auto"/>
        <w:rPr>
          <w:sz w:val="20"/>
          <w:szCs w:val="20"/>
          <w:color w:val="auto"/>
        </w:rPr>
      </w:pPr>
      <w:r>
        <w:rPr>
          <w:rFonts w:ascii="Times New Roman" w:cs="Times New Roman" w:eastAsia="Times New Roman" w:hAnsi="Times New Roman"/>
          <w:sz w:val="18"/>
          <w:szCs w:val="18"/>
          <w:color w:val="auto"/>
        </w:rPr>
        <w:t>The United States is a key market for commercialization of our products. Before we can market our products in the United States, we must conduct and successfully complete extensive clinical trials and then receive 510(k) clearance or PMA from the FDA. The time required to obtain approval by the FDA and comparable non-U.S. regulatory authorities may be unpredictable and depends upon numerous factors, including the substantial discretion of such regulatory authorities. In addition, policies, regulations or the type and amount of preclinical and clinical data necessary to gain clearance or approval may change during the course of a product’s lifecycle. We are required to undertake and complete certain studies to generate data required to support submissions to the FDA and certain other regulatory authorities, which studies may require additional capital and time. The FDA can delay, limit or deny clearance or approval of a device for many reasons, including:</w:t>
      </w:r>
    </w:p>
    <w:p>
      <w:pPr>
        <w:spacing w:after="0" w:line="188" w:lineRule="exact"/>
        <w:rPr>
          <w:sz w:val="20"/>
          <w:szCs w:val="20"/>
          <w:color w:val="auto"/>
        </w:rPr>
      </w:pPr>
    </w:p>
    <w:p>
      <w:pPr>
        <w:ind w:left="720" w:right="79" w:hanging="319"/>
        <w:spacing w:after="0" w:line="261"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regulatory entity or notified body that our products are safe and effective for their intended uses;</w:t>
      </w:r>
    </w:p>
    <w:p>
      <w:pPr>
        <w:ind w:left="720" w:right="79" w:hanging="319"/>
        <w:spacing w:after="0" w:line="250"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or the applicable foreign regulatory body with the design or implementation of our clinical trials or the interpretation of data from preclinical studies or clinical trials;</w:t>
      </w: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adverse device effects experienced by participants in our clinical trials;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or approval, where required;</w:t>
      </w:r>
    </w:p>
    <w:p>
      <w:pPr>
        <w:ind w:left="720" w:hanging="319"/>
        <w:spacing w:after="0"/>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product outweigh the risks;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facilities, or third-party manufacturers or suppliers we use may not meet applicable requirements;</w:t>
      </w:r>
    </w:p>
    <w:p>
      <w:pPr>
        <w:ind w:left="720" w:right="79" w:hanging="319"/>
        <w:spacing w:after="0" w:line="250"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compliance with preclinical, clinical or other regulations by us, our clinical investigators, or clinical trial service provides (e.g., contract research organizations); and</w:t>
      </w:r>
    </w:p>
    <w:p>
      <w:pPr>
        <w:jc w:val="both"/>
        <w:ind w:left="720" w:right="79" w:hanging="319"/>
        <w:spacing w:after="0" w:line="260" w:lineRule="auto"/>
        <w:tabs>
          <w:tab w:leader="none" w:pos="7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397"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It is possible that none of our products or any products we may seek to develop in the future will ever be cleared or approved by the FDA. Any delays in, or failure to receive or maintain, clearance or approval for our products could prevent us from generating revenue from these products or achieve profitability. Furthermore, even if we were to obtain 510(k) clearance or PMA approval for our products, neither clearance nor approval by the FDA nor our existing CE Marks ensures approval by regulatory authorities in other countries or jurisdictions that we may target for commercialization of the vCLAS system, and approval by one regulatory authority does not ensure approval by regulatory authorities in other countries or clearance or approval by the FDA. If we do not receive or maintain regulatory clearances or approvals for our products in the United States and other jurisdictions that we target for commercialization of our products, we will not be able to successfully commercialize our products, which could substantially impair our ability to generate revenues and materially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enforcement action if we engage in improper or off-label marketing or promotion of our products, including significant legal liability, fines, penalties, and injunctions, which could materially and adversely affect our business, financial condition, and results of operations.</w:t>
      </w:r>
    </w:p>
    <w:p>
      <w:pPr>
        <w:spacing w:after="0" w:line="175"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are not permitted to promote or market our products in the United States until FDA clearance or approval is obtained. After clearance or approval, our promotional materials and user training methods must comply with the requirements of the FDA and other applicable laws and regulations, including the prohibition of the promotion of unapproved, or “off-label,” uses. Practitioners may use our products off-label, as the FDA does not restrict or regulate a practitioner’s choice of treatment within the practice of medicine. However, if the FDA determines that our promotional materials or training constitutes promotion of an off-label use, it could request that we modify our training or promotional materials or subject us to regulatory or enforcement actions, including the issuance of an untitled letter, a warning letter, injunction, seizure, civil fine, or criminal prosecution. Other federal, state, or foreign enforcement authorities, including the U.S. Department of Justice, might also take action if they consider our promotional or training materials to constitute promotion of an off-label use, which could result in significant fines or penalties under other statutory authorities, such as laws prohibiting false claims for reimbursement. In that event, our reputation could be damaged, which may lead to reduced or non-acceptance of our proposed product candidates by the market. In addition, the off-label use of our products may increase the risk of product liability claims. Product liability claims are expensive to defend and could divert the attention of our management, result in substantial damage awards against us, and harm our reputation.</w:t>
      </w:r>
    </w:p>
    <w:p>
      <w:pPr>
        <w:spacing w:after="0" w:line="200" w:lineRule="exact"/>
        <w:rPr>
          <w:sz w:val="20"/>
          <w:szCs w:val="20"/>
          <w:color w:val="auto"/>
        </w:rPr>
      </w:pPr>
    </w:p>
    <w:p>
      <w:pPr>
        <w:spacing w:after="0" w:line="209"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and regulatory authorities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ability of the FDA and comparable foreign regulatory authorities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Disruptions at the FDA and other agencies and comparable regulatory authorities may also slow the time necessary for new devices to be reviewed and/or approved by necessary government agencies and regulatory authorities, which would adversely affect our business. For example, over the last several years, including most recently from January 31, 2026 to February 3, 2026, and from October 1, 2025 to November 12, 2205,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findings in post-marketing vigilance or regulatory audits could subject us to suspension or withdrawal of our certificates of conformity, mandatory product recalls and significant legal liability, which could materially and adversely affect our business, financial condition, and results of operations.</w:t>
      </w:r>
    </w:p>
    <w:p>
      <w:pPr>
        <w:spacing w:after="0" w:line="175" w:lineRule="exact"/>
        <w:rPr>
          <w:sz w:val="20"/>
          <w:szCs w:val="20"/>
          <w:color w:val="auto"/>
        </w:rPr>
      </w:pPr>
    </w:p>
    <w:p>
      <w:pPr>
        <w:jc w:val="both"/>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In May 2020, we received a CE Mark from our notified body (a private organization designated by the competent authorities of the European Economic Area (“EEA”), to conduct conformity assessments and verify the conformity of manufacturers and their medical devices with the Essential Requirements of the EU Medical Devices Directive and the EU Medical Devices Regulations) for our Cryoablation Console, iCLAS Cryoablation Catheter, Shaped Stylets, and Esophageal Warming Balloon Catheter allowing the CE Mark to be affixed to such products permitting such products to be placed on the market within any state in the EEA and, through mutual recognition agreements, Switzerland (subject to certain localized registration and language requirements). These are former product candidates that we are no longer pursuing. In March 2024, we received an EC certificate of conformity for the VT Cryoablation System (vCLAS™ Catheter and updated Cryoablation Console) under the EU Medical Devices Regulation (i.e., European Union Regulation 2017/745). Manufacturers of medical devices in the EEA are required to implement post-marketing vigilance procedures with respect to their CE Marked medical devices in accordance with the rules governing the Medical Device Vigilance System provided for in European Commission’s MDR Chapter VII. Such post-marketing vigilance procedures include surveillance of patient and user complaints and alleged incidents associated with the use of CE Marked medical devices. MDR Article 2(64) and (65) define incidents as any malfunction or deterioration in the characteristics and/or performance of a device made available on the market, including user error due to ergonomic features, as well as any inadequacy in information supplied by the manufacturer and any undesirable side-effects and serious incidents as any incident which, directly or indirectly, led, might lead to or might have led to (a) the death of a patient, or user or of other persons, (b) to the temporary or permanent serious deterioration in their state of health, or (c) serious public health threat. When a medical device is suspected to have a causal relationship with an incident that led or might have led to death of or the serious deterioration of the health of a patient, or user or of other person, its manufacturer or authorized representative in the EU must report it to the competent authority in whose territory the incident occurred. Serious incidents must be reported no later than 15 calendar days, and in some cases no later than 2 calendar days, after the manufacturer becomes aware of the incident. In addition to reporting the serious incidents, the manufacturer must investigate and take any corrective action required, including Field Safety Corrective Actions (“FSCAs”). For a reportable serious incident, the manufacturer’s investigation is monitored by the competent authority, which may intervene, or initiate an independent investigation if considered appropriate. The required corrective action depends on the seriousness of the incident and varies from the issuance of advisory notices to the implementation of FSCAs or product recalls. FSCAs must be reported by the manufacturer or its authorized representative to the competent authorities of the countries affected by the FSCA. Customers and/or the end users of the medical device must also be notified. Incidents not requiring reporting to the competent authorities must be documented, reviewed, investigated and analyzed on a regular basis by the manufacturer to determine whether trending conclusions can be made concerning the safety or performance of the medical device and whether actions must be taken in relation to the continued marketing of medical devices currently on the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63"/>
        <w:spacing w:after="0" w:line="252" w:lineRule="auto"/>
        <w:rPr>
          <w:sz w:val="20"/>
          <w:szCs w:val="20"/>
          <w:color w:val="auto"/>
        </w:rPr>
      </w:pPr>
      <w:r>
        <w:rPr>
          <w:rFonts w:ascii="Times New Roman" w:cs="Times New Roman" w:eastAsia="Times New Roman" w:hAnsi="Times New Roman"/>
          <w:sz w:val="18"/>
          <w:szCs w:val="18"/>
          <w:color w:val="auto"/>
        </w:rPr>
        <w:t>In May 2022, for example, we submitted a FSCA to the competent authorities relating to a serious adverse event that occurred in October 2021 during the U.S. pivotal IDE clinical study of the CE marked iCLAS™ Cryoablation System, a former product candidate that we are no longer pursuing. The U.S. IDE clinical study was put on a voluntary hold during the investigation of the incident, even though the iCLAS™ Cryoablation Catheter remained commercially available in the EU during such investigation. The procedure was performed with a guiding sheath that we had not authorized for use with our iCLAS™ Cryoablation Catheter in the study. After the catheter successfully completed 20 freeze cycles, it was removed from the patient for post-mapping and was subsequently re-inserted into the patient without completing the functional test freeze. After re-insertion, the freeze application was initiated followed by the receipt of a console alert of a system error. The patient’s heart rate declined rapidly and the presence of nitrogen in the left atrium was confirmed with intracardiac echocardiography. The patient subsequently died. After investigation, it was determined that the guiding sheath was damaged and therefore, severely compromised our iCLAS™ Cryoablation Catheter. During catheter removal, the force applied to retract our iCLAS™ Cryoablation Catheter caused its electrode band to cut into its freezing element and sever the two layers of high-pressure tubes containing the cryogen. This resulted in an external gas leak into the patient leading to air/gas embolism and death. The FSCA reported to the competent authorities described the corrective actions implemented by us including software and labeling update and retraining requirements, and the competent authorities accepted the corrective actions. The patient’s death was also reported to the FDA.</w:t>
      </w:r>
    </w:p>
    <w:p>
      <w:pPr>
        <w:spacing w:after="0" w:line="200" w:lineRule="exact"/>
        <w:rPr>
          <w:sz w:val="20"/>
          <w:szCs w:val="20"/>
          <w:color w:val="auto"/>
        </w:rPr>
      </w:pPr>
    </w:p>
    <w:p>
      <w:pPr>
        <w:spacing w:after="0" w:line="211" w:lineRule="exact"/>
        <w:rPr>
          <w:sz w:val="20"/>
          <w:szCs w:val="20"/>
          <w:color w:val="auto"/>
        </w:rPr>
      </w:pPr>
    </w:p>
    <w:p>
      <w:pPr>
        <w:jc w:val="both"/>
        <w:ind w:left="60" w:right="59" w:firstLine="360"/>
        <w:spacing w:after="0" w:line="254" w:lineRule="auto"/>
        <w:rPr>
          <w:sz w:val="20"/>
          <w:szCs w:val="20"/>
          <w:color w:val="auto"/>
        </w:rPr>
      </w:pPr>
      <w:r>
        <w:rPr>
          <w:rFonts w:ascii="Times New Roman" w:cs="Times New Roman" w:eastAsia="Times New Roman" w:hAnsi="Times New Roman"/>
          <w:sz w:val="18"/>
          <w:szCs w:val="18"/>
          <w:color w:val="auto"/>
        </w:rPr>
        <w:t>We expect to incur ongoing costs to comply with these post-market vigilance obligations in EEA markets for so long as we continue to market and sell products in those markets. Moreover, any patient or user complaints and/or adverse events discovered during such post-market vigilance could subject us to suspension or withdrawal of our EC certificates of conformity or CE Mark, mandatory product recalls and significant legal liability, which would materially and adversely affect our business, financial condition and results of operation. In addition, a notified body or competent authority in an EEA country may perform post-marketing audits on our products and premises from time to time. Failure to comply with such requests in a timely manner, and any adverse findings in any such audit, could subject us to suspension or withdrawal of our EC certificates of conformity or CE Mark, mandatory product recalls and significant legal liability, which could materially and adversely affect our business, financial condition and results of operations.</w:t>
      </w:r>
    </w:p>
    <w:p>
      <w:pPr>
        <w:spacing w:after="0" w:line="400"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enforcement action if we engage in marketing of our products pursuant to improper regulatory classifications in the EU, including suspension or withdrawal of our certificates of conformity, mandatory product recalls and significant legal liability, fines, penalties, and injunctions, which could materially and adversely affect our business, financial condition and results of operations.</w:t>
      </w:r>
    </w:p>
    <w:p>
      <w:pPr>
        <w:spacing w:after="0" w:line="180" w:lineRule="exact"/>
        <w:rPr>
          <w:sz w:val="20"/>
          <w:szCs w:val="20"/>
          <w:color w:val="auto"/>
        </w:rPr>
      </w:pPr>
    </w:p>
    <w:p>
      <w:pPr>
        <w:jc w:val="both"/>
        <w:ind w:left="60" w:right="79" w:firstLine="360"/>
        <w:spacing w:after="0" w:line="254" w:lineRule="auto"/>
        <w:rPr>
          <w:sz w:val="20"/>
          <w:szCs w:val="20"/>
          <w:color w:val="auto"/>
        </w:rPr>
      </w:pPr>
      <w:r>
        <w:rPr>
          <w:rFonts w:ascii="Times New Roman" w:cs="Times New Roman" w:eastAsia="Times New Roman" w:hAnsi="Times New Roman"/>
          <w:sz w:val="18"/>
          <w:szCs w:val="18"/>
          <w:color w:val="auto"/>
        </w:rPr>
        <w:t>To place a medical device on the market in the EU, a manufacturer must have a valid CE mark for the device, issued after the completion of a conformity assessment. For class I, II, or III medical devices, a third-party notified body must be involved in the conformity assessment procedure and issue an EC Certificate. For Class I devices, the manufacturer conducts its own conformity assessment and self-certifies the devices; the notified body is not involved. The components of our vCLAS Cryoablation system as placed on the market in the EU are individually classified and fall into different classifications. If an EU competent authority determines that one of our medical devices is marketed under improper classification and/or improper or invalid EC Certificate, the authority may initiate enforcement action, such as ordering us to recall and withdraw the respective medical device from the market and/or pursue criminal penalties under national member state law.</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currently subject to, and may in the future become subject to evolving, U.S. federal and state laws, regulations, contractual obligations, industry standards, and other obligations related to data privacy and security. Our (or the third parties with whom we work) actual or perceived failure to comply with such obligations could harm our business. Ensuring compliance with such laws could also impair our efforts to maintain and expand our future customer base and thereby decrease our revenue.</w:t>
      </w:r>
    </w:p>
    <w:p>
      <w:pPr>
        <w:spacing w:after="0" w:line="18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currently, and, in the future, will collect, receive, store, generate, make available, protect, secure, transfer, use or process personal data and other sensitive data, including personally identifiable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200" w:lineRule="exact"/>
        <w:rPr>
          <w:sz w:val="20"/>
          <w:szCs w:val="20"/>
          <w:color w:val="auto"/>
        </w:rPr>
      </w:pPr>
    </w:p>
    <w:p>
      <w:pPr>
        <w:spacing w:after="0" w:line="208" w:lineRule="exact"/>
        <w:rPr>
          <w:sz w:val="20"/>
          <w:szCs w:val="20"/>
          <w:color w:val="auto"/>
        </w:rPr>
      </w:pPr>
    </w:p>
    <w:p>
      <w:pPr>
        <w:jc w:val="both"/>
        <w:ind w:left="60" w:right="59" w:firstLine="360"/>
        <w:spacing w:after="0" w:line="252" w:lineRule="auto"/>
        <w:rPr>
          <w:sz w:val="20"/>
          <w:szCs w:val="20"/>
          <w:color w:val="auto"/>
        </w:rPr>
      </w:pPr>
      <w:r>
        <w:rPr>
          <w:rFonts w:ascii="Times New Roman" w:cs="Times New Roman" w:eastAsia="Times New Roman" w:hAnsi="Times New Roman"/>
          <w:sz w:val="18"/>
          <w:szCs w:val="18"/>
          <w:color w:val="auto"/>
        </w:rPr>
        <w:t>In the United States, various federal and state regulators, including governmental agencies like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increases privacy rights for California residents and imposes obligations on companies that process their personal information.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It is possible that these consumer, health-related and data protection laws may be interpreted and applied in a manner that is inconsistent with our practices. If so, this could result in government-imposed fines or orders requiring that we change our practices, which could adversely affect our business.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200" w:lineRule="exact"/>
        <w:rPr>
          <w:sz w:val="20"/>
          <w:szCs w:val="20"/>
          <w:color w:val="auto"/>
        </w:rPr>
      </w:pPr>
    </w:p>
    <w:p>
      <w:pPr>
        <w:spacing w:after="0" w:line="211" w:lineRule="exact"/>
        <w:rPr>
          <w:sz w:val="20"/>
          <w:szCs w:val="20"/>
          <w:color w:val="auto"/>
        </w:rPr>
      </w:pPr>
    </w:p>
    <w:p>
      <w:pPr>
        <w:jc w:val="both"/>
        <w:ind w:left="60" w:right="59" w:firstLine="360"/>
        <w:spacing w:after="0" w:line="252" w:lineRule="auto"/>
        <w:rPr>
          <w:sz w:val="20"/>
          <w:szCs w:val="20"/>
          <w:color w:val="auto"/>
        </w:rPr>
      </w:pPr>
      <w:r>
        <w:rPr>
          <w:rFonts w:ascii="Times New Roman" w:cs="Times New Roman" w:eastAsia="Times New Roman" w:hAnsi="Times New Roman"/>
          <w:sz w:val="18"/>
          <w:szCs w:val="18"/>
          <w:color w:val="auto"/>
        </w:rPr>
        <w:t>Furthermore, regulations promulgated pursuant to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breaches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60"/>
        <w:spacing w:after="0" w:line="252"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govern data privacy and security. For example, the European Union’s General Data Protection Regulation (“EU GDPR”), the United Kingdom’s GDPR (“UK GDPR”, and together with the EU GDPR, “GDPR”), Brazil’s General Data Protection Law (Lei Geral de Proteção de Dados Pessoais, or “LGPD”) (Law No. 13,709/2018), and China’s Personal Information Protection Law (“PIPL”)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189"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transfer data in connection with certain transactions or agreements.</w:t>
      </w:r>
    </w:p>
    <w:p>
      <w:pPr>
        <w:spacing w:after="0" w:line="194"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publish privacy policies, marketing materials, whitepapers, and other statements, such as statements related to compliance with certain certifications or self-regulatory principles,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the third parties with whom we work,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broad and complex healthcare and other laws, we could face substantial penalties and our business, operations, and financial condition could be adversely affected.</w:t>
      </w:r>
    </w:p>
    <w:p>
      <w:pPr>
        <w:spacing w:after="0" w:line="145" w:lineRule="exact"/>
        <w:rPr>
          <w:sz w:val="20"/>
          <w:szCs w:val="20"/>
          <w:color w:val="auto"/>
        </w:rPr>
      </w:pPr>
    </w:p>
    <w:p>
      <w:pPr>
        <w:jc w:val="both"/>
        <w:ind w:left="60" w:right="59" w:firstLine="360"/>
        <w:spacing w:after="0" w:line="258" w:lineRule="auto"/>
        <w:rPr>
          <w:sz w:val="20"/>
          <w:szCs w:val="20"/>
          <w:color w:val="auto"/>
        </w:rPr>
      </w:pPr>
      <w:r>
        <w:rPr>
          <w:rFonts w:ascii="Times New Roman" w:cs="Times New Roman" w:eastAsia="Times New Roman" w:hAnsi="Times New Roman"/>
          <w:sz w:val="18"/>
          <w:szCs w:val="18"/>
          <w:color w:val="auto"/>
        </w:rPr>
        <w:t>The marketing of pharmaceutical products and related arrangements with healthcare providers, third-party payors, patients, and other third parties in the healthcare industry are subject to a wide range of federal and state healthcare laws and regulations that may constrain our business and/or financial arrangements. Some of these laws apply to us now, while other laws may apply to us only if and when we have marketed products or have marketed products that are covered by government health benefit programs or private health care insurance. These laws include:</w:t>
      </w:r>
    </w:p>
    <w:p>
      <w:pPr>
        <w:spacing w:after="0" w:line="183" w:lineRule="exact"/>
        <w:rPr>
          <w:sz w:val="20"/>
          <w:szCs w:val="20"/>
          <w:color w:val="auto"/>
        </w:rPr>
      </w:pPr>
    </w:p>
    <w:p>
      <w:pPr>
        <w:jc w:val="both"/>
        <w:ind w:left="720" w:right="79" w:hanging="319"/>
        <w:spacing w:after="0" w:line="259"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294"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FCA, which can be enforced through civil whistleblower, or qui tam actions, as well as civil monetary penalty laws can impose criminal and civil penalties, assessment, and exclusion from participation for various forms of fraud and abuse involving the federal healthcare programs, such as Medicare and Medicaid;</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imposes criminal and civil liability for executing a scheme to defraud any healthcare benefit program and also establishes requirements related to the privacy, security, and transmission of individually identifiable health information which apply to many healthcare providers, physicians, and third-party payors with whom we interact;</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75"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which, among other things, strictly regulates drug product and medical device marketing, prohibits manufacturers from marketing such products for off-label use, and regulates the distribution of samples;</w:t>
      </w:r>
    </w:p>
    <w:p>
      <w:pPr>
        <w:spacing w:after="0" w:line="28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that require pharmaceutical manufacturers to calculate, report, and certify certain complex product prices and other data to the government or provide certain discounts or rebates to government authorities or private entities, often as a condition of reimbursement under government healthcare programs, which data may be used in the calculation of reimbursement and/or discounts on approved products;</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so-called federal “sunshine law” or Open Payments which requires manufacturers of drugs, devices, biologics, and medical supplies covered under certain government health benefit programs to report to the Centers for Medicare &amp; Medicaid Services, or CMS, information related to payments and other transfers of value to teaching hospitals, physicians, and other healthcare practitioners, as well as ownership and investment interests held by physicians and their immediate family members;</w:t>
      </w:r>
    </w:p>
    <w:p>
      <w:pPr>
        <w:spacing w:after="0" w:line="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53"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and regulations analogous to federal laws, including anti-kickback or related laws, some of which apply regardless of whether products or services are covered by government health benefit programs or private insurance, false claims laws, laws prohibiting consumer protection and unfair competition laws, and laws governing privacy, security, and breaches of health (and other personal) information in certain circumstances, many of which differ in significant ways from federal laws and across states and are often not preempted by federal law, thus complicating compliance efforts; and</w:t>
      </w:r>
    </w:p>
    <w:p>
      <w:pPr>
        <w:spacing w:after="0" w:line="79" w:lineRule="exact"/>
        <w:rPr>
          <w:rFonts w:ascii="Times New Roman" w:cs="Times New Roman" w:eastAsia="Times New Roman" w:hAnsi="Times New Roman"/>
          <w:sz w:val="18"/>
          <w:szCs w:val="18"/>
          <w:color w:val="auto"/>
        </w:rPr>
      </w:pPr>
    </w:p>
    <w:p>
      <w:pPr>
        <w:jc w:val="both"/>
        <w:ind w:left="720" w:right="79" w:hanging="319"/>
        <w:spacing w:after="0" w:line="257" w:lineRule="auto"/>
        <w:tabs>
          <w:tab w:leader="none" w:pos="7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require pharmaceutical companies to obtain certain regulatory licenses to manufacture or distribute pharmaceutical products commercially and/or the registration of pharmaceutical sales representatives and state laws that require pharmaceutical companies to comply with specific compliance standards, restrict financial interactions between pharmaceutical companies and healthcare providers, and/or report drug product pricing information, financial interactions with health care providers, or marketing expenditures.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60"/>
        <w:spacing w:after="0" w:line="266"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68" w:lineRule="exact"/>
        <w:rPr>
          <w:sz w:val="20"/>
          <w:szCs w:val="20"/>
          <w:color w:val="auto"/>
        </w:rPr>
      </w:pPr>
    </w:p>
    <w:p>
      <w:pPr>
        <w:jc w:val="both"/>
        <w:ind w:left="60" w:right="59" w:firstLine="360"/>
        <w:spacing w:after="0" w:line="266" w:lineRule="auto"/>
        <w:rPr>
          <w:sz w:val="20"/>
          <w:szCs w:val="20"/>
          <w:color w:val="auto"/>
        </w:rPr>
      </w:pPr>
      <w:r>
        <w:rPr>
          <w:rFonts w:ascii="Times New Roman" w:cs="Times New Roman" w:eastAsia="Times New Roman" w:hAnsi="Times New Roman"/>
          <w:sz w:val="18"/>
          <w:szCs w:val="18"/>
          <w:color w:val="auto"/>
        </w:rPr>
        <w:t>To the extent that we implement a telehealth platform, activities undertaken and arrangements implemented in connection with such a platform may implicate other laws such as state physician, pharmacy and telehealth licensure laws, corporate practice of medicine, and fee-splitting laws.</w:t>
      </w:r>
    </w:p>
    <w:p>
      <w:pPr>
        <w:spacing w:after="0" w:line="68" w:lineRule="exact"/>
        <w:rPr>
          <w:sz w:val="20"/>
          <w:szCs w:val="20"/>
          <w:color w:val="auto"/>
        </w:rPr>
      </w:pPr>
    </w:p>
    <w:p>
      <w:pPr>
        <w:jc w:val="both"/>
        <w:ind w:left="60" w:right="59" w:firstLine="360"/>
        <w:spacing w:after="0" w:line="252" w:lineRule="auto"/>
        <w:rPr>
          <w:sz w:val="20"/>
          <w:szCs w:val="20"/>
          <w:color w:val="auto"/>
        </w:rPr>
      </w:pPr>
      <w:r>
        <w:rPr>
          <w:rFonts w:ascii="Times New Roman" w:cs="Times New Roman" w:eastAsia="Times New Roman" w:hAnsi="Times New Roman"/>
          <w:sz w:val="18"/>
          <w:szCs w:val="18"/>
          <w:color w:val="auto"/>
        </w:rPr>
        <w:t>Efforts to ensure that our activities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such laws. For example, we have engaged physicians to serve as investigators and/or consultants, including service on advisory boards, and our commercialization plan may include significant physician outreach and education. Federal and state enforcement agencies scrutinize interactions between pharmaceutical companies and healthcare providers, which has led to a number of investigations, prosecutions, convictions, and settlements in the healthcare industry. If our operations are found to be in violation of any of these laws or any other governmental regulations that may apply to us, we may be subject to significant civil, criminal, and administrative penalties, damages, fines, exclusion from participation in federal health care programs such as Medicare and Medicaid, the curtailment or restructuring of our operations, and other actions.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200" w:lineRule="exact"/>
        <w:rPr>
          <w:sz w:val="20"/>
          <w:szCs w:val="20"/>
          <w:color w:val="auto"/>
        </w:rPr>
      </w:pPr>
    </w:p>
    <w:p>
      <w:pPr>
        <w:spacing w:after="0" w:line="211"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or will be subject to anti-corruption and anti-bribery and anti-money laundering and similar laws, and non-compliance with such laws can subject us to administrative, civil and criminal fines and penalties, collateral consequences, remedial measures and legal expenses, all of which could adversely affect our reputation, business, financial condition and results of operations.</w:t>
      </w:r>
    </w:p>
    <w:p>
      <w:pPr>
        <w:spacing w:after="0" w:line="180" w:lineRule="exact"/>
        <w:rPr>
          <w:sz w:val="20"/>
          <w:szCs w:val="20"/>
          <w:color w:val="auto"/>
        </w:rPr>
      </w:pPr>
    </w:p>
    <w:p>
      <w:pPr>
        <w:jc w:val="both"/>
        <w:ind w:left="60" w:right="59" w:firstLine="360"/>
        <w:spacing w:after="0" w:line="261" w:lineRule="auto"/>
        <w:rPr>
          <w:sz w:val="20"/>
          <w:szCs w:val="20"/>
          <w:color w:val="auto"/>
        </w:rPr>
      </w:pPr>
      <w:r>
        <w:rPr>
          <w:rFonts w:ascii="Times New Roman" w:cs="Times New Roman" w:eastAsia="Times New Roman" w:hAnsi="Times New Roman"/>
          <w:sz w:val="18"/>
          <w:szCs w:val="18"/>
          <w:color w:val="auto"/>
        </w:rPr>
        <w:t>We are or will be subject to anti-corruption and anti-bribery and anti-money laundering and similar laws, which prohibit corporations and individuals from directly or indirectly paying, offering to pay, or authorizing the payment of anything of value to any foreign government official, government staff member, political party, or political candidate in an attempt to obtain or retain business or to otherwise influence a person working in an official capacity.</w:t>
      </w:r>
    </w:p>
    <w:p>
      <w:pPr>
        <w:spacing w:after="0" w:line="180" w:lineRule="exact"/>
        <w:rPr>
          <w:sz w:val="20"/>
          <w:szCs w:val="20"/>
          <w:color w:val="auto"/>
        </w:rPr>
      </w:pPr>
    </w:p>
    <w:p>
      <w:pPr>
        <w:jc w:val="both"/>
        <w:ind w:left="60" w:right="59" w:firstLine="360"/>
        <w:spacing w:after="0" w:line="258" w:lineRule="auto"/>
        <w:rPr>
          <w:sz w:val="20"/>
          <w:szCs w:val="20"/>
          <w:color w:val="auto"/>
        </w:rPr>
      </w:pPr>
      <w:r>
        <w:rPr>
          <w:rFonts w:ascii="Times New Roman" w:cs="Times New Roman" w:eastAsia="Times New Roman" w:hAnsi="Times New Roman"/>
          <w:sz w:val="18"/>
          <w:szCs w:val="18"/>
          <w:color w:val="auto"/>
        </w:rPr>
        <w:t>This includes the FCPA, which prohibits corporations and individuals from paying, offering to pay, or authorizing the payment of anything of value directly or indirectly to any foreign government official, government staff member, political party, or political candidate in an attempt to obtain or retain business or to otherwise influence a person working in an official capacity. We are also subject to the UK Anti-Bribery Act, which prohibits both domestic and international bribery, as well as bribery across both public and private sectors.</w:t>
      </w:r>
    </w:p>
    <w:p>
      <w:pPr>
        <w:spacing w:after="0" w:line="183" w:lineRule="exact"/>
        <w:rPr>
          <w:sz w:val="20"/>
          <w:szCs w:val="20"/>
          <w:color w:val="auto"/>
        </w:rPr>
      </w:pPr>
    </w:p>
    <w:p>
      <w:pPr>
        <w:jc w:val="both"/>
        <w:ind w:left="60" w:right="59" w:firstLine="360"/>
        <w:spacing w:after="0" w:line="254" w:lineRule="auto"/>
        <w:rPr>
          <w:sz w:val="20"/>
          <w:szCs w:val="20"/>
          <w:color w:val="auto"/>
        </w:rPr>
      </w:pPr>
      <w:r>
        <w:rPr>
          <w:rFonts w:ascii="Times New Roman" w:cs="Times New Roman" w:eastAsia="Times New Roman" w:hAnsi="Times New Roman"/>
          <w:sz w:val="18"/>
          <w:szCs w:val="18"/>
          <w:color w:val="auto"/>
        </w:rPr>
        <w:t>As we expand our commercial operations outside of the United States, we will need to comply with non-U.S. regulatory requirements, will need to expand business relationships with various third parties, and will interact more frequently with foreign officials, including regulatory authorities. Expanded programs to maintain compliance with such laws will be costly and may not be effective. Any interactions with any such parties or individuals where compensation is provided that are found to be in violation of such laws could result in substantial fines and penalties and could materially harm our business. Furthermore, any finding of a violation under one country’s laws may increase the likelihood that we will be prosecuted and be found to have violated another country’s laws. If our business practices outside the United States are found to be in violation of the FCPA, UK Anti-Bribery Act or other similar laws, we may be subject to significant civil and criminal penalties which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5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partners, distributors,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If any of the physicians or other health care providers or entities with whom we expect to do business are found to be not in compliance with applicable laws, they may be subject to criminal, civil or administrative sanctions, including exclusions from government funded health care programs.</w:t>
      </w:r>
    </w:p>
    <w:p>
      <w:pPr>
        <w:spacing w:after="0" w:line="200" w:lineRule="exact"/>
        <w:rPr>
          <w:sz w:val="20"/>
          <w:szCs w:val="20"/>
          <w:color w:val="auto"/>
        </w:rPr>
      </w:pPr>
    </w:p>
    <w:p>
      <w:pPr>
        <w:spacing w:after="0" w:line="201"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commercialize our products and obtain marketing approval of our product candidates and may affect the prices we may obtain.</w:t>
      </w:r>
    </w:p>
    <w:p>
      <w:pPr>
        <w:spacing w:after="0" w:line="15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Changes in healthcare policy could increase our costs and subject it to additional regulatory requirements that may interrupt commercialization of our current and future solutions. Changes in healthcare policy could increase our costs, decrease our revenue and impact sales of and reimbursement for our current and future products. For example, the ACA substantially changed the way healthcare is financed by both governmental and private insurers, and significantly impacts the life sciences industry. Any changes to, or repeal of, the ACA may have a material adverse effect on our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Current and future legislative proposals to further reform healthcare or reduce healthcare costs may limit coverage of or lower reimbursement for the procedures associated with the use of our products.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products or additional pricing pressures. The cost containment measures that payors and providers are instituting and the effect of any healthcare reform initiative implemented in the future could impact our revenue from the sale of our products.</w:t>
      </w:r>
    </w:p>
    <w:p>
      <w:pPr>
        <w:spacing w:after="0" w:line="187"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recently called on Congress to enact “The Great Healthcare Plan,” to codify and expand Most-Favored Nation pricing, lower government subsidies to private insurance companies and increase healthcare price transparency, among other things. Other recent actions, for example, include directing agencies to reduce agency workforce and cut programs. Additionally, the current administration recently called on Congress to enact “The Great Healthcare Plan,” to codify and expand Most-Favored Nation pricing, lower government subsidies to private insurance companies and increase healthcare price transparency,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medical device approval process.</w:t>
      </w:r>
    </w:p>
    <w:p>
      <w:pPr>
        <w:spacing w:after="0" w:line="19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believe that there will continue to be proposals by legislators at both the federal and state levels, regulators and third-party payors to reduce costs while expanding individual healthcare benefits. Certain of these changes could impose additional limitations on the rates we will be able to charge for our current and future products or the amounts of reimbursement available for our current and future products from governmental agencies or third-party payors. Current and future healthcare reform legislation and policies could have a material adverse effect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Litigation and Regulation</w:t>
      </w:r>
    </w:p>
    <w:p>
      <w:pPr>
        <w:spacing w:after="0" w:line="22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laws and regulations of the United States and foreign regulatory agencies that could impose substantial costs, legal prohibitions and restrictions, or unfavorable changes upon our operations, and any failure to comply with these laws and regulations, including as they evolve, could delay or entirely prevent the commercialization of our products or result in litigation and substantially harm our business and results of operations.</w:t>
      </w:r>
    </w:p>
    <w:p>
      <w:pPr>
        <w:spacing w:after="0" w:line="180" w:lineRule="exact"/>
        <w:rPr>
          <w:sz w:val="20"/>
          <w:szCs w:val="20"/>
          <w:color w:val="auto"/>
        </w:rPr>
      </w:pPr>
    </w:p>
    <w:p>
      <w:pPr>
        <w:jc w:val="both"/>
        <w:ind w:left="60" w:right="59" w:firstLine="363"/>
        <w:spacing w:after="0" w:line="254" w:lineRule="auto"/>
        <w:rPr>
          <w:sz w:val="20"/>
          <w:szCs w:val="20"/>
          <w:color w:val="auto"/>
        </w:rPr>
      </w:pPr>
      <w:r>
        <w:rPr>
          <w:rFonts w:ascii="Times New Roman" w:cs="Times New Roman" w:eastAsia="Times New Roman" w:hAnsi="Times New Roman"/>
          <w:sz w:val="18"/>
          <w:szCs w:val="18"/>
          <w:color w:val="auto"/>
        </w:rPr>
        <w:t>We are and will be subject to environmental, manufacturing, and health and safety laws and regulations at numerous jurisdictional levels, including laws relating to the use, handling, storage, recycling, disposal and human exposure to hazardous materials and with respect to constructing, expanding and maintaining our facilities. Any violations of these laws may result in substantial fines and penalties, remediation costs, third party damages, or a suspension or cessation of our operations. The costs of compliance, including remediating contamination if any is found on our properties, or any related changes to our operations, may be significant. We may also face unexpected delays in obtaining permits and approvals required by such laws in connection with our manufacturing facilities, which would hinder our ability to commence or continue our commercial manufacturing operations. Such costs and delays may adversely impact our business prospects and results of operations.</w:t>
      </w:r>
    </w:p>
    <w:p>
      <w:pPr>
        <w:spacing w:after="0" w:line="188" w:lineRule="exact"/>
        <w:rPr>
          <w:sz w:val="20"/>
          <w:szCs w:val="20"/>
          <w:color w:val="auto"/>
        </w:rPr>
      </w:pPr>
    </w:p>
    <w:p>
      <w:pPr>
        <w:jc w:val="both"/>
        <w:ind w:left="60" w:right="59" w:firstLine="324"/>
        <w:spacing w:after="0" w:line="251" w:lineRule="auto"/>
        <w:rPr>
          <w:sz w:val="20"/>
          <w:szCs w:val="20"/>
          <w:color w:val="auto"/>
        </w:rPr>
      </w:pPr>
      <w:r>
        <w:rPr>
          <w:rFonts w:ascii="Times New Roman" w:cs="Times New Roman" w:eastAsia="Times New Roman" w:hAnsi="Times New Roman"/>
          <w:sz w:val="18"/>
          <w:szCs w:val="18"/>
          <w:color w:val="auto"/>
        </w:rPr>
        <w:t>In addition, the medical device industry is regulated extensively by governmental authorities, principally the FDA and corresponding state and foreign regulatory agencies and authorities, such as the EU legislative bodies and the EEA Member State Competent Authorities. The FDA and foreign regulatory agencies regulate, among other things, with respect to medical devices: design, development, manufacturing and release; laboratory, preclinical and clinical testing; labeling, packaging, content and language of instructions for use and storage; product safety and effectiveness; establishment registration and device listing; marketing, sales and distribution; regulatory authorization, including but not limited to pre-market clearance and approval; service operations; product traceability and record keeping procedures; advertising and promotion; recalls and field safety corrective actions; post-market surveillance, including reporting of deaths or serious injuries and malfunctions that, if they were to recur, could lead to death or serious injury; post-market studies; and product import and export. Any failures to comply with applicable laws, regulations and standards could result in significant expenses, delays, fines, or other sanctions. The laws and regulations to which we are subject are complex and change from time to time. Legal or regulatory changes, and FDA’s interpretation of regulations and guidance, could result in restrictions on our ability to carry on or expand our operations, higher than anticipated costs or lower than anticipated sales. The FDA and foreign regulatory agencies enforce these regulatory requirements through, among other means, periodic announced and unannounced inspections. We do not know whether we will be found compliant in connection with any future FDA inspections.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approvals, resulting in prohibitions on sales of our products; and in the most serious cases, criminal penalties. Regulatory enforcement or inquiries, or other increased scrutiny of us, could dissuade physicians from using our products and adversely affect our reputation and the perceived safety and effectiveness of our products.</w:t>
      </w:r>
    </w:p>
    <w:p>
      <w:pPr>
        <w:spacing w:after="0" w:line="200" w:lineRule="exact"/>
        <w:rPr>
          <w:sz w:val="20"/>
          <w:szCs w:val="20"/>
          <w:color w:val="auto"/>
        </w:rPr>
      </w:pPr>
    </w:p>
    <w:p>
      <w:pPr>
        <w:spacing w:after="0" w:line="222" w:lineRule="exact"/>
        <w:rPr>
          <w:sz w:val="20"/>
          <w:szCs w:val="20"/>
          <w:color w:val="auto"/>
        </w:rPr>
      </w:pPr>
    </w:p>
    <w:p>
      <w:pPr>
        <w:jc w:val="both"/>
        <w:ind w:left="60" w:right="59" w:firstLine="360"/>
        <w:spacing w:after="0" w:line="256" w:lineRule="auto"/>
        <w:rPr>
          <w:sz w:val="20"/>
          <w:szCs w:val="20"/>
          <w:color w:val="auto"/>
        </w:rPr>
      </w:pPr>
      <w:r>
        <w:rPr>
          <w:rFonts w:ascii="Times New Roman" w:cs="Times New Roman" w:eastAsia="Times New Roman" w:hAnsi="Times New Roman"/>
          <w:sz w:val="18"/>
          <w:szCs w:val="18"/>
          <w:color w:val="auto"/>
        </w:rPr>
        <w:t>We also expect to become subject to laws and regulations applicable to the supply, manufacture, import, sale, and service of our products, including in those countries and markets we intend to enter in the future. Compliance with such regulations will require additional time, effort and expense to ensure regulatory compliance in those countries. There can be no assurance that we will be able to achieve foreign regulatory compliance in a timely manner and at our expected cost, or at all, and the costs of achieving international regulatory compliance or the failure to achieve international regulatory compliance could harm our business, prospects,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relating to disputes and other legal proceedings, product liability lawsuits, that may be time consuming and costly.</w:t>
      </w:r>
    </w:p>
    <w:p>
      <w:pPr>
        <w:spacing w:after="0" w:line="159" w:lineRule="exact"/>
        <w:rPr>
          <w:sz w:val="20"/>
          <w:szCs w:val="20"/>
          <w:color w:val="auto"/>
        </w:rPr>
      </w:pPr>
    </w:p>
    <w:p>
      <w:pPr>
        <w:jc w:val="both"/>
        <w:ind w:left="60" w:right="59" w:firstLine="360"/>
        <w:spacing w:after="0" w:line="255" w:lineRule="auto"/>
        <w:rPr>
          <w:sz w:val="20"/>
          <w:szCs w:val="20"/>
          <w:color w:val="auto"/>
        </w:rPr>
      </w:pPr>
      <w:r>
        <w:rPr>
          <w:rFonts w:ascii="Times New Roman" w:cs="Times New Roman" w:eastAsia="Times New Roman" w:hAnsi="Times New Roman"/>
          <w:sz w:val="18"/>
          <w:szCs w:val="18"/>
          <w:color w:val="auto"/>
        </w:rPr>
        <w:t>Our business exposes us to the risk of product liability claims that are inherent in the design, development, testing, manufacture and marketing of medical devices. This risk exists even if a device or product is cleared or approved for commercial sale or testing by FDA or other foreign regulators and manufactured in facilities registered with and regulated by FDA or an applicable foreign regulatory authority. Any manufacturing or design defects, misuse (including, but not limited to, inadequate sterilization or product cooling) by trained medical professionals or others, or abuse associated with our products could result in patient injury or death. The medical device industry has historically been subject to extensive litigation over product liability claims, and we cannot offer any assurance that we will not face product liability suits.</w:t>
      </w:r>
    </w:p>
    <w:p>
      <w:pPr>
        <w:spacing w:after="0" w:line="200" w:lineRule="exact"/>
        <w:rPr>
          <w:sz w:val="20"/>
          <w:szCs w:val="20"/>
          <w:color w:val="auto"/>
        </w:rPr>
      </w:pPr>
    </w:p>
    <w:p>
      <w:pPr>
        <w:spacing w:after="0" w:line="205" w:lineRule="exact"/>
        <w:rPr>
          <w:sz w:val="20"/>
          <w:szCs w:val="20"/>
          <w:color w:val="auto"/>
        </w:rPr>
      </w:pPr>
    </w:p>
    <w:p>
      <w:pPr>
        <w:jc w:val="both"/>
        <w:ind w:left="60" w:right="59" w:firstLine="360"/>
        <w:spacing w:after="0" w:line="255" w:lineRule="auto"/>
        <w:rPr>
          <w:sz w:val="20"/>
          <w:szCs w:val="20"/>
          <w:color w:val="auto"/>
        </w:rPr>
      </w:pPr>
      <w:r>
        <w:rPr>
          <w:rFonts w:ascii="Times New Roman" w:cs="Times New Roman" w:eastAsia="Times New Roman" w:hAnsi="Times New Roman"/>
          <w:sz w:val="18"/>
          <w:szCs w:val="18"/>
          <w:color w:val="auto"/>
        </w:rPr>
        <w:t>In addition, an injury that is caused by the activities of our suppliers, such as those who provide us with components and raw materials, or hired medical professional field specialists, such as third-party hospitals and medical professionals carrying out field tests, may be the basis for a claim against us. Product liability or wrongful death claims may be brought against us by patients, health care providers or others coming into contact with, or providing services using, our products. If we cannot successfully defend ourselves against these or similar claims, or if we or our suppliers have inadequate product liability insurance, we may incur substantial liabilities and reputational harm. In addition, regardless of merit or eventual outcome, product liability claims may result in:</w:t>
      </w:r>
    </w:p>
    <w:p>
      <w:pPr>
        <w:spacing w:after="0" w:line="189" w:lineRule="exact"/>
        <w:rPr>
          <w:sz w:val="20"/>
          <w:szCs w:val="20"/>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our brand and/or business reputation;</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costly litigation;</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withdrawal from the market;</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or other claimants.</w:t>
      </w:r>
    </w:p>
    <w:p>
      <w:pPr>
        <w:spacing w:after="0" w:line="23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While we may attempt to manage our product liability exposure and other related legal liabilities by proactively recalling or withdrawing from the market any defective products, any recall or market withdrawal of our products may delay the supply of those products to our customers and may impact our reputation. We can provide no assurance that we will be successful in initiating appropriate recall or market withdrawal efforts, or adequate medical training regarding the use of our devices, that may be required in the future or that these efforts will have the intended effect of preventing product malfunctions or wrongful use and the accompanying product liability that may result. Any such recalls and market withdrawals may also be used by our competitors to harm our reputation for safety or be perceived by patients as a safety risk when considering the use of our products, either of which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governing export and import controls, sanctions and embargoes. We could face liability and other serious consequences for violations which can harm our business.</w:t>
      </w:r>
    </w:p>
    <w:p>
      <w:pPr>
        <w:spacing w:after="0" w:line="15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Such laws may require us to obtain export licenses or authorizations prior to exporting, re-exporting, or transferring our products and technology, or may even restrict or prohibit the export, reexport, or transfer of our products and services to, or otherwise transact or deal with, certain countries, territories, individuals, and entities. There is no certainty that all of our employees, agents, suppliers, manufacturers, contractors or collaborators, or those of our affiliates, will comply with all applicable export and import control, and sanctions laws and regulations.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Financing Transactions</w:t>
      </w:r>
    </w:p>
    <w:p>
      <w:pPr>
        <w:spacing w:after="0" w:line="22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risks associated with our Convertible Securities Notes that could adversely affect our business and financial condition.</w:t>
      </w:r>
    </w:p>
    <w:p>
      <w:pPr>
        <w:spacing w:after="0" w:line="15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have an aggregate original principal amount of $20,000,000 of outstanding indebtedness under the Convertible Securities Notes, (as defined below) which have a maturity of April 30, 2028. The Convertible Securities Notes accrue interest at a rate of 13% per annum, which is due quarterly and, at our election, either payable-in-kind (in which case, such interest will accrue and remain unpaid until maturity) or payable in cash. Further, the Convertible Securities Notes are, at the option of the holders of the Convertible Securities Notes (subject to certain conditions), convertible into shares of common stock at a rate of $10.00 per share, each subject to adjustment in accordance with the terms and conditions of the Convertible Securities Notes.</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Convertible Securities Notes provide for certain customary events of default, including, among others, payment defaults, voluntary or involuntary bankruptcy, material misrepresentations, covenants breaches (subject to grace in certain instances), material judgements and material cross-defaults to other indebtedness. The Convertible Securities Notes also include certain customary affirmative and negative covenants, including, among others, limitations on incurring additional indebtedness, the creation of additional liens on our assets, and entering into investments, in each case subject to customary exceptions, as well as a minimum liquidity requirement and an asset sale mandatory prepayment requirement, subject to customary reinvestment rights. In addition, a Change of Control, as defined in the Convertible Securities Notes, includes, among others, certain mergers, asset sales, tender offers, business combinations and reorganizations, which would give the holders of the Convertible Securities Notes the right to redeem the outstanding Convertible Securities Notes in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60"/>
        <w:spacing w:after="0" w:line="263" w:lineRule="auto"/>
        <w:rPr>
          <w:sz w:val="20"/>
          <w:szCs w:val="20"/>
          <w:color w:val="auto"/>
        </w:rPr>
      </w:pPr>
      <w:r>
        <w:rPr>
          <w:rFonts w:ascii="Times New Roman" w:cs="Times New Roman" w:eastAsia="Times New Roman" w:hAnsi="Times New Roman"/>
          <w:sz w:val="18"/>
          <w:szCs w:val="18"/>
          <w:color w:val="auto"/>
        </w:rPr>
        <w:t>Our ability to remain in compliance with the covenants under the Convertible Securities Notes depends on, among other things, our operating performance, competitive developments and financial market conditions, all of which are significantly affected by financial, business, economic and other factors, many of which we are not able to control.</w:t>
      </w:r>
    </w:p>
    <w:p>
      <w:pPr>
        <w:spacing w:after="0" w:line="4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Convertible Securities Notes could have other important consequences, including the following:</w:t>
      </w:r>
    </w:p>
    <w:p>
      <w:pPr>
        <w:spacing w:after="0" w:line="225" w:lineRule="exact"/>
        <w:rPr>
          <w:sz w:val="20"/>
          <w:szCs w:val="20"/>
          <w:color w:val="auto"/>
        </w:rPr>
      </w:pPr>
    </w:p>
    <w:p>
      <w:pPr>
        <w:jc w:val="both"/>
        <w:ind w:left="720" w:right="79" w:hanging="319"/>
        <w:spacing w:after="0" w:line="261"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imposed by the Convertible Securities Notes on our ability to incur additional debt and to take other actions might significantly impair our ability to obtain other financing. This could have serious consequences to our financial condition and results of operations and could cause us to become bankrupt or insolvent;</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use a substantial portion of our cash flow from operations to repay the principal and accrued and unpaid interest on the Convertible Securities Notes if an event of default occurs prior to maturity, which would reduce funds available to us to fund our business plan and other general corporate purposes;</w:t>
      </w:r>
    </w:p>
    <w:p>
      <w:pPr>
        <w:spacing w:after="0" w:line="67" w:lineRule="exact"/>
        <w:rPr>
          <w:rFonts w:ascii="Times New Roman" w:cs="Times New Roman" w:eastAsia="Times New Roman" w:hAnsi="Times New Roman"/>
          <w:sz w:val="18"/>
          <w:szCs w:val="18"/>
          <w:color w:val="auto"/>
        </w:rPr>
      </w:pPr>
    </w:p>
    <w:p>
      <w:pPr>
        <w:jc w:val="both"/>
        <w:ind w:left="720" w:right="79" w:hanging="319"/>
        <w:spacing w:after="0" w:line="257"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refinance the Convertible Securities Notes (at all or on terms that are satisfactory) or to otherwise repay the Convertible Securities Notes at maturity, including any unpaid and accrued interest therein, and we may be unable to obtain additional financing for our business plan, working capital, capital expenditures, acquisitions or general corporate purposes. Any refinancing of the Convertible Securities Notes could be at significantly higher interest rates, incur significant transaction fees or include more restrictive covenants;</w:t>
      </w:r>
    </w:p>
    <w:p>
      <w:pPr>
        <w:spacing w:after="0" w:line="295"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comply with the covenants in the Convertible Securities Notes due to business developments or financial market conditions, which could result in an event of default that, if not cured or waived, gives the holders of the Convertible Securities Notes the right to accelerate the Convertible Securities Notes or otherwise exercise any other remedies available to them under applicable law. Among those remedies, the holders would have the right to seize any of our assets pledged to the holders of the Convertible Securities Notes and/or to convert the Convertible Securities Notes into shares of common stock. An event of default could cause a significant decline in the value of the shares of common stock and may force us into bankruptcy or liquidation;</w:t>
      </w:r>
    </w:p>
    <w:p>
      <w:pPr>
        <w:spacing w:after="0" w:line="8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the Convertible Securities Notes into shares of common stock could result in significant dilution to our existing stockholders and cause the market price of the common stock to decline; and</w:t>
      </w:r>
    </w:p>
    <w:p>
      <w:pPr>
        <w:spacing w:after="0" w:line="5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more vulnerable to an economic downturn or recession and adverse developments in our business given our lack of revenues as a development stage company.</w:t>
      </w:r>
    </w:p>
    <w:p>
      <w:pPr>
        <w:spacing w:after="0" w:line="67" w:lineRule="exact"/>
        <w:rPr>
          <w:sz w:val="20"/>
          <w:szCs w:val="20"/>
          <w:color w:val="auto"/>
        </w:rPr>
      </w:pPr>
    </w:p>
    <w:p>
      <w:pPr>
        <w:jc w:val="both"/>
        <w:ind w:left="60" w:right="59" w:firstLine="363"/>
        <w:spacing w:after="0" w:line="259" w:lineRule="auto"/>
        <w:rPr>
          <w:sz w:val="20"/>
          <w:szCs w:val="20"/>
          <w:color w:val="auto"/>
        </w:rPr>
      </w:pPr>
      <w:r>
        <w:rPr>
          <w:rFonts w:ascii="Times New Roman" w:cs="Times New Roman" w:eastAsia="Times New Roman" w:hAnsi="Times New Roman"/>
          <w:sz w:val="18"/>
          <w:szCs w:val="18"/>
          <w:color w:val="auto"/>
        </w:rPr>
        <w:t>There can be no assurance that we will be able to manage any of the risks described above successfully. Further, capital and credit markets, which have been disrupted by macroeconomic pressures, have experienced increased volatility. As a result, access to additional financing may be challenging and is largely dependent upon evolving market conditions and other factors, which could materially impact our business, results of operations,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relating to increased interest rates and any adverse developments in the credit markets.</w:t>
      </w:r>
    </w:p>
    <w:p>
      <w:pPr>
        <w:spacing w:after="0" w:line="229"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Adverse developments in the credit markets, including reduced liquidity or rising interest rates, could reduce the availability of funding for our projects. Volatility in the credit and equity markets could reduce our ability to raise additional capital through equity, equity-linked or debt financings, which could negatively impact our short-term and long-term liquidity and our ability to operate in accordance with our operating plan, or at all, or our ability to fund our growth. Additionally, our results of operations could be adversely affected by general conditions in the global economy and financial markets. A severe or prolonged economic downturn could result in a variety of risks to our business, including weakened demand for our products and technologies, and our ability to raise additional capital when needed on favorable terms, if at all. In addition, increased interest rates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Tax</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(“NOL”) carryforwards and other tax attributes may be limited as a result of the Business Combination or other ownership changes.</w:t>
      </w:r>
    </w:p>
    <w:p>
      <w:pPr>
        <w:spacing w:after="0" w:line="15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have incurred NOLs during our history that have yet to be utilized. To the extent that we continue to generate NOLs, unused losses will carry forward to offset future taxable income, if any, until such unused losses expire, if at all (depending on the tax year in which such losses were incurred). Under Sections 382 and 383 of the U.S. Internal Revenue Code of 1986, as amended (the “Code”) and similar provisions of state and local law, U.S. federal, state, and local NOL carryforwards and other tax attributes (e.g., tax credits) may become subject to an annual limitation in the event of certain cumulative changes in our ownership. An “ownership change” pursuant to Section 382 of the Code generally occurs if one or more stockholders or groups of stockholders who own at least 5% of our stock increase their ownership by more than 50 percentage points over their lowest ownership percentage within a rolling three-year period. Similar rules may apply under state or local tax laws.</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ability and/or the ability of the U.S. federal consolidated group of which we are a member to utilize NOL carryforwards and other tax attributes to offset future taxable income or tax liabilities may be limited as a result of ownership changes, including potential changes arising as a result of the Business Combination or other transactions. Similar rules may apply under state tax laws. We have not yet determined the amount of the cumulative change in our ownership resulting from the Business Combination or other transactions, or any resulting limitations on our ability to utilize our NOL carryforwards and other tax attributes. In addition, U.S. federal NOLs arising in tax years beginning after December 31, 2017 may be carried forward indefinitely, but such NOL carryforwards are permitted to be utilized in any taxable year to offset no more than 80% of the taxable income in such year. If we (or the consolidated group of which we are a member) earn taxable income, such limitations could result in increased future income tax liability to us and our future cash flows could be adversely affected.</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 new 1% U.S. federal excise tax could be imposed on us in connection with redemptions by us of our stock.</w:t>
      </w:r>
    </w:p>
    <w:p>
      <w:pPr>
        <w:spacing w:after="0" w:line="229" w:lineRule="exact"/>
        <w:rPr>
          <w:sz w:val="20"/>
          <w:szCs w:val="20"/>
          <w:color w:val="auto"/>
        </w:rPr>
      </w:pPr>
    </w:p>
    <w:p>
      <w:pPr>
        <w:jc w:val="both"/>
        <w:ind w:left="60" w:right="79" w:firstLine="360"/>
        <w:spacing w:after="0" w:line="263" w:lineRule="auto"/>
        <w:rPr>
          <w:sz w:val="20"/>
          <w:szCs w:val="20"/>
          <w:color w:val="auto"/>
        </w:rPr>
      </w:pPr>
      <w:r>
        <w:rPr>
          <w:rFonts w:ascii="Times New Roman" w:cs="Times New Roman" w:eastAsia="Times New Roman" w:hAnsi="Times New Roman"/>
          <w:sz w:val="18"/>
          <w:szCs w:val="18"/>
          <w:color w:val="auto"/>
        </w:rPr>
        <w:t>The Inflation Reduction Act provides for, among other things, a U.S. federal 1% excise tax on certain repurchases (including certain redemptions) of stock by publicly traded U.S. corporations and certain U.S. subsidiaries of publicly traded non-U.S. corporations (each, a “covered corporation”) that occur after December 31, 2022.</w:t>
      </w:r>
    </w:p>
    <w:p>
      <w:pPr>
        <w:spacing w:after="0" w:line="400" w:lineRule="exact"/>
        <w:rPr>
          <w:sz w:val="20"/>
          <w:szCs w:val="20"/>
          <w:color w:val="auto"/>
        </w:rPr>
      </w:pPr>
    </w:p>
    <w:p>
      <w:pPr>
        <w:jc w:val="both"/>
        <w:ind w:left="60" w:right="79" w:firstLine="360"/>
        <w:spacing w:after="0" w:line="282" w:lineRule="auto"/>
        <w:rPr>
          <w:sz w:val="20"/>
          <w:szCs w:val="20"/>
          <w:color w:val="auto"/>
        </w:rPr>
      </w:pPr>
      <w:r>
        <w:rPr>
          <w:rFonts w:ascii="Times New Roman" w:cs="Times New Roman" w:eastAsia="Times New Roman" w:hAnsi="Times New Roman"/>
          <w:sz w:val="18"/>
          <w:szCs w:val="18"/>
          <w:color w:val="auto"/>
        </w:rPr>
        <w:t>The excise tax is imposed on the repurchasing corporation itself, not its stockholders from which shares are repurchased.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Because we are a Delaware corporation and our securities trade on Nasdaq, we are a “covered corporation.” Accordingly, any redemptions by us may be subject to the excise tax. However, certain exceptions apply to the excise tax. Whether and to what extent we would be subject to the excise tax on a redemption of our stock would depend on a number of factors. As noted above, the excise tax would be payable by us, and not by the redeeming holder. Any redemptions by us may be subject to the excise tax. Whether and to what extent we would be subject to the excise tax on a redemption of our stock would depend on a number of factors. As noted above, the excise tax would be payable by us, and not by the redeeming holder.</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tax laws or any changes in tax rates or in the application of the existing tax laws to us may adversely impact our results of operations.</w:t>
      </w:r>
    </w:p>
    <w:p>
      <w:pPr>
        <w:spacing w:after="0" w:line="15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operate and are subject to income and other taxes in the United States and a growing number of other jurisdictions throughout the world. Existing domestic and foreign tax laws, statutes, rules, regulations, or ordinances could be interpreted, changed, modified, or applied adversely to us (possibly with retroactive effect), which could require us to pay additional tax amounts, fines or penalties, surcharges, and interest charges for past amounts due, the amounts and timing of which are difficult to discern. Existing tax laws, statutes, rules, regulations, or ordinances could also be interpreted, changed, modified, or applied adversely to our customers (possibly with retroactive effect) and, if our customers are required to pay additional surcharges, it could adversely affect demand for our products. Furthermore, changes to federal, state, local, or international tax laws on income, sales, use, import/export, indirect, or other tax laws, statutes, rules, regulations, or ordinances on multinational corporations continue to be considered by the United States and other countries where we currently operate or plan to operate. These contemplated tax initiatives, if finalized and adopted by countries or subnational jurisdictions, and the other tax issues described above may materially and adversely impact our operating activities, effective tax rate, deferred tax assets, operating income, and cash flows.</w:t>
      </w:r>
    </w:p>
    <w:p>
      <w:pPr>
        <w:spacing w:after="0" w:line="200" w:lineRule="exact"/>
        <w:rPr>
          <w:sz w:val="20"/>
          <w:szCs w:val="20"/>
          <w:color w:val="auto"/>
        </w:rPr>
      </w:pPr>
    </w:p>
    <w:p>
      <w:pPr>
        <w:spacing w:after="0" w:line="20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an addition of further limitations on the deductibility of business interest. Additionally, our tax obligations could increase as a result of international tax developments, including, for example, the work led by the Organization for Economic Cooperation and Development (“OECD”) on the Base Erosion and Profit Shifting (“BEPS”) project that has resulted in considerable new reporting obligations worldwide (and is expected to continue to introduce further changes to the international tax system) and includes, among other proposals, the imposition of a global minimum tax of 15%. The OECD continues to publish guidance pursuant to the BEPS and other projects which, where adopted by member countries, may increase our tax obligations and affect our tax positions in many of the countries in which we do business. Furthermore, our effective tax rate may also vary significantly from period to period, including due to changes in the relative proportions of revenues and income before taxes in the various jurisdictions in which we operate that have differing statutory tax rates, changes in overall levels of pretax earnings, the future levels of tax benefits of stock-based compensation, and settlement of income tax audits.</w:t>
      </w:r>
    </w:p>
    <w:p>
      <w:pPr>
        <w:spacing w:after="0" w:line="19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51"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may materially and adversely impact our operating activities, effective tax rate, deferred tax assets, operating income, and cash flows.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Perceptive PIPE Investor has control over key decision making as a result of its control of a majority of the voting power of our outstanding common stock.</w:t>
      </w:r>
    </w:p>
    <w:p>
      <w:pPr>
        <w:spacing w:after="0" w:line="159" w:lineRule="exact"/>
        <w:rPr>
          <w:sz w:val="20"/>
          <w:szCs w:val="20"/>
          <w:color w:val="auto"/>
        </w:rPr>
      </w:pPr>
    </w:p>
    <w:p>
      <w:pPr>
        <w:jc w:val="both"/>
        <w:ind w:left="60" w:right="59" w:firstLine="360"/>
        <w:spacing w:after="0" w:line="258" w:lineRule="auto"/>
        <w:rPr>
          <w:sz w:val="20"/>
          <w:szCs w:val="20"/>
          <w:color w:val="auto"/>
        </w:rPr>
      </w:pPr>
      <w:r>
        <w:rPr>
          <w:rFonts w:ascii="Times New Roman" w:cs="Times New Roman" w:eastAsia="Times New Roman" w:hAnsi="Times New Roman"/>
          <w:sz w:val="18"/>
          <w:szCs w:val="18"/>
          <w:color w:val="auto"/>
        </w:rPr>
        <w:t>The Perceptive PIPE Investor is able to exercise voting rights with respect to a majority of the voting power of our common stock. For so long as the Perceptive PIPE Investor continues to beneficially own a majority of our issued and outstanding shares of common stock, the Perceptive PIPE Investor will continue to control or significantly influence the outcome of matters submitted to stockholders of the Company for approval. This concentrated control will limit or preclude your ability to influence corporate matters for the foreseeable future.</w:t>
      </w:r>
    </w:p>
    <w:p>
      <w:pPr>
        <w:spacing w:after="0" w:line="183" w:lineRule="exact"/>
        <w:rPr>
          <w:sz w:val="20"/>
          <w:szCs w:val="20"/>
          <w:color w:val="auto"/>
        </w:rPr>
      </w:pPr>
    </w:p>
    <w:p>
      <w:pPr>
        <w:jc w:val="both"/>
        <w:ind w:left="60" w:right="59" w:firstLine="360"/>
        <w:spacing w:after="0" w:line="256" w:lineRule="auto"/>
        <w:rPr>
          <w:sz w:val="20"/>
          <w:szCs w:val="20"/>
          <w:color w:val="auto"/>
        </w:rPr>
      </w:pPr>
      <w:r>
        <w:rPr>
          <w:rFonts w:ascii="Times New Roman" w:cs="Times New Roman" w:eastAsia="Times New Roman" w:hAnsi="Times New Roman"/>
          <w:sz w:val="18"/>
          <w:szCs w:val="18"/>
          <w:color w:val="auto"/>
        </w:rPr>
        <w:t>This concentrated control could delay, defer, or prevent a change of control, merger, consolidation, or sale of all or substantially all of our assets that our other stockholders support, or conversely this concentrated control could result in the consummation of such a transaction that our other stockholders do not support. This concentrated control could also discourage a potential investor from acquiring our common stock and might harm the trading price of our common stock. As a stockholder, even a controlling stockholder, the Perceptive PIPE Investor is entitled to vote its shares in its own interests, which may not always be in the interests of our stockholders generally.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We may use our financial resources in ways with which you do not agree and in ways that may not yield a favorable return.</w:t>
      </w:r>
    </w:p>
    <w:p>
      <w:pPr>
        <w:spacing w:after="0" w:line="241" w:lineRule="exact"/>
        <w:rPr>
          <w:sz w:val="20"/>
          <w:szCs w:val="20"/>
          <w:color w:val="auto"/>
        </w:rPr>
      </w:pPr>
    </w:p>
    <w:p>
      <w:pPr>
        <w:jc w:val="both"/>
        <w:ind w:left="60" w:right="59" w:firstLine="360"/>
        <w:spacing w:after="0" w:line="261" w:lineRule="auto"/>
        <w:rPr>
          <w:sz w:val="20"/>
          <w:szCs w:val="20"/>
          <w:color w:val="auto"/>
        </w:rPr>
      </w:pPr>
      <w:r>
        <w:rPr>
          <w:rFonts w:ascii="Times New Roman" w:cs="Times New Roman" w:eastAsia="Times New Roman" w:hAnsi="Times New Roman"/>
          <w:sz w:val="18"/>
          <w:szCs w:val="18"/>
          <w:color w:val="auto"/>
        </w:rPr>
        <w:t>Our management has broad discretion over the use of our financial resources, including the net proceeds from all of our equity financings. Stockholders may not deem such uses desirable. Our use of our financial resources may vary substantially from our currently planned uses. We cannot assure you that we will apply such proceeds effectively or that we will invest such proceeds in a manner that will yield a favorable return or any return at all.</w:t>
      </w:r>
    </w:p>
    <w:p>
      <w:pPr>
        <w:spacing w:after="0" w:line="176"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“smaller reporting company” within the meaning of the Securities Act and if we take advantage of certain exemptions from disclosure requirements available to emerging growth companies, it could make our securities less attractive to investors and may make it more difficult to compare our performance to the performance of other public companies.</w:t>
      </w:r>
    </w:p>
    <w:p>
      <w:pPr>
        <w:spacing w:after="0" w:line="180"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Section 2(a)(19) of the Securities Act, as modified by the JOBS Act. As such, we are eligible for and intend to take advantage of certain exemptions from various reporting requirements applicable to other public companies that are not emerging growth companies for as long as we continue to be an emerging growth company, including, but not limited to, (a) not being required to comply with the auditor attestation requirements of Section 404 of the Sarbanes-Oxley Act, (b) reduced disclosure obligations regarding executive compensation in our periodic reports and proxy statements and (c) exemptions from the requirements of holding a nonbinding advisory vote on executive compensation and stockholder approval of any golden parachute payments not previously approved. As a result, our stockholders may not have access to certain information they may deem important. We will remain an emerging growth company until the earliest of (i) the last day of the fiscal year in which the market value of shares of common stock that are held by non-affiliates exceeds $700 million as of June 30 of that fiscal year, (ii) the last day of the fiscal year in which it has total annual gross revenue of $1.235 billion or more during such fiscal year (as indexed for inflation), (iii) the date on which we have issued more than $1 billion in non-convertible debt in the prior three-year period or (iv) December 31, 2026, which is the last day of the fiscal year following the fifth anniversary of the date of the first sale of ordinary shares in our initial public offering.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63"/>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208" w:lineRule="exact"/>
        <w:rPr>
          <w:sz w:val="20"/>
          <w:szCs w:val="20"/>
          <w:color w:val="auto"/>
        </w:rPr>
      </w:pPr>
    </w:p>
    <w:p>
      <w:pPr>
        <w:jc w:val="both"/>
        <w:ind w:left="60" w:right="59" w:firstLine="360"/>
        <w:spacing w:after="0" w:line="254" w:lineRule="auto"/>
        <w:rPr>
          <w:sz w:val="20"/>
          <w:szCs w:val="20"/>
          <w:color w:val="auto"/>
        </w:rPr>
      </w:pPr>
      <w:r>
        <w:rPr>
          <w:rFonts w:ascii="Times New Roman" w:cs="Times New Roman" w:eastAsia="Times New Roman" w:hAnsi="Times New Roman"/>
          <w:sz w:val="18"/>
          <w:szCs w:val="18"/>
          <w:color w:val="auto"/>
        </w:rPr>
        <w:t>As an emerging growth company, we may also take advantage of certain exemptions from various reporting requirements that are applicable to other public companies that are not emerging growth companies including, but not limited to,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shares of common stock less attractive because we will rely on these exemptions. If some investors find our shares of common stock less attractive as a result, there may be a less active market for our shares of common stock and our share price may be more volatile.</w:t>
      </w:r>
    </w:p>
    <w:p>
      <w:pPr>
        <w:spacing w:after="0" w:line="200" w:lineRule="exact"/>
        <w:rPr>
          <w:sz w:val="20"/>
          <w:szCs w:val="20"/>
          <w:color w:val="auto"/>
        </w:rPr>
      </w:pPr>
    </w:p>
    <w:p>
      <w:pPr>
        <w:spacing w:after="0" w:line="204" w:lineRule="exact"/>
        <w:rPr>
          <w:sz w:val="20"/>
          <w:szCs w:val="20"/>
          <w:color w:val="auto"/>
        </w:rPr>
      </w:pPr>
    </w:p>
    <w:p>
      <w:pPr>
        <w:jc w:val="both"/>
        <w:ind w:left="60" w:right="79" w:firstLine="363"/>
        <w:spacing w:after="0" w:line="254" w:lineRule="auto"/>
        <w:rPr>
          <w:sz w:val="20"/>
          <w:szCs w:val="20"/>
          <w:color w:val="auto"/>
        </w:rPr>
      </w:pPr>
      <w:r>
        <w:rPr>
          <w:rFonts w:ascii="Times New Roman" w:cs="Times New Roman" w:eastAsia="Times New Roman" w:hAnsi="Times New Roman"/>
          <w:sz w:val="18"/>
          <w:szCs w:val="18"/>
          <w:color w:val="auto"/>
        </w:rPr>
        <w:t>Additionally, we qualify as a “smaller reporting company” as defined in Item 10(f)(1) of Regulation S-K. Smaller reporting companies may take advantage of certain reduced disclosure obligations, including, among other things, providing only two years of audited financial statements. We expect that we will remain a smaller reporting company until the last day of any fiscal year for so long as either (a) the market value of the common stock held by non-affiliates does not equal or exceed $250 million as of the end of that year’s second quarter, or (b) our annual revenues did not equal or exceed $100 million during such completed fiscal year and the market value of the common stock held by non-affiliates did not equal or exceed $700 million as of the end of that year’s second quarter. To the extent we take advantage of such reduced disclosure obligations, it may also make comparison of our financial statements with other public companies difficult or impossible.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may decline regardless of our operating performance.</w:t>
      </w:r>
    </w:p>
    <w:p>
      <w:pPr>
        <w:spacing w:after="0" w:line="229" w:lineRule="exact"/>
        <w:rPr>
          <w:sz w:val="20"/>
          <w:szCs w:val="20"/>
          <w:color w:val="auto"/>
        </w:rPr>
      </w:pPr>
    </w:p>
    <w:p>
      <w:pPr>
        <w:jc w:val="both"/>
        <w:ind w:left="60" w:right="79" w:firstLine="360"/>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may fluctuate significantly in response to numerous factors and may continue to fluctuate for these and other reasons, many of which are beyond our control, including, but not limited to:</w:t>
      </w: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revenue and results of operations;</w:t>
      </w:r>
    </w:p>
    <w:p>
      <w:pPr>
        <w:spacing w:after="0" w:line="9" w:lineRule="exact"/>
        <w:rPr>
          <w:rFonts w:ascii="Times New Roman" w:cs="Times New Roman" w:eastAsia="Times New Roman" w:hAnsi="Times New Roman"/>
          <w:sz w:val="18"/>
          <w:szCs w:val="18"/>
          <w:color w:val="auto"/>
        </w:rPr>
      </w:pPr>
    </w:p>
    <w:p>
      <w:pPr>
        <w:ind w:left="720" w:right="159" w:hanging="319"/>
        <w:spacing w:after="0" w:line="258"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projections we may provide to the public in the future, any changes in these projections or our failure to meet these projections;</w:t>
      </w:r>
    </w:p>
    <w:p>
      <w:pPr>
        <w:ind w:left="720" w:right="219" w:hanging="319"/>
        <w:spacing w:after="0" w:line="271"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and maintain our coverage, changes in financial estimates or ratings by any securities analysts who follow us or our failure to meet these estimates or the expectations of investors;</w:t>
      </w:r>
    </w:p>
    <w:p>
      <w:pPr>
        <w:spacing w:after="0" w:line="194" w:lineRule="exact"/>
        <w:rPr>
          <w:rFonts w:ascii="Times New Roman" w:cs="Times New Roman" w:eastAsia="Times New Roman" w:hAnsi="Times New Roman"/>
          <w:sz w:val="18"/>
          <w:szCs w:val="18"/>
          <w:color w:val="auto"/>
        </w:rPr>
      </w:pPr>
    </w:p>
    <w:p>
      <w:pPr>
        <w:ind w:left="720" w:right="779" w:hanging="319"/>
        <w:spacing w:after="0" w:line="258"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technical innovations, acquisitions, strategic partnerships, joint ventures, results of operations or capital commitments;</w:t>
      </w:r>
    </w:p>
    <w:p>
      <w:pPr>
        <w:ind w:left="720" w:right="119" w:hanging="319"/>
        <w:spacing w:after="0" w:line="258"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life sciences companies generally, or those in the biotechnology industry in particular;</w:t>
      </w:r>
    </w:p>
    <w:p>
      <w:pPr>
        <w:ind w:left="720" w:right="99" w:hanging="319"/>
        <w:spacing w:after="0" w:line="258"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w:t>
      </w: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exclusion or removal of our common stock from any indices;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board of directors (the “Board”) or management;</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common stock by directors, officers, affiliates and other major investors;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business;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debt or equity securities;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involving our capital stock;</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the United States and other markets in which we operate;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or other public health crises;</w:t>
      </w:r>
    </w:p>
    <w:p>
      <w:pPr>
        <w:spacing w:after="0" w:line="9" w:lineRule="exact"/>
        <w:rPr>
          <w:rFonts w:ascii="Times New Roman" w:cs="Times New Roman" w:eastAsia="Times New Roman" w:hAnsi="Times New Roman"/>
          <w:sz w:val="18"/>
          <w:szCs w:val="18"/>
          <w:color w:val="auto"/>
        </w:rPr>
      </w:pPr>
    </w:p>
    <w:p>
      <w:pPr>
        <w:ind w:left="720" w:right="559" w:hanging="319"/>
        <w:spacing w:after="0" w:line="250" w:lineRule="auto"/>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or responses to these events; and</w:t>
      </w:r>
    </w:p>
    <w:p>
      <w:pPr>
        <w:ind w:left="720" w:hanging="319"/>
        <w:spacing w:after="0"/>
        <w:tabs>
          <w:tab w:leader="none" w:pos="7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07" w:lineRule="exact"/>
        <w:rPr>
          <w:sz w:val="20"/>
          <w:szCs w:val="20"/>
          <w:color w:val="auto"/>
        </w:rPr>
      </w:pPr>
    </w:p>
    <w:p>
      <w:pPr>
        <w:jc w:val="both"/>
        <w:ind w:left="60" w:right="59" w:firstLine="360"/>
        <w:spacing w:after="0" w:line="257" w:lineRule="auto"/>
        <w:rPr>
          <w:sz w:val="20"/>
          <w:szCs w:val="20"/>
          <w:color w:val="auto"/>
        </w:rPr>
      </w:pPr>
      <w:r>
        <w:rPr>
          <w:rFonts w:ascii="Times New Roman" w:cs="Times New Roman" w:eastAsia="Times New Roman" w:hAnsi="Times New Roman"/>
          <w:sz w:val="18"/>
          <w:szCs w:val="18"/>
          <w:color w:val="auto"/>
        </w:rPr>
        <w:t>The stock market has recently experienced extreme price and volume fluctuations. The market prices of securities of companies have experienced fluctuations that often have been unrelated or disproportionate to their operating results. In the past, stockholders have sometimes instituted securities class action litigation against companies following periods of volatility in the market price of their securities. Any similar litigation against us could result in substantial costs, divert management’s attention and resources and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maintain the listing of our securities on Nasdaq in the future.</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Our common stock is currently listed on Nasdaq. However, we cannot guarantee that our securities will continue to be listed on Nasdaq. If we fail to meet the requirements of the applicable listing rules, such failure may result in a suspension of the trading of our shares or delisting in the future. In the event of a delisting, we can provide no assurance that any action taken by us to restore compliance with listing requirements would allow our securities to become listed again, stabilize the market price or improve the liquidity of our securities, prevent our securities from dropping below the minimum share price requirement or prevent future non-compliance with the listing requirements. This may further result in legal or regulatory proceedings, fines and other penalties, legal liability for us, the inability for our stockholders to trade their shares and negatively impact our share price, reputation, operations and financial position, as well as our ability to conduct future fundraising activities. If Nasdaq delists our securities and we are not able to list our securities on another national securities exchange, we expect that our securities could be quoted on an over-the-counter market. If this were to occur, we could face significant material adverse consequences, including but not limited to:</w:t>
      </w:r>
    </w:p>
    <w:p>
      <w:pPr>
        <w:spacing w:after="0" w:line="200" w:lineRule="exact"/>
        <w:rPr>
          <w:sz w:val="20"/>
          <w:szCs w:val="20"/>
          <w:color w:val="auto"/>
        </w:rPr>
      </w:pPr>
    </w:p>
    <w:p>
      <w:pPr>
        <w:spacing w:after="0" w:line="208" w:lineRule="exact"/>
        <w:rPr>
          <w:sz w:val="20"/>
          <w:szCs w:val="20"/>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for the Company; and</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jc w:val="both"/>
        <w:ind w:left="60" w:right="59" w:firstLine="360"/>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“ADGM” and trades on that market. 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the market price of our common stock to drop significantly, even if our business is doing well.</w:t>
      </w:r>
    </w:p>
    <w:p>
      <w:pPr>
        <w:spacing w:after="0" w:line="51"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subject to the restrictions and limitations described below. If our stockholders sell, or the market perceives that our stockholders intend to sell, substantial amounts of our common stock in the public market, the market price of our common stock could decline significantly. All of our outstanding shares of common stock are available for sale in the public market, subject only to the restrictions of Rule 144 under the Securities Act in the case of our affiliates.</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addition, we have filed registration statements on Form S-8 under the Securities Act of 1933, as amended, or the Securities Act, registering the issuance of shares of common stock subject to options or other equity awards issued or reserved for future issuance under our equity incentive plans. Shares registered under these registration statements on Form S-8 are available for sale in the public market subject to vesting arrangements and exercise of options and the restrictions of Rule 144 in the case of our affiliates.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common stock or other equity securities without your approval, which would dilute your ownership interests and may depress the market price of the common stock.</w:t>
      </w:r>
    </w:p>
    <w:p>
      <w:pPr>
        <w:spacing w:after="0" w:line="159" w:lineRule="exact"/>
        <w:rPr>
          <w:sz w:val="20"/>
          <w:szCs w:val="20"/>
          <w:color w:val="auto"/>
        </w:rPr>
      </w:pPr>
    </w:p>
    <w:p>
      <w:pPr>
        <w:jc w:val="both"/>
        <w:ind w:left="60" w:right="59" w:firstLine="360"/>
        <w:spacing w:after="0" w:line="255" w:lineRule="auto"/>
        <w:rPr>
          <w:sz w:val="20"/>
          <w:szCs w:val="20"/>
          <w:color w:val="auto"/>
        </w:rPr>
      </w:pPr>
      <w:r>
        <w:rPr>
          <w:rFonts w:ascii="Times New Roman" w:cs="Times New Roman" w:eastAsia="Times New Roman" w:hAnsi="Times New Roman"/>
          <w:sz w:val="18"/>
          <w:szCs w:val="18"/>
          <w:color w:val="auto"/>
        </w:rPr>
        <w:t>We have the ability to issue shares of common stock pursuant to our equity incentive plans and employee stock purchase plan. We may also issue additional shares of common stock or other equity securities of equal or senior rank in the future in connection with, among other circumstances, future acquisitions or repayment of outstanding indebtedness, without stockholder approval.</w:t>
      </w:r>
    </w:p>
    <w:p>
      <w:pPr>
        <w:spacing w:after="0" w:line="3" w:lineRule="exact"/>
        <w:rPr>
          <w:sz w:val="20"/>
          <w:szCs w:val="20"/>
          <w:color w:val="auto"/>
        </w:rPr>
      </w:pPr>
    </w:p>
    <w:p>
      <w:pPr>
        <w:ind w:left="60" w:right="559" w:firstLine="360"/>
        <w:spacing w:after="0" w:line="260" w:lineRule="auto"/>
        <w:rPr>
          <w:sz w:val="20"/>
          <w:szCs w:val="20"/>
          <w:color w:val="auto"/>
        </w:rPr>
      </w:pPr>
      <w:r>
        <w:rPr>
          <w:rFonts w:ascii="Times New Roman" w:cs="Times New Roman" w:eastAsia="Times New Roman" w:hAnsi="Times New Roman"/>
          <w:sz w:val="18"/>
          <w:szCs w:val="18"/>
          <w:color w:val="auto"/>
        </w:rPr>
        <w:t>Our issuance of additional shares of common stock or other equity securities of equal or senior rank could, without limitation, have the following effects:</w:t>
      </w:r>
    </w:p>
    <w:p>
      <w:pPr>
        <w:spacing w:after="0" w:line="181" w:lineRule="exact"/>
        <w:rPr>
          <w:sz w:val="20"/>
          <w:szCs w:val="20"/>
          <w:color w:val="auto"/>
        </w:rPr>
      </w:pPr>
    </w:p>
    <w:p>
      <w:pPr>
        <w:ind w:left="720" w:hanging="319"/>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stockholders’ proportionate ownership interest in us may decrease;</w:t>
      </w:r>
    </w:p>
    <w:p>
      <w:pPr>
        <w:spacing w:after="0" w:line="27" w:lineRule="exact"/>
        <w:rPr>
          <w:rFonts w:ascii="Times New Roman" w:cs="Times New Roman" w:eastAsia="Times New Roman" w:hAnsi="Times New Roman"/>
          <w:sz w:val="18"/>
          <w:szCs w:val="18"/>
          <w:color w:val="auto"/>
        </w:rPr>
      </w:pPr>
    </w:p>
    <w:p>
      <w:pPr>
        <w:ind w:left="720" w:right="639" w:hanging="319"/>
        <w:spacing w:after="0" w:line="258" w:lineRule="auto"/>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available per share, including for payment of dividends (if any) in the future, may decrease;</w:t>
      </w:r>
    </w:p>
    <w:p>
      <w:pPr>
        <w:ind w:left="720" w:hanging="319"/>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voting strength of each previously outstanding share of common stock may be diminished; and</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shares of common stock may decline.</w:t>
      </w:r>
    </w:p>
    <w:p>
      <w:pPr>
        <w:spacing w:after="0" w:line="230"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either do not publish research about us or publish inaccurate or unfavorable research about us, our business or our market, or if they adversely change their recommendations regarding our common stock, the trading price or trading volume of our common stock could decline.</w:t>
      </w:r>
    </w:p>
    <w:p>
      <w:pPr>
        <w:spacing w:after="0" w:line="175" w:lineRule="exact"/>
        <w:rPr>
          <w:sz w:val="20"/>
          <w:szCs w:val="20"/>
          <w:color w:val="auto"/>
        </w:rPr>
      </w:pPr>
    </w:p>
    <w:p>
      <w:pPr>
        <w:jc w:val="both"/>
        <w:ind w:left="60" w:right="59" w:firstLine="360"/>
        <w:spacing w:after="0" w:line="253" w:lineRule="auto"/>
        <w:rPr>
          <w:sz w:val="20"/>
          <w:szCs w:val="20"/>
          <w:color w:val="auto"/>
        </w:rPr>
      </w:pPr>
      <w:r>
        <w:rPr>
          <w:rFonts w:ascii="Times New Roman" w:cs="Times New Roman" w:eastAsia="Times New Roman" w:hAnsi="Times New Roman"/>
          <w:sz w:val="18"/>
          <w:szCs w:val="18"/>
          <w:color w:val="auto"/>
        </w:rPr>
        <w:t>The trading market for our common stock is influenced in part by the research and reports that securities or industry analysts may publish about us, our business, market, or competitors. If one or more of the analysts publish research with an unfavorable rating or downgrade the common stock, provide a more favorable recommendation about our competitors, or publish inaccurate or unfavorable research about our business, the trading price of the common stock would likely decline. In addition, we currently expect that securities research analysts will establish and publish their own periodic projections for our business. These projections may vary widely and may not accurately predict the results we actually achieve. Our stock price may decline if the actual results do not match the projections of these securities research analysts. While we expect research analyst coverage, if no analysts commence coverage, the trading price and volume for the common stock could be adversely affected. If any analyst who may cover us were to cease coverage of us or fail to regularly publish reports on us, we could lose visibility in the financial markets, which in turn could cause the trading price or trading volume of common stock to decline.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Charter and Bylaws could make a merger, tender offer, or proxy contest difficult, thereby depressing the trading price of our common stock.</w:t>
      </w:r>
    </w:p>
    <w:p>
      <w:pPr>
        <w:spacing w:after="0" w:line="159" w:lineRule="exact"/>
        <w:rPr>
          <w:sz w:val="20"/>
          <w:szCs w:val="20"/>
          <w:color w:val="auto"/>
        </w:rPr>
      </w:pPr>
    </w:p>
    <w:p>
      <w:pPr>
        <w:ind w:left="60" w:right="339" w:firstLine="360"/>
        <w:spacing w:after="0" w:line="266" w:lineRule="auto"/>
        <w:rPr>
          <w:sz w:val="20"/>
          <w:szCs w:val="20"/>
          <w:color w:val="auto"/>
        </w:rPr>
      </w:pPr>
      <w:r>
        <w:rPr>
          <w:rFonts w:ascii="Times New Roman" w:cs="Times New Roman" w:eastAsia="Times New Roman" w:hAnsi="Times New Roman"/>
          <w:sz w:val="18"/>
          <w:szCs w:val="18"/>
          <w:color w:val="auto"/>
        </w:rPr>
        <w:t>Our Charter and Bylaws contain provisions that could depress the trading price of common stock by acting to discourage, delay, or prevent a change of control of us or changes in our management that our stockholders may deem advantageous.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These provisions include, without limitation, the following:</w:t>
      </w:r>
    </w:p>
    <w:p>
      <w:pPr>
        <w:spacing w:after="0" w:line="225" w:lineRule="exact"/>
        <w:rPr>
          <w:sz w:val="20"/>
          <w:szCs w:val="20"/>
          <w:color w:val="auto"/>
        </w:rPr>
      </w:pPr>
    </w:p>
    <w:p>
      <w:pPr>
        <w:ind w:left="720" w:hanging="319"/>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so that not all members of the Board are elected at one time;</w:t>
      </w:r>
    </w:p>
    <w:p>
      <w:pPr>
        <w:spacing w:after="0" w:line="27" w:lineRule="exact"/>
        <w:rPr>
          <w:rFonts w:ascii="Times New Roman" w:cs="Times New Roman" w:eastAsia="Times New Roman" w:hAnsi="Times New Roman"/>
          <w:sz w:val="18"/>
          <w:szCs w:val="18"/>
          <w:color w:val="auto"/>
        </w:rPr>
      </w:pPr>
    </w:p>
    <w:p>
      <w:pPr>
        <w:ind w:left="720" w:right="839" w:hanging="319"/>
        <w:spacing w:after="0" w:line="258"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Board to establish the number of directors and fill any vacancies and newly created directorships;</w:t>
      </w:r>
    </w:p>
    <w:p>
      <w:pPr>
        <w:ind w:left="720" w:right="99" w:hanging="319"/>
        <w:spacing w:after="0" w:line="271"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removal by stockholders solely for cause and with the affirmative vote of at least two-thirds (2/3) of the voting power of our then-outstanding shares of capital stock entitled to vote generally in the election of directors;</w:t>
      </w:r>
    </w:p>
    <w:p>
      <w:pPr>
        <w:spacing w:after="0" w:line="19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“blank check” preferred stock that the Board could use to implement a stockholder rights plan;</w:t>
      </w:r>
    </w:p>
    <w:p>
      <w:pPr>
        <w:spacing w:after="0" w:line="22" w:lineRule="exact"/>
        <w:rPr>
          <w:rFonts w:ascii="Times New Roman" w:cs="Times New Roman" w:eastAsia="Times New Roman" w:hAnsi="Times New Roman"/>
          <w:sz w:val="18"/>
          <w:szCs w:val="18"/>
          <w:color w:val="auto"/>
        </w:rPr>
      </w:pPr>
    </w:p>
    <w:p>
      <w:pPr>
        <w:ind w:left="720" w:right="639" w:hanging="319"/>
        <w:spacing w:after="0" w:line="250"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Board to issue our authorized but unissued common stock and preferred stock without stockholder approval;</w:t>
      </w:r>
    </w:p>
    <w:p>
      <w:pPr>
        <w:ind w:left="720" w:hanging="319"/>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ability of our stockholders to call special meetings of stockholders;</w:t>
      </w:r>
    </w:p>
    <w:p>
      <w:pPr>
        <w:spacing w:after="0" w:line="22" w:lineRule="exact"/>
        <w:rPr>
          <w:rFonts w:ascii="Times New Roman" w:cs="Times New Roman" w:eastAsia="Times New Roman" w:hAnsi="Times New Roman"/>
          <w:sz w:val="18"/>
          <w:szCs w:val="18"/>
          <w:color w:val="auto"/>
        </w:rPr>
      </w:pPr>
    </w:p>
    <w:p>
      <w:pPr>
        <w:ind w:left="720" w:right="139" w:hanging="319"/>
        <w:spacing w:after="0" w:line="258"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right of our stockholders to act by written consent, which requires all stockholder actions to be taken at a meeting of our stockholders;</w:t>
      </w:r>
    </w:p>
    <w:p>
      <w:pPr>
        <w:ind w:left="720" w:hanging="319"/>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liability of and the provision of indemnification to, our director and officers;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Board to make, alter, or repeal the Bylaws; and</w:t>
      </w:r>
    </w:p>
    <w:p>
      <w:pPr>
        <w:spacing w:after="0" w:line="22" w:lineRule="exact"/>
        <w:rPr>
          <w:rFonts w:ascii="Times New Roman" w:cs="Times New Roman" w:eastAsia="Times New Roman" w:hAnsi="Times New Roman"/>
          <w:sz w:val="18"/>
          <w:szCs w:val="18"/>
          <w:color w:val="auto"/>
        </w:rPr>
      </w:pPr>
    </w:p>
    <w:p>
      <w:pPr>
        <w:ind w:left="720" w:right="259" w:hanging="319"/>
        <w:spacing w:after="0" w:line="276" w:lineRule="auto"/>
        <w:tabs>
          <w:tab w:leader="none" w:pos="7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nominations for election to the Board or for proposing matters that can be acted upon by stockholders at annual stockholder meetings.</w:t>
      </w:r>
    </w:p>
    <w:p>
      <w:pPr>
        <w:spacing w:after="0" w:line="181" w:lineRule="exact"/>
        <w:rPr>
          <w:sz w:val="20"/>
          <w:szCs w:val="20"/>
          <w:color w:val="auto"/>
        </w:rPr>
      </w:pPr>
    </w:p>
    <w:p>
      <w:pPr>
        <w:jc w:val="both"/>
        <w:ind w:left="60" w:right="79" w:firstLine="360"/>
        <w:spacing w:after="0" w:line="266" w:lineRule="auto"/>
        <w:rPr>
          <w:sz w:val="20"/>
          <w:szCs w:val="20"/>
          <w:color w:val="auto"/>
        </w:rPr>
      </w:pPr>
      <w:r>
        <w:rPr>
          <w:rFonts w:ascii="Times New Roman" w:cs="Times New Roman" w:eastAsia="Times New Roman" w:hAnsi="Times New Roman"/>
          <w:sz w:val="18"/>
          <w:szCs w:val="18"/>
          <w:color w:val="auto"/>
        </w:rPr>
        <w:t>Any provision of our Charter or Bylaws that has the effect of delaying or deterring a change in control could limit the opportunity for our stockholders to receive a premium for their shares of common stock and could also affect the price that some investors are willing to pay for common stock.</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Charter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jc w:val="both"/>
        <w:ind w:left="60" w:right="59" w:firstLine="360"/>
        <w:spacing w:after="0" w:line="251" w:lineRule="auto"/>
        <w:rPr>
          <w:sz w:val="20"/>
          <w:szCs w:val="20"/>
          <w:color w:val="auto"/>
        </w:rPr>
      </w:pPr>
      <w:r>
        <w:rPr>
          <w:rFonts w:ascii="Times New Roman" w:cs="Times New Roman" w:eastAsia="Times New Roman" w:hAnsi="Times New Roman"/>
          <w:sz w:val="18"/>
          <w:szCs w:val="18"/>
          <w:color w:val="auto"/>
        </w:rPr>
        <w:t>Our Charter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Charter or Bylaws or any action asserting a claim against us that is governed by the internal affairs doctrine. These choice of forum provisions may limit a stockholder’s ability to bring a claim in a judicial forum that it finds favorable for disputes with us or our directors, officers or other employees and may discourage these types of lawsuits. This provision would not apply to claims brought to enforce a duty or liability created by the Exchange Act or any other claim for which the federal courts have exclusive jurisdiction. Our Charter provides further that, to the fullest extent permitted by law, the federal district courts of the United States will be the exclusive forum for resolving any complaint asserting a cause of action arising under the Securities Act. However, Section 22 of the Securities Act provides that federal and state courts have concurrent jurisdiction over lawsuits brought under the Securities Act or the rules and regulations thereunder. To the extent the exclusive forum provision restricts the courts in which claims arising under the Securities Act may be brought, there is uncertainty as to whether a court would enforce such a provision. We note that investors cannot waive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 exclusive-forum provision contained in our Charter to be inapplicable or unenforceable in an action, we may incur additional costs associated with resolving such action in other jurisdictions, which could harm our business.</w:t>
      </w: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currently intend to retain any future earnings to finance the operation and expansion of its business and we do not expect to declare or pay any dividends in the foreseeable future. Moreover, the terms of the Convertible Securities Notes restrict our ability to pay dividends and any additional debt we or any of our subsidiaries may incur in the future may include similar restrictions. As a result, stockholders must rely on sales of their common stock after price appreciation as the only way to realize any future gains on their investment.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and demands upon management as a result of being a public company.</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a public company listed in the United States, we incur significant additional legal, accounting and other costs. These additional costs could negatively affect our financial results. In addition, changing laws, regulations and standards relating to corporate governance and public disclosure, including regulations implemented by the SEC and Nasdaq,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continue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19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the Board, on committees of the Board of directors or as members of senior management.</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7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or Section 404,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We are also required to disclose significant changes made in our internal control procedures on a quarterly basis.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w:t>
      </w:r>
    </w:p>
    <w:p>
      <w:pPr>
        <w:spacing w:after="0" w:line="18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Nasdaq, the SEC or other regulatory authorities. Failure to remedy any material weakness in our internal control over financial reporting, or to maintain other effective control systems required of public companies, could also restrict our future access to the capital markets.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i w:val="1"/>
          <w:iCs w:val="1"/>
          <w:color w:val="auto"/>
        </w:rPr>
        <w:t>We may become subject to securities or class action litigation, which is expensive and could divert management’s attention.</w:t>
      </w:r>
    </w:p>
    <w:p>
      <w:pPr>
        <w:spacing w:after="0" w:line="241" w:lineRule="exact"/>
        <w:rPr>
          <w:sz w:val="20"/>
          <w:szCs w:val="20"/>
          <w:color w:val="auto"/>
        </w:rPr>
      </w:pPr>
    </w:p>
    <w:p>
      <w:pPr>
        <w:jc w:val="both"/>
        <w:ind w:left="60" w:right="59" w:firstLine="360"/>
        <w:spacing w:after="0" w:line="256" w:lineRule="auto"/>
        <w:rPr>
          <w:sz w:val="20"/>
          <w:szCs w:val="20"/>
          <w:color w:val="auto"/>
        </w:rPr>
      </w:pPr>
      <w:r>
        <w:rPr>
          <w:rFonts w:ascii="Times New Roman" w:cs="Times New Roman" w:eastAsia="Times New Roman" w:hAnsi="Times New Roman"/>
          <w:sz w:val="18"/>
          <w:szCs w:val="18"/>
          <w:color w:val="auto"/>
        </w:rPr>
        <w:t>Our share price may be volatile and, in the past, companies that have experienced volatility in the market price of their stock have been subject to securities litigation, including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or any amounts paid to settle any such actual or threatened litigation could require that we make significant payments and/or could also subject us to significant liabilities.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and confidential information that is proprietary, strategic or competitive in nature (“Information Systems and Data”).</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leverage third-party information and technology service providers to help assess, identify, and manage the Company’s cyber risk and information security threats by monitoring and evaluating our threat environment using various methods including, for example: manual tools, automated tools, subscribing to reports and services that identify cybersecurity threats, analyzing reports of threats and actors, conducting scans of the threat environment, evaluating threats reported to us, audits, conducting threat assessments, conducting vulnerability assessments to identify vulnerabilities, use of external intelligence feeds and tabletop incident response exercises.</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Depending on the environment, systems, and data at issue, we implement and maintain various technical, physical, and organizational measures, processes, and policies designed to manage and mitigate material risks from cybersecurity threats to our Information Systems and Data, including, for example: an incident response policy, incident detection and response processes, a vulnerability management processes, disaster recovery/business continuity plans, risk assessments, encryption of data, network security controls, access controls, physical security, systems monitoring, vendor risk management processes, employee training, penetration testing, and cybersecurity insurance.</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assessment and management of material risks from cybersecurity threats are integrated into the Company’s overall risk management processes. For example, cybersecurity risk is addressed as a component of the Company’s enterprise risk management program.</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use third-party service providers to assist us to identify, assess, and manage material risks from cybersecurity threats, including for example: cybersecurity software providers, managed cybersecurity service providers, and penetration testing firms.</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We use third-party service providers to perform a variety of functions throughout our business, such as application providers and hosting companies. We also have vendor management processes to help manage cybersecurity risks associated with our use of these providers. Depending on the nature of the services provided, the sensitivity of the Information Systems and Data at issue, and the identity of the provider, our vendor management process may involve questionnaires to help identify cybersecurity risks associated with a provider and the use of contractual obligations related to cybersecurity on the provider.</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For more information on our cybersecurity-related risks that may materially affect the Company and how they may do so, see our “Risk Factors” in Item 1A. of Part I. of this Annual Report on Form 10-K, including the risk factor entitled </w:t>
      </w:r>
      <w:r>
        <w:rPr>
          <w:rFonts w:ascii="Times New Roman" w:cs="Times New Roman" w:eastAsia="Times New Roman" w:hAnsi="Times New Roman"/>
          <w:sz w:val="18"/>
          <w:szCs w:val="18"/>
          <w:b w:val="1"/>
          <w:bCs w:val="1"/>
          <w:i w:val="1"/>
          <w:iCs w:val="1"/>
          <w:color w:val="auto"/>
        </w:rPr>
        <w:t>“If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we or the third parties with whom we work experience disruption in our information technology systems, data, or security incidents, our business could be adversely affected, including our ability to operate, the loss of confidential and proprietary information, increased remediation costs, and reputational damage.”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addresses the Company’s cybersecurity risk management as part of its general oversight function. The board of directors’ Audit Committee is responsible for overseeing Company’s cybersecurity risk management processes, including oversight of mitigation of risks from cybersecurity threats.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including our Chief Executive Officer (CEO) and Chief Financial Officer (CFO). Our CEO and CFO are responsible for hiring appropriate personnel, helping to integrate cybersecurity risk considerations into the Company’s overall risk management strategy, and communicating key priorities to relevant personnel. Our CEO and CFO are responsible for approving budgets, helping prepare for cybersecurity incidents, approving cybersecurity processes, and reviewing security assessments and other security-related reports.</w:t>
      </w:r>
    </w:p>
    <w:p>
      <w:pPr>
        <w:spacing w:after="0" w:line="187" w:lineRule="exact"/>
        <w:rPr>
          <w:sz w:val="20"/>
          <w:szCs w:val="20"/>
          <w:color w:val="auto"/>
        </w:rPr>
      </w:pPr>
    </w:p>
    <w:p>
      <w:pPr>
        <w:jc w:val="both"/>
        <w:ind w:left="60" w:right="59" w:firstLine="405"/>
        <w:spacing w:after="0" w:line="255" w:lineRule="auto"/>
        <w:rPr>
          <w:sz w:val="20"/>
          <w:szCs w:val="20"/>
          <w:color w:val="auto"/>
        </w:rPr>
      </w:pPr>
      <w:r>
        <w:rPr>
          <w:rFonts w:ascii="Times New Roman" w:cs="Times New Roman" w:eastAsia="Times New Roman" w:hAnsi="Times New Roman"/>
          <w:sz w:val="18"/>
          <w:szCs w:val="18"/>
          <w:color w:val="auto"/>
        </w:rPr>
        <w:t>Our cybersecurity incident response and vulnerability management processes are designed to escalate certain cybersecurity incidents to members of management depending on the circumstances, including our CEO and CFO. In addition, the Company’s incident response and vulnerability management processes include reporting to the Board of Directors for certain cybersecurity incidents. The Board of Directors also has access to reports from our CEO and CFO on significant enterprise-wide cybersecurity threats and risk and the processes the Company has implemented to address them at each of its periodically scheduled meetings. Our CEO and CFO have extensive experience managing risks at our company and at similar companies in the past, including risks arising from cybersecurity threats.</w:t>
      </w:r>
    </w:p>
    <w:p>
      <w:pPr>
        <w:spacing w:after="0" w:line="185" w:lineRule="exact"/>
        <w:rPr>
          <w:sz w:val="20"/>
          <w:szCs w:val="20"/>
          <w:color w:val="auto"/>
        </w:rPr>
      </w:pPr>
    </w:p>
    <w:p>
      <w:pPr>
        <w:ind w:left="6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29" w:lineRule="exact"/>
        <w:rPr>
          <w:sz w:val="20"/>
          <w:szCs w:val="20"/>
          <w:color w:val="auto"/>
        </w:rPr>
      </w:pPr>
    </w:p>
    <w:p>
      <w:pPr>
        <w:jc w:val="both"/>
        <w:ind w:left="60" w:right="79" w:firstLine="446"/>
        <w:spacing w:after="0" w:line="266" w:lineRule="auto"/>
        <w:rPr>
          <w:sz w:val="20"/>
          <w:szCs w:val="20"/>
          <w:color w:val="auto"/>
        </w:rPr>
      </w:pPr>
      <w:r>
        <w:rPr>
          <w:rFonts w:ascii="Times New Roman" w:cs="Times New Roman" w:eastAsia="Times New Roman" w:hAnsi="Times New Roman"/>
          <w:sz w:val="18"/>
          <w:szCs w:val="18"/>
          <w:color w:val="auto"/>
        </w:rPr>
        <w:t>Our corporate headquarters and manufacturing, storage and distribution centers for our catheters and consoles are located at Laguna Hills, California. We lease approximately 12,000 square feet, which includes clean room space, under an operating lease that expires in January 2030.</w:t>
      </w:r>
    </w:p>
    <w:p>
      <w:pPr>
        <w:spacing w:after="0" w:line="176" w:lineRule="exact"/>
        <w:rPr>
          <w:sz w:val="20"/>
          <w:szCs w:val="20"/>
          <w:color w:val="auto"/>
        </w:rPr>
      </w:pPr>
    </w:p>
    <w:p>
      <w:pPr>
        <w:jc w:val="both"/>
        <w:ind w:left="60" w:right="59" w:firstLine="446"/>
        <w:spacing w:after="0" w:line="282" w:lineRule="auto"/>
        <w:rPr>
          <w:sz w:val="20"/>
          <w:szCs w:val="20"/>
          <w:color w:val="auto"/>
        </w:rPr>
      </w:pPr>
      <w:r>
        <w:rPr>
          <w:rFonts w:ascii="Times New Roman" w:cs="Times New Roman" w:eastAsia="Times New Roman" w:hAnsi="Times New Roman"/>
          <w:sz w:val="18"/>
          <w:szCs w:val="18"/>
          <w:color w:val="auto"/>
        </w:rPr>
        <w:t>We do not own any real property and believe that our current facilities are sufficient to support our operations and growth plans and that, additional space, if needed, will be available on commercially reasonably terms.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39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Our common stock trades on the Nasdaq under the symbol “ADGM”.</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As of March 23, 2026, there were approximately 55 holders of record of our common stock.</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left="60" w:right="59" w:firstLine="486"/>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any future earnings and do not expect to pay any dividends in the foreseeable future. Any determination to pay dividends in the future will be at the discretion of our Board and will depend on our financial condition, operating results, capital requirements and general business conditions and other factors that our Board may deem relevant.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2026 Annual Meeting of Stockholders to be filed with the SEC within 120 days of the fiscal year ended December 31, 2025, and is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ind w:left="6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financial condition and results of operations should be read together with the consolidated financial statements as of and for the years ended December 31, 2025 and 2024, together with the related notes and other financial information included elsewhere in this Annual Report. Certain information contained in the discussion and analysis set forth below includes forward-looking statements that involve risks and uncertainties. Our actual results may differ materially from those anticipated in these forward-looking statements as a result of many factors. Please see “Cautionary Note Regarding Forward-Looking Statements” and “Item 1A. Risk Factors” in this report.</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a medical device company focused on developing and commercializing products for the treatment of cardiac arrhythmias with our novel, proprietary, catheter-based Ultra-Low Temperature Ablation (“ULTA”) technology. Our initial focus is on the treatment of ventricular tachycardia (“VT”). VT is a rapid, abnormal heart rhythm, or arrhythmia, that originates in the heart’s lower chambers, or ventricles, potentially leading to impaired blood flow and, if sustained, VT can be fatal. VT-associated sudden cardiac death (“SCD”) accounts for approximately 300,000 deaths each year in the United States. Radio Frequency (“RF”) ablation catheters currently used to treat VT were primarily designed and approved for the treatment of atrial fibrillation (“AF”) and are therefore not designed to optimally treat the specifics of the ventricular anatomy and disease. As a result, VT procedures performed with current devices can be overly complex and can lead to sub-optimal outcomes, factors that have potentially led to the limited growth in the market for VT ablations.</w:t>
      </w:r>
    </w:p>
    <w:p>
      <w:pPr>
        <w:spacing w:after="0" w:line="188" w:lineRule="exact"/>
        <w:rPr>
          <w:sz w:val="20"/>
          <w:szCs w:val="20"/>
          <w:color w:val="auto"/>
        </w:rPr>
      </w:pPr>
    </w:p>
    <w:p>
      <w:pPr>
        <w:jc w:val="both"/>
        <w:ind w:left="60" w:right="59" w:firstLine="324"/>
        <w:spacing w:after="0" w:line="242" w:lineRule="auto"/>
        <w:rPr>
          <w:sz w:val="20"/>
          <w:szCs w:val="20"/>
          <w:color w:val="auto"/>
        </w:rPr>
      </w:pPr>
      <w:r>
        <w:rPr>
          <w:rFonts w:ascii="Times New Roman" w:cs="Times New Roman" w:eastAsia="Times New Roman" w:hAnsi="Times New Roman"/>
          <w:sz w:val="18"/>
          <w:szCs w:val="18"/>
          <w:color w:val="auto"/>
        </w:rPr>
        <w:t>Our clinically tested, proprietary ULTA products are purpose-built to treat patients with VT and are designed to address the unique anatomy of the ventricle and the specific needs of the VT patient. Our ULTA approach is built on the hypothesis that large and durable lesions extending through the depth of both diseased and healthy muscular tissue of the ventricle of the heart (ventricular myocardium) is a foundation for improving the effectiveness of VT ablations and patient outcomes. Our differentiated catheters are designed for large, durable, titratable, deep lesions within the ventricle through an endocardial approach with no required irrigation. In October 2025, we announced completion of enrollment in our FULCRUM-VT Pivotal U.S. Food and Drug Administration (“FDA”) Investigational Device Exemption (“IDE”) study evaluating the vCLAS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Cryoablation System for ablation of monomorphic ventricular tachycardia (“MMVT”) in patients with both ischemic and non-ischemic cardiomyopathy. The vCLAS System, which was granted Breakthrough Device Designation by the FDA in April 2025, is built on our proprietary ULTA technology platform and is typically utilized with a double freeze cycle (freeze-thaw-freeze) protocol.</w:t>
      </w:r>
    </w:p>
    <w:p>
      <w:pPr>
        <w:spacing w:after="0" w:line="203" w:lineRule="exact"/>
        <w:rPr>
          <w:sz w:val="20"/>
          <w:szCs w:val="20"/>
          <w:color w:val="auto"/>
        </w:rPr>
      </w:pPr>
    </w:p>
    <w:p>
      <w:pPr>
        <w:ind w:left="60" w:right="59" w:hanging="10"/>
        <w:spacing w:after="0" w:line="261" w:lineRule="auto"/>
        <w:tabs>
          <w:tab w:leader="none" w:pos="38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our purpose-built solution for treating the ventricle, with its differentiated design and benefits, has the potential to drive penetration and market growth in ablative treatment of the large, underserved VT patient population.</w:t>
      </w:r>
    </w:p>
    <w:p>
      <w:pPr>
        <w:jc w:val="both"/>
        <w:ind w:left="60" w:right="59" w:firstLine="324"/>
        <w:spacing w:after="0" w:line="2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established a robust cadence of clinical data designed to evaluate our technology and gain regulatory approvals of our product portfolio. Preliminary data suggest that our approach to treating VT offers a favorable combination of safety, acute and chronic effectiveness compared to the current standard of care, including ablations performed using RF and pulsed field ablation (“PFA”) energy. Our first-in-human CRYOCURE-VT trial included 64 patients in nine centers in the European Union and Canada. The outcomes of this trial, which were used to support CE Mark approval, include a 0% rate of major adverse events, 94% acute procedural success, 60% freedom from sustained VT and 81% freedom from implantable cardioverter defibrillator (“ICD”) shock at six months. Our vCLAS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Cryoablation System for VT has obtained European CE Mark approval. In the United States, our 209-patient FULCRUM-VT IDE pivotal clinical trial completed enrollment in October 2025 across nineteen (19) centers in the United States and Canada. The study includes patients with both ischemic and non-ischemic (NICM) cardiomyopathies (LVEF=35+/-10%, 33% NICM, 75% with congestive heart failure). In our preliminary acute safety and efficacy results, acute clinical success, defined as non-inducibility of target ventricular arrhythmias, was 97.4%, with all clinically-relevant VTs eliminated in 96.7% of patients tested by post-ablation programmed electrical stimulation. Key safety findings included a 2.4% rate of major adverse events including four (1.9%) peri-procedural deaths, of which one (0.5%) was adjudicated by an independent Clinical Events Committee as definitely related to the investigational device. We plan to share the six-month results of the FULCRUM-VT trial in April 2026 at the Heart Rhythm 2026 Conference and to submit the results of this trial to support our application for FDA approval of our vCLAS</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8"/>
          <w:szCs w:val="18"/>
          <w:color w:val="auto"/>
        </w:rPr>
        <w:t xml:space="preserve"> Cryoablation System in the first half of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are also currently developing a next-generation ULTA technology for VT. This catheter, which requires only a single freeze, is being designed to improve customer usability and integration with the existing ablation laboratory workflow. The next-generation catheter features a more flexible, smaller diameter shaft that is compatible with the industry-standard size 8.5 French sheaths, and is designed to operate at lower ablation temperatures resulting in the shorter, single-freeze ablation protocol. We have completed the design phase with this device.</w:t>
      </w:r>
    </w:p>
    <w:p>
      <w:pPr>
        <w:spacing w:after="0" w:line="183"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We have also developed a technology that utilizes ULTA in combination with PFA, which we call Pulsed Field Cryoablation (“PFCA”). Early demonstration of PFCA technology has been performed in the European PARALELL trial in patients with persistent atrial fibrillation and in preclinical studies targeting VT ablations.</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have incurred net losses in each year since our inception in 2011. As of December 31, 2025 and December 31, 2024, we had an accumulated deficit of $95.6 million and $70.6 million, respectively. Our net loss was $25.1 million for the year ended December 31, 2025 (Successor), $53.8 million for the period from July 31, 2024 to December 31, 2024 (Successor), and $21.3 million for the period from January 1, 2024 to July 30, 2024 (Predecessor), respectively. The net cash used in operating activities was $19.0 million, $13.5 million, and $16.0 million, respectively. Substantially all of our net losses resulted from costs incurred in connection with our research and development programs and from general and administrative costs associated with our operations. As of December 31, 2025 and December 31, 2024, we had cash of $17.1 million and $20.6 million, respectively.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Going Concern and Operating Outlook</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basis that assumes we will continue as a going concern, which contemplates the realization of assets and liabilities in the normal course of business. We have limited revenue and have experienced recurring operating losses and negative cash flows from operations since our inception and anticipate that we will continue to do so for at least the next several years.</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 xml:space="preserve">As of the report date, we do not believe our existing cash and cash equivalents are sufficient to fund our operating and capital expenditure requirements for at least 12 months from the date of issuance of the audited consolidated financial statements included in this Annual Report on Form 10-K. Based on our current research and development plans, we expect to have sufficient resources to fund our planned operations into the third quarter of 2026. We have based this estimate on assumptions that may prove to be wrong, and we could exhaust our capital resources sooner than expected. No assurance can be given as to whether additional needed financing will be available on terms acceptable to us, if at all. If sufficient funds on acceptable terms are not available when needed, we may be required to suspend or forego certain planned activities. Failure to manage discretionary spending or raise additional financing, as needed, could adversely impact our ability to achieve our intended business objectives and may have an adverse effect on our results of operations and future prospects. These factors raise substantial doubt about our ability to continue as a going concern for the twelve-month period from the date of this filing with the SEC. Refer to </w:t>
      </w:r>
      <w:r>
        <w:rPr>
          <w:rFonts w:ascii="Times New Roman" w:cs="Times New Roman" w:eastAsia="Times New Roman" w:hAnsi="Times New Roman"/>
          <w:sz w:val="18"/>
          <w:szCs w:val="18"/>
          <w:i w:val="1"/>
          <w:iCs w:val="1"/>
          <w:color w:val="auto"/>
        </w:rPr>
        <w:t>Note 1 - Organization and Description of Business</w:t>
      </w:r>
      <w:r>
        <w:rPr>
          <w:rFonts w:ascii="Times New Roman" w:cs="Times New Roman" w:eastAsia="Times New Roman" w:hAnsi="Times New Roman"/>
          <w:sz w:val="18"/>
          <w:szCs w:val="18"/>
          <w:color w:val="auto"/>
        </w:rPr>
        <w:t xml:space="preserve"> in our consolidated financial statements for additional information on the going concern assessment.</w:t>
      </w:r>
    </w:p>
    <w:p>
      <w:pPr>
        <w:spacing w:after="0" w:line="19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need for additional capital in the future will depend in part on the scope and costs of our development and clinical activities. To date, we have not generated significant revenue from the sale of commercialized products. Once we conduct a full commercial launch, our ability to generate product revenue will depend on the successful commercialization of our products. Until such time, if ever, we expect to finance our operations through the sale of equity or debt, borrowings under credit facilities, or through potential collaborations, other strategic transactions, or government and other grants. 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See the section of this Report titled “Risk Factors” for additional information.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The Business Combination and 2024 PIPE Financing</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July 31, 2024, (the “Closing Date”), ARYA Sciences Acquisition Corp IV, a Cayman Islands exempted company (“ARYA”), Aja Holdco, Inc. (“ListCo”), a Delaware corporation and wholly-owned subsidiary of ARYA, Aja Merger Sub 1, a Cayman Islands exempted company and wholly-owned subsidiary of ListCo (“ARYA Merger Sub”), Aja Merger Sub 2, Inc., a Delaware corporation and wholly-owned subsidiary of ListCo (“Company Merger Sub”), and Adagio Medical, Inc., a Delaware corporation (“Legacy Adagio” or the “Predecessor”), consummated the business combination (the “Business Combination”) pursuant to the terms of the Business Combination Agreement, dated February 13, 2024, by and among the foregoing parties, as amended by the Consent and Amendment No. 1 to Business Combination Agreement, dated as of June 25, 2024, by and between ARYA and Adagio (the “Business Combination Agreement”).</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Pursuant to the Business Combination Agreement, on the Closing Date, (i) ARYA Merger Sub merged with and into ARYA (the “ARYA Merger”) and Company Merger Sub merged with and into Legacy Adagio (the “Adagio Merger” and, together with the ARYA Merger, the “Mergers”), with ARYA and Legacy Adagio surviving the Mergers and, after giving effect to such Mergers, each of ARYA and Legacy Adagio becoming a wholly owned subsidiary of ListCo (the time that the ARYA Merger became effective being referred to as the “ARYA Merger Effective Time,” the time that the Adagio Merger became effective being referred to as the “Adagio Merger Effective Time,” the time after which both Mergers became effective being referred to as the “Closing,” and the date on which the Closing occurred being referred to as the “Closing Date”), (ii) ListCo filed with the Secretary of State of the State of Delaware an amended and restated certificate of incorporation of ListCo, and the board of directors of ListCo approved and adopted amended and restated bylaws of ListCo, and (iii) ListCo changed its name to Adagio Medical Holdings, Inc.</w:t>
      </w:r>
    </w:p>
    <w:p>
      <w:pPr>
        <w:spacing w:after="0" w:line="194"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Prior to the 2024 annual general meeting, holders of 2,707,555 shares of ARYA’s redeemable Class A ordinary shares exercised their right to redeem such shares for cash at a redemption price of $11.56 per share, for an aggregate redemption amount of $31.3 million.</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Upon the consummation of the Business Combination,</w:t>
      </w:r>
    </w:p>
    <w:p>
      <w:pPr>
        <w:spacing w:after="0" w:line="225" w:lineRule="exact"/>
        <w:rPr>
          <w:sz w:val="20"/>
          <w:szCs w:val="20"/>
          <w:color w:val="auto"/>
        </w:rPr>
      </w:pPr>
    </w:p>
    <w:p>
      <w:pPr>
        <w:jc w:val="both"/>
        <w:ind w:left="720" w:right="79" w:hanging="319"/>
        <w:spacing w:after="0" w:line="266"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Class A ordinary share of ARYA, par value $0.0001 per share, was automatically cancelled, extinguished and converted into one share of common stock, par value $0.0001 per share, of the Company (“Company’s common stock”).</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Class B ordinary share of ARYA, par value $0.0001 per share, was automatically cancelled, extinguished and converted into the right to receive one share of our common stock, other than (i) 1,000,000 Class B ordinary shares that were forfeited by ARYA Sciences Holdings IV, a Cayman Islands exempted company (the “Sponsor”), and issued to the PIPE Investors (as defined below), including the Perceptive PIPE Investor (as defined below); (ii) 1,147,500 shares of our common stock issuable to the Sponsor that are subject to share trigger price vesting and will vest if, prior to the tenth anniversary of the Closing, the post-closing share price of the Company equals or exceeds $24.00 per share for any 20 trading days within any 30 trading day period (the “Share Trigger Price Vesting”).</w:t>
      </w:r>
    </w:p>
    <w:p>
      <w:pPr>
        <w:spacing w:after="0" w:line="19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warrant of Legacy Adagio (other than the Series E Pre-funded Warrants (as defined below)) was terminated in accordance with the terms of the applicable warrant agreement.</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convertible promissory notes of Legacy Adagio (excluding the Bridge Financing Notes (as defined below) and the February 2024 Convertible Notes (as defined below)), including any accrued and unpaid interest thereon, were automatically and fully converted into shares of Legacy Adagio common stock in accordance with the terms of such convertible promissory notes, and such convertible promissory notes were cancelled, satisfied, extinguished, discharged and retired in connection with such conversion.</w:t>
      </w:r>
    </w:p>
    <w:p>
      <w:pPr>
        <w:spacing w:after="0" w:line="18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Legacy Adagio preferred stock, par value $0.001 per share, that was issued and outstanding was automatically converted into shares of Legacy Adagio common stock on a one-to-one basis.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6" w:lineRule="auto"/>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shares of Legacy Adagio common stock, including Series E Pre-funded Warrants that had been issued and outstanding, were automatically cancelled and extinguished and converted into shares of our common stock based on the exchange ratio set forth in the Business Combination Agreement.</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outstanding and unexercised option to purchase Legacy Adagio common stock (“Legacy Adagio Option”) that had been vested prior to the Closing with an aggregate value that exceeded the aggregate exercise price of such Legacy Adagio Option (each an “In-the-Money Adagio Options”) was cancelled and extinguished in exchange for options to purchase shares of our common stock, and each issued and outstanding Legacy Adagio equity award (other than an In-the-Money Adagio Options) was automatically cancelled and extinguished for no consideration, and each holder thereof ceased to have any rights with respect thereto.</w:t>
      </w:r>
    </w:p>
    <w:p>
      <w:pPr>
        <w:spacing w:after="0" w:line="18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of February 2024 Convertible Notes (as defined below) were converted into Convertible Securities (as defined below) Notes and Convert Warrants (as defined below).</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ListCo and ARYA entered into Subscription Agreements (the “Initial Subscription Agreements”), with Perceptive Life Sciences Master Fund, Ltd, a Cayman Islands exempted company (the “Perceptive PIPE Investor”) and certain other investors (the “Initial Other PIPE Investors”, and together with the Perceptive PIPE Investor, the “Initial PIPE Investors”). In June 2024, ListCo and ARYA entered into additional Subscription Agreements (the “June Subscription Agreements” and, together with the Initial Subscription Agreements, the “Subscription Agreements”) with certain additional investors, (the “June PIPE Investors”, and together with the Initial Other PIPE Investors, the “Other PIPE Investors”, and the Other PIPE Investors, together with the Perceptive PIPE Investor, the “PIPE Investors”).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Pursuant to the subscription agreements, the PIPE Investors committed financing valued at $64.5 million (the “2024 PIPE Financing”).</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2024 PIPE Financing included:</w:t>
      </w:r>
    </w:p>
    <w:p>
      <w:pPr>
        <w:spacing w:after="0" w:line="225" w:lineRule="exact"/>
        <w:rPr>
          <w:sz w:val="20"/>
          <w:szCs w:val="20"/>
          <w:color w:val="auto"/>
        </w:rPr>
      </w:pPr>
    </w:p>
    <w:p>
      <w:pPr>
        <w:jc w:val="both"/>
        <w:ind w:left="1040" w:right="79" w:hanging="639"/>
        <w:spacing w:after="0" w:line="261" w:lineRule="auto"/>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by certain Other PIPE Investors to purchase $2.5 million in Class A shares of ARYA in the open market and not to redeem such shares before the Closing, resulting in the issuance of 355,457 shares of Company’s common stock and 299,902 warrants exercisable for shares of our common stock (the “Base Warrants”).</w:t>
      </w:r>
    </w:p>
    <w:p>
      <w:pPr>
        <w:spacing w:after="0" w:line="179" w:lineRule="exact"/>
        <w:rPr>
          <w:rFonts w:ascii="Times New Roman" w:cs="Times New Roman" w:eastAsia="Times New Roman" w:hAnsi="Times New Roman"/>
          <w:sz w:val="18"/>
          <w:szCs w:val="18"/>
          <w:color w:val="auto"/>
        </w:rPr>
      </w:pPr>
    </w:p>
    <w:p>
      <w:pPr>
        <w:jc w:val="both"/>
        <w:ind w:left="1040" w:right="79" w:hanging="639"/>
        <w:spacing w:after="0" w:line="266" w:lineRule="auto"/>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by certain Other PIPE Investors that were shareholders of ARYA to not to redeem 247,700 Class A shares of ARYA, resulting in the issuance of 405,772 shares of Company’s common stock and 343,756 Base Warrants.</w:t>
      </w:r>
    </w:p>
    <w:p>
      <w:pPr>
        <w:spacing w:after="0" w:line="175" w:lineRule="exact"/>
        <w:rPr>
          <w:rFonts w:ascii="Times New Roman" w:cs="Times New Roman" w:eastAsia="Times New Roman" w:hAnsi="Times New Roman"/>
          <w:sz w:val="18"/>
          <w:szCs w:val="18"/>
          <w:color w:val="auto"/>
        </w:rPr>
      </w:pPr>
    </w:p>
    <w:p>
      <w:pPr>
        <w:jc w:val="both"/>
        <w:ind w:left="1040" w:right="79" w:hanging="639"/>
        <w:spacing w:after="0" w:line="282" w:lineRule="auto"/>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by certain Other PIPE Investors to purchase 1,036,666 shares of our common stock, 1,440,000 Base Warrants, and 670,000 PIPE Pre-funded Warrants for a cash investment of $12 million in the Company.</w:t>
      </w:r>
    </w:p>
    <w:p>
      <w:pPr>
        <w:spacing w:after="0" w:line="161" w:lineRule="exact"/>
        <w:rPr>
          <w:rFonts w:ascii="Times New Roman" w:cs="Times New Roman" w:eastAsia="Times New Roman" w:hAnsi="Times New Roman"/>
          <w:sz w:val="18"/>
          <w:szCs w:val="18"/>
          <w:color w:val="auto"/>
        </w:rPr>
      </w:pPr>
    </w:p>
    <w:p>
      <w:pPr>
        <w:jc w:val="both"/>
        <w:ind w:left="1040" w:right="79" w:hanging="639"/>
        <w:spacing w:after="0" w:line="258" w:lineRule="auto"/>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of total $29.5 million in April 2023 Convertible Notes, November 2023 Convertible Notes, May 2024 Convertible Notes, June 2024 Convertible Notes, and July 2024 Convertible Notes (each as defined below and collectively, “Bridge Financing Notes”), and accrued interest of $1.7 million by the Perceptive PIPE Investor. A total of 4,372,607 shares of our common stock and 3,540,000 units of Base Warrants were issued to settle the Bridge Financing Notes and the accrued and unpaid interest.</w:t>
      </w:r>
    </w:p>
    <w:p>
      <w:pPr>
        <w:spacing w:after="0" w:line="183" w:lineRule="exact"/>
        <w:rPr>
          <w:rFonts w:ascii="Times New Roman" w:cs="Times New Roman" w:eastAsia="Times New Roman" w:hAnsi="Times New Roman"/>
          <w:sz w:val="18"/>
          <w:szCs w:val="18"/>
          <w:color w:val="auto"/>
        </w:rPr>
      </w:pPr>
    </w:p>
    <w:p>
      <w:pPr>
        <w:ind w:left="1040" w:right="79" w:hanging="639"/>
        <w:spacing w:after="0" w:line="282" w:lineRule="auto"/>
        <w:tabs>
          <w:tab w:leader="none" w:pos="1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cash investment of $15.9 million by the Perceptive PIPE Investor for a total of 2,250,352 shares of New Adagio Common Stock and 1,905,069 units of Base Warrants.</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Further, in connection with the execution of the Business Combination Agreement, certain investors (“Convert Investors”) executed a securities purchase agreement, dated February 13, 2024, with ListCo (the “Convertible Security Subscription Agreement”), pursuant to which ListCo issued on the Closing Date to the Convert Investors $20.0 million of 13% senior secured convertible notes (the “Convertible Securities Notes”), which were converted into shares of our common stock at a conversion price of $10.00 per share, subject to adjustment, and 1,500,000 warrants (the “Convert Warrants”), each Convert Warrant being exercisable on a cashless basis or for cash at a price of $24.00 per share, subject to adjustment. Such $20.0 million of financing in the form of Convertible Securities Notes includes the conversion of the February 2024 Convertible Notes (as defined below) into Convertible Securities Notes and Convert Warrants at Closing. Refer to </w:t>
      </w:r>
      <w:r>
        <w:rPr>
          <w:rFonts w:ascii="Times New Roman" w:cs="Times New Roman" w:eastAsia="Times New Roman" w:hAnsi="Times New Roman"/>
          <w:sz w:val="18"/>
          <w:szCs w:val="18"/>
          <w:i w:val="1"/>
          <w:iCs w:val="1"/>
          <w:color w:val="auto"/>
        </w:rPr>
        <w:t>Note 9 - Debt</w:t>
      </w:r>
      <w:r>
        <w:rPr>
          <w:rFonts w:ascii="Times New Roman" w:cs="Times New Roman" w:eastAsia="Times New Roman" w:hAnsi="Times New Roman"/>
          <w:sz w:val="18"/>
          <w:szCs w:val="18"/>
          <w:color w:val="auto"/>
        </w:rPr>
        <w:t xml:space="preserve"> in our consolidated financial statements for additional details.</w:t>
      </w:r>
    </w:p>
    <w:p>
      <w:pPr>
        <w:spacing w:after="0" w:line="18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As a result of the Business Combination, we became subject to the reporting requirements under the Securities Exchange Act of 1934, as amended (the “Exchange Act”), and listing standards of the Nasdaq Capital Market, which will necessitate us to hire additional personnel and implement procedures and processes to address such public company requirements. We expect to incur additional ongoing expenses as a public company for, among other things, directors’ and officers’ liability insurance, director fees, and additional internal and external accounting, legal and administrative resources.</w:t>
      </w:r>
    </w:p>
    <w:p>
      <w:pPr>
        <w:spacing w:after="0" w:line="18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Our future results of consolidated operations and financial position may not be comparable to historical results as a result of the Business Combination.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9"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compete primarily on the basis that our products are designed to enable more physicians to treat more patients more efficiently and effectively. Our continued success depends on our ability to:</w:t>
      </w:r>
    </w:p>
    <w:p>
      <w:pPr>
        <w:spacing w:after="0" w:line="162" w:lineRule="exact"/>
        <w:rPr>
          <w:sz w:val="20"/>
          <w:szCs w:val="20"/>
          <w:color w:val="auto"/>
        </w:rPr>
      </w:pPr>
    </w:p>
    <w:p>
      <w:pPr>
        <w:ind w:left="720" w:right="79" w:hanging="319"/>
        <w:spacing w:after="0" w:line="261" w:lineRule="auto"/>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innovative, proprietary products that address significant clinical needs in a manner that is safe and effective for patients and easy-to-use for physicians;</w:t>
      </w:r>
    </w:p>
    <w:p>
      <w:pPr>
        <w:ind w:left="720" w:hanging="319"/>
        <w:spacing w:after="0"/>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regulatory clearances or approvals;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safety and effectiveness in our sponsored and third-party clinical trials;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force across key markets to increase physician awareness;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coverage and adequate reimbursement for procedures using our products;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skilled research, development, sales and clinical personnel;</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cost-effectively manufacture, market and sell our products; and</w:t>
      </w:r>
    </w:p>
    <w:p>
      <w:pPr>
        <w:spacing w:after="0" w:line="9" w:lineRule="exact"/>
        <w:rPr>
          <w:rFonts w:ascii="Times New Roman" w:cs="Times New Roman" w:eastAsia="Times New Roman" w:hAnsi="Times New Roman"/>
          <w:sz w:val="18"/>
          <w:szCs w:val="18"/>
          <w:color w:val="auto"/>
        </w:rPr>
      </w:pPr>
    </w:p>
    <w:p>
      <w:pPr>
        <w:ind w:left="720" w:right="79" w:hanging="319"/>
        <w:spacing w:after="0" w:line="260" w:lineRule="auto"/>
        <w:tabs>
          <w:tab w:leader="none" w:pos="7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maintain, enforce and defend our intellectual property rights and operate our business without infringing, misappropriating or otherwise violating the intellectual property rights of others.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Innovation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business strategy relies significantly on innovation to develop and introduce new products and to differentiate our products from our competitors. We expect our research and development expenditures to increase as we make additional investments to support our growth strategies. We plan to increase our research and development expenditures with internal initiatives. We also expect expenditures associated with our manufacturing organization to grow over time as production volume increases and we bring new products to market. Our internal and external investments will be focused on initiatives that we believe will offer the greatest opportunity for growth and profitability.</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Regulatory</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commercial success will depend upon a number of factors, some of which are beyond our control, including the receipt of regulatory clearances, approvals, or authorizations for existing or new product offerings by us, or product enhancements. We must complete additional clinical testing before we can seek regulatory approval in the United States and begin commercialization of our products. After our products are cleared, approved, or authorized, numerous and pervasive regulatory requirements continue to apply. As such, our ability to navigate, obtain and maintain the required regulatory clearances, approvals, or authorizations, as well as comply with other regulatory requirements, for our products will in part drive our results of operations and impact our business.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Our Growth</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order to generate future growth, we plan to continue to expand and leverage our sales and marketing infrastructure to increase our customer base and grow our business. Identifying and recruiting qualified sales and marketing personnel and training them on our products, applicable federal and state laws and regulations, and on our internal policies and procedures requires significant time, expense and attention. It often takes several months or more before a sales representative is fully trained and productive. Our ability to increase our customer base and achieve broader market acceptance of our products will also depend to a significant extent on our ability to expand our marketing efforts as our plans to dedicate significant resources to our marketing programs.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industry is intensely competitive, subject to rapid change and significantly affected by new product introductions and other market activities of industry participants. Our most significant competitors are large, well-capitalized companies. We must continue to successfully compete considering our competitors’ existing and future products and related pricing and their resources to successfully market to the physicians who could use our products. Publications of clinical results by us, our competitors and other third parties can also have a significant influence on whether, and the degree to which, we are able to gain market share and increase utilization of our products.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Reimbursement and Insurance Coverage</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both U.S. and non-U.S. markets, our ability to successfully commercialize and achieve market acceptance of our products depends, in significant part, on the availability of adequate financial coverage and reimbursement from third-party payors, including governmental payors (such as the Medicare and Medicaid programs in the United States), managed care organizations and private health insurers. Third-party payors decide which treatments they will cover and establish reimbursement rates for those treatments. Our products are purchased by hospitals and other providers who will then seek reimbursement from third-party payors for the procedures performed using our products. Reimbursement systems in international markets vary significantly by country and by region within some countries, and reimbursement approvals must be obtained on a country-by-country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In most markets there are private insurance systems as well as government-managed systems.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Times New Roman" w:cs="Times New Roman" w:eastAsia="Times New Roman" w:hAnsi="Times New Roman"/>
          <w:sz w:val="17"/>
          <w:szCs w:val="17"/>
          <w:color w:val="auto"/>
        </w:rPr>
        <w:t xml:space="preserve">Historically, we have generated product revenue primarily from the sale of the catheters used with our consoles. We have sold our products directly to hospitals and medical centers. To a lesser extent, we also generated lease revenue from the implied rental of consoles loaned to customers at no charge. We recognize revenue in accordance with ASC Topic 606, Revenue from Contracts with Customers, when we transfer promised goods or services to customers in an amount that reflects the consideration to which the entity expects to be entitled in exchange for those goods or services. Please refer to </w:t>
      </w:r>
      <w:r>
        <w:rPr>
          <w:rFonts w:ascii="Times New Roman" w:cs="Times New Roman" w:eastAsia="Times New Roman" w:hAnsi="Times New Roman"/>
          <w:sz w:val="17"/>
          <w:szCs w:val="17"/>
          <w:i w:val="1"/>
          <w:iCs w:val="1"/>
          <w:color w:val="auto"/>
        </w:rPr>
        <w:t xml:space="preserve">Note 2- Summary of Significant Accounting Policies </w:t>
      </w:r>
      <w:r>
        <w:rPr>
          <w:rFonts w:ascii="Times New Roman" w:cs="Times New Roman" w:eastAsia="Times New Roman" w:hAnsi="Times New Roman"/>
          <w:sz w:val="17"/>
          <w:szCs w:val="17"/>
          <w:color w:val="auto"/>
        </w:rPr>
        <w:t>in our consolidated financial statements for additional details on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recognition policy. Our revenue is subject to fluctuation due to the foreign currency in which our products are sold.</w:t>
      </w:r>
    </w:p>
    <w:p>
      <w:pPr>
        <w:spacing w:after="0" w:line="17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February 2025, we announced a strategic realignment of resources to prioritize the completion of our FULCRUM-VT U.S. pivotal IDE clinical trial and our product design optimization program. As part of this realignment, we paused the limited European launch of our vCLAS™ catheter and significantly reduced commercial activities. As a result, we did not generate revenue during the year ended December 31,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Costs and Operating Expenses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Cost of revenue includes raw materials, direct labor, manufacturing overhead, shipping and receiving costs and other less significant indirect costs related to the production of our products. Cost of revenue also includes the depreciation expense of consoles loaned to the customers.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expensed when incurred and are related to the development of our product candidates which includes pre-clinical, clinical, quality assurance, and research and development operational activities. These costs consist of:</w:t>
      </w:r>
    </w:p>
    <w:p>
      <w:pPr>
        <w:spacing w:after="0" w:line="176" w:lineRule="exact"/>
        <w:rPr>
          <w:sz w:val="20"/>
          <w:szCs w:val="20"/>
          <w:color w:val="auto"/>
        </w:rPr>
      </w:pPr>
    </w:p>
    <w:p>
      <w:pPr>
        <w:ind w:left="720" w:right="79" w:hanging="319"/>
        <w:spacing w:after="0" w:line="261" w:lineRule="auto"/>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employee-related costs, including stock-based compensation expense for personnel engaged in research and development functions;</w:t>
      </w:r>
    </w:p>
    <w:p>
      <w:pPr>
        <w:ind w:left="720" w:hanging="319"/>
        <w:spacing w:after="0"/>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associated with clinical trials performed by third parties;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materials, and costs related to product manufacturing;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operational costs including rent and facilities costs, and depreciation.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We do not track research and development expenses by project or product, as we are at an earlier stage in our pre-clinical and clinical development. Our management believes that the breakdown of research and development expenses by project or product would be arbitrary and would not provide a meaningful assessment.</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Management expects the research and development expenses to increase in future periods, as we will incur incremental expenses associated with our ULTA products that are currently under development and in pre-clinical and clinical trials. Product candidates in later stages of clinical development generally have higher development costs, primarily due to the increased size and duration of later-stage clinical trials.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employee-related costs (including stock-based compensation) for personnel in executive, finance and other administrative functions, allocated rent and facilities costs, legal fees relating to corporate matters, professional fees for accounting and consulting services, public company costs, insurance costs, and marketing costs. We expense all selling, general and administrative costs as incurred. In future periods we expect our selling, general and administrative expenses to increase as we continue to expand on our operations and grow our business.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fair value adjustment</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recorded the convertible notes issued in October 2022 (the “October 2022 Convertible Notes”), April 2023 (the “April 2023 Convertible Notes”), November 2023 (the “November 2023 Convertible Notes”), February 2024 (the “February 2024 Convertible Notes”, or the “2024 Bridge Financing Notes”), May 2024 (the “May 2024 Convertible Notes”), June 2024 (the “June 2024 Convertible Notes”), and July 2024 (the “July 2024 Convertible Notes”) (collectively, “Legacy Adagio Convertible Notes”), at fair value at issuance and subsequently remeasure them to fair value at each reporting period. The change in fair value of the Convertible Securities Notes, including amounts related to interest, is recorded in “Convertible notes fair value adjustment.”</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the Convert Investors executed the Convertible Security Subscription Agreement, pursuant to which ListCo issued on the Closing Date to the Convert Investors the Convertible Securities Notes, which will be convertible into shares of our Common Stock at a conversion price of $10.00 per share, subject to adjustment, and the Convert Warrants, each Convert Warrant being exercisable on a cashless basis or for cash at a price of $24.00 per share, subject to adjustment. Such $20.0 million of financing in the form of Convertible Securities Notes includes the conversion of the 2024 Bridge Financing Notes into Convertible Securities Notes and Convert Warrants at Closing.</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 fair value adjustment</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accounted for certain common stock warrants outstanding as warrant liabilities at fair value, determined using the Black-Scholes-Merton option pricing model. The liability is subject to remeasurement at each reporting period and any change in fair value is recognized as warrant liabilities fair value adjustment in the consolidated statements of operations and comprehensive loss.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Interest expense is primarily incurred from our outstanding debt obligations, including those under the October 2022 Convertible Notes, the Bridge Financing Notes, the Convertible Securities Notes and the SVB Term Loan (as defined below).</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income consists primarily of interest earned on our cash, cash equivalents, and money market accounts.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Other (expense) income, net primarily consists of foreign currency unrealized and realized gain / loss, and other income related to our research and development (“R&amp;D”) tax credit.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Comparison for the year ended December 31, 2025 (Successor) to the periods from January 1, 2024 to July 30, 2024 (Predecessor) and from July 31, 2024 to December 31, 2024 (Successor).</w:t>
      </w:r>
    </w:p>
    <w:p>
      <w:pPr>
        <w:spacing w:after="0" w:line="16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results of operations, expressed as percentages of net revenue (in thousands):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9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gridSpan w:val="11"/>
          </w:tcPr>
          <w:p>
            <w:pPr>
              <w:jc w:val="center"/>
              <w:ind w:right="480"/>
              <w:spacing w:after="0"/>
              <w:rPr>
                <w:sz w:val="20"/>
                <w:szCs w:val="20"/>
                <w:color w:val="auto"/>
              </w:rPr>
            </w:pPr>
            <w:r>
              <w:rPr>
                <w:rFonts w:ascii="Times New Roman" w:cs="Times New Roman" w:eastAsia="Times New Roman" w:hAnsi="Times New Roman"/>
                <w:sz w:val="14"/>
                <w:szCs w:val="14"/>
                <w:b w:val="1"/>
                <w:bCs w:val="1"/>
                <w:i w:val="1"/>
                <w:iCs w:val="1"/>
                <w:color w:val="auto"/>
              </w:rPr>
              <w:t>For the year ended December 31,</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761"/>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ind w:right="40"/>
              <w:spacing w:after="0" w:line="122"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4"/>
                <w:szCs w:val="14"/>
                <w:b w:val="1"/>
                <w:bCs w:val="1"/>
                <w:color w:val="auto"/>
                <w:w w:val="99"/>
              </w:rPr>
              <w:t>Successor</w:t>
            </w: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1"/>
              <w:spacing w:after="0" w:line="122"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9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41"/>
              <w:spacing w:after="0" w:line="118" w:lineRule="exact"/>
              <w:rPr>
                <w:sz w:val="20"/>
                <w:szCs w:val="20"/>
                <w:color w:val="auto"/>
              </w:rPr>
            </w:pPr>
            <w:r>
              <w:rPr>
                <w:rFonts w:ascii="Times New Roman" w:cs="Times New Roman" w:eastAsia="Times New Roman" w:hAnsi="Times New Roman"/>
                <w:sz w:val="13"/>
                <w:szCs w:val="13"/>
                <w:b w:val="1"/>
                <w:bCs w:val="1"/>
                <w:color w:val="auto"/>
              </w:rPr>
              <w:t>July 31 to</w:t>
            </w:r>
          </w:p>
        </w:tc>
        <w:tc>
          <w:tcPr>
            <w:tcW w:w="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1"/>
              <w:spacing w:after="0" w:line="118" w:lineRule="exact"/>
              <w:rPr>
                <w:sz w:val="20"/>
                <w:szCs w:val="20"/>
                <w:color w:val="auto"/>
              </w:rPr>
            </w:pPr>
            <w:r>
              <w:rPr>
                <w:rFonts w:ascii="Times New Roman" w:cs="Times New Roman" w:eastAsia="Times New Roman" w:hAnsi="Times New Roman"/>
                <w:sz w:val="13"/>
                <w:szCs w:val="13"/>
                <w:b w:val="1"/>
                <w:bCs w:val="1"/>
                <w:color w:val="auto"/>
              </w:rPr>
              <w:t>January 1 to</w:t>
            </w:r>
          </w:p>
        </w:tc>
        <w:tc>
          <w:tcPr>
            <w:tcW w:w="1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July 30</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90"/>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 and operating expenses:</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(2,634)</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03"/>
        </w:trPr>
        <w:tc>
          <w:tcPr>
            <w:tcW w:w="3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4,634</w:t>
            </w: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(1,580)</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6,976</w:t>
            </w:r>
          </w:p>
        </w:tc>
        <w:tc>
          <w:tcPr>
            <w:tcW w:w="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(9,456)</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3"/>
        </w:trPr>
        <w:tc>
          <w:tcPr>
            <w:tcW w:w="3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 Goodwill</w:t>
            </w: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30,324</w:t>
            </w: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(30,324)</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Impairment - Intangible assets, net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18,878</w:t>
            </w:r>
          </w:p>
        </w:tc>
        <w:tc>
          <w:tcPr>
            <w:tcW w:w="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(18,878)</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cost of revenue and operating expenses</w:t>
            </w: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21,890</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62,749</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22,013</w:t>
            </w:r>
          </w:p>
        </w:tc>
        <w:tc>
          <w:tcPr>
            <w:tcW w:w="1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(13,670)</w:t>
            </w: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9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(21,890)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(62,480)</w:t>
            </w:r>
          </w:p>
        </w:tc>
        <w:tc>
          <w:tcPr>
            <w:tcW w:w="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13,068</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3"/>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Convertible notes fair value adjustment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(980)</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(3,968)</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03"/>
        </w:trPr>
        <w:tc>
          <w:tcPr>
            <w:tcW w:w="3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Warrant liabilities fair value adjustment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6,576</w:t>
            </w: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(6,747)</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(2,906)</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(1,105)</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(1,818)</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3"/>
        </w:trPr>
        <w:tc>
          <w:tcPr>
            <w:tcW w:w="3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(1,669)</w:t>
            </w: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(3,194)</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8,717</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6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(12,313)</w:t>
            </w:r>
          </w:p>
        </w:tc>
        <w:tc>
          <w:tcPr>
            <w:tcW w:w="1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(53,763)</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(21,278)</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(104)</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96"/>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(25,184)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(53,762)</w:t>
            </w: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(21,275)</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Revenue was nil for the year ended December 31, 2025 (Successor), compared to $0.3 million and $0.3 million for the periods from July 31, 2024 to December 31, 2024 (Successor) and from January 1, 2024 to July 30, 2024 (Predecessor), respectively, representing a decrease of $0.6 million. The decrease was primarily due to the repurchase of previously sold inventory during the year ended December 31, 2025 (Successor), which offset gross sales. This inventory buyback was undertaken in connection with our pause in commercial activity in Europe.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 and operating expenses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Cost of revenue was $0.7 million for the year ended December 31, 2025 (Successor), compared to $1.9 million and $1.4 million for the periods from July 31, 2024 to December 31, 2024 (Successor) and from January 1, 2024 to July 30, 2024 (Predecessor), respectively, representing a decrease of $2.6 million, or 79%. The decrease was primarily attributable to a pause in commercial activity in Europe during 2025 and the related impact of an inventory buyback conducted in connection thereto.</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$10.6 million for the year ended December 31, 2025 (Successor), compared to $4.6 million and $7.6 million for the period from July 31, 2024 to December 31, 2024 (Successor) and from January 1, 2024 to July 30, 2024 (Predecessor), respectively, representing a decrease of $1.6 million, or 13%. This decrease was primarily driven by a $1.0 million decrease in quality assurance costs, a $0.5 million decrease in pre-clinical trial costs and other research and development costs, and a $0.1 million decrease in operations costs.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is a breakdown of our research and development costs by type of expense:</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5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bottom w:val="single" w:sz="8" w:color="auto"/>
            </w:tcBorders>
          </w:tcPr>
          <w:p>
            <w:pPr>
              <w:spacing w:after="0"/>
              <w:rPr>
                <w:sz w:val="16"/>
                <w:szCs w:val="16"/>
                <w:color w:val="auto"/>
              </w:rPr>
            </w:pPr>
          </w:p>
        </w:tc>
      </w:tr>
      <w:tr>
        <w:trPr>
          <w:trHeight w:val="187"/>
        </w:trPr>
        <w:tc>
          <w:tcPr>
            <w:tcW w:w="5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80" w:type="dxa"/>
            <w:vAlign w:val="bottom"/>
            <w:tcBorders>
              <w:bottom w:val="single" w:sz="8" w:color="auto"/>
            </w:tcBorders>
          </w:tcPr>
          <w:p>
            <w:pPr>
              <w:spacing w:after="0"/>
              <w:rPr>
                <w:sz w:val="16"/>
                <w:szCs w:val="16"/>
                <w:color w:val="auto"/>
              </w:rPr>
            </w:pPr>
          </w:p>
        </w:tc>
      </w:tr>
      <w:tr>
        <w:trPr>
          <w:trHeight w:val="183"/>
        </w:trPr>
        <w:tc>
          <w:tcPr>
            <w:tcW w:w="5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Pr>
          <w:p>
            <w:pPr>
              <w:spacing w:after="0"/>
              <w:rPr>
                <w:sz w:val="15"/>
                <w:szCs w:val="15"/>
                <w:color w:val="auto"/>
              </w:rPr>
            </w:pP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17"/>
        </w:trPr>
        <w:tc>
          <w:tcPr>
            <w:tcW w:w="59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July 31 to</w:t>
            </w:r>
          </w:p>
        </w:tc>
        <w:tc>
          <w:tcPr>
            <w:tcW w:w="20" w:type="dxa"/>
            <w:vAlign w:val="bottom"/>
            <w:tcBorders>
              <w:top w:val="single" w:sz="8" w:color="auto"/>
            </w:tcBorders>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January 1 to</w:t>
            </w:r>
          </w:p>
        </w:tc>
      </w:tr>
      <w:tr>
        <w:trPr>
          <w:trHeight w:val="173"/>
        </w:trPr>
        <w:tc>
          <w:tcPr>
            <w:tcW w:w="59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CCEEFF"/>
              <w:right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July 30</w:t>
            </w:r>
          </w:p>
        </w:tc>
      </w:tr>
      <w:tr>
        <w:trPr>
          <w:trHeight w:val="20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Pre-clinical trial costs and other research and development costs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r>
      <w:tr>
        <w:trPr>
          <w:trHeight w:val="216"/>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 costs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r>
      <w:tr>
        <w:trPr>
          <w:trHeight w:val="21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Quality assurance costs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r>
      <w:tr>
        <w:trPr>
          <w:trHeight w:val="216"/>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Operational costs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r>
      <w:tr>
        <w:trPr>
          <w:trHeight w:val="209"/>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7,585</w:t>
            </w:r>
          </w:p>
        </w:tc>
      </w:tr>
      <w:tr>
        <w:trPr>
          <w:trHeight w:val="20"/>
        </w:trPr>
        <w:tc>
          <w:tcPr>
            <w:tcW w:w="5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clinical trial expenses relate to trials for our iCLAS atrial ULTA catheter and system (CYROCURE-2), iCLAS atrial ULTA catheter and system (iCLAS for persistent atrial fibrillation), vCLAS ventricular ULTA catheter (CYROCURE-VT), vCLAS ventricular ULTA catheter (FULCRUM-VT), and PFCA catheter. Clinical trial costs include the expenses related to clinical trial studies and other related expenses. Quality assurance includes regulatory fees and third-party service fees. Pre-clinical trial costs and other research and development costs include the expenses resulting from professional fees, prototypes, and animal testing. Operational costs include expenses related to product manufacturing.</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were $10.6 million for the year ended December 31, 2025 (Successor), compared to $7.0 million and $13.0 million for the periods from July 31, 2024 to December 31, 2024 (Successor) and from January 1, 2024 to July 30, 2024 (Predecessor), respectively. The decrease in selling, general and administrative expenses of $9.5 million, or 47%, was primarily due to the absence of SPAC-related corporate expenses that were incurred in the periods from July 31, 2024 to December 31, 2024 (Successor) and from January 1, 2024 to July 30, 2024 (Predecessor) compared to the year ended December 31, 2025 (Successor) and a decrease in payroll and personnel expenses related to lower headcount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 – Goodwill</w:t>
      </w:r>
    </w:p>
    <w:p>
      <w:pPr>
        <w:spacing w:after="0" w:line="225"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color w:val="auto"/>
        </w:rPr>
        <w:t xml:space="preserve">We recorded a $30.3 million Goodwill impairment charge in 2024, with no comparable charges in 2025. Refer to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7 – Goodwill, net and Intangible Assets, net </w:t>
      </w:r>
      <w:r>
        <w:rPr>
          <w:rFonts w:ascii="Times New Roman" w:cs="Times New Roman" w:eastAsia="Times New Roman" w:hAnsi="Times New Roman"/>
          <w:sz w:val="18"/>
          <w:szCs w:val="18"/>
          <w:color w:val="auto"/>
        </w:rPr>
        <w:t>in our consolidated financial statements for additional details.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 - Intangible assets, net</w:t>
      </w:r>
    </w:p>
    <w:p>
      <w:pPr>
        <w:spacing w:after="0" w:line="22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 xml:space="preserve">We recorded intangible asset impairment charges of $18.9 million in 2024, with no comparable charges in 2025. Refer to </w:t>
      </w:r>
      <w:r>
        <w:rPr>
          <w:rFonts w:ascii="Times New Roman" w:cs="Times New Roman" w:eastAsia="Times New Roman" w:hAnsi="Times New Roman"/>
          <w:sz w:val="18"/>
          <w:szCs w:val="18"/>
          <w:i w:val="1"/>
          <w:iCs w:val="1"/>
          <w:color w:val="auto"/>
        </w:rPr>
        <w:t>Note 7 – Goodwill, net and Intangible Assets, net</w:t>
      </w:r>
      <w:r>
        <w:rPr>
          <w:rFonts w:ascii="Times New Roman" w:cs="Times New Roman" w:eastAsia="Times New Roman" w:hAnsi="Times New Roman"/>
          <w:sz w:val="18"/>
          <w:szCs w:val="18"/>
          <w:color w:val="auto"/>
        </w:rPr>
        <w:t xml:space="preserve"> in our consolidated financial statements for additional details.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Convertible notes fair value adjustment</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change in convertible notes fair value resulted in a loss of $1.0 million for the year ended December 3, 2025. The change in convertible notes fair value resulted in a gain of $0.9 million and $2.1 million for the period from July 31, 2024 to December 31, 2024 (Successor) and from January 1, 2024 to July 30, 2024 (Predecessor), respectively. The changes in fair value were primarily driven by changes in the Company’s common stock price.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Warrant liabilities fair value adjustment</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change in fair value of warrant liabilities resulted in a gain of $20 thousand for the year ended December 31, 2025, compared to a gain of $6.6 million and $0.2 million for the periods from July 31, 2024 to December 31, 2024 (Successor) and from January 1, 2024 to July 30, 2024 (Predecessor), respectively. The changes in fair value were primarily driven by changes in the Company’s common stock price.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Interest expense was $2.9 million for the year ended December 31, 2025 (Successor) and $1.1 million and $1.8 million for the periods from July 31, 2024 to December 31, 2024 (Successor) and from January 1, 2024 to July 30, 2024 (Predecessor), respectively. The decrease of $17 thousand, or 1%, was related to interest incurred from the April 2023 Convertible Notes, November 2023 Convertible Notes, February 2024 Convertible Notes, May 2024 Convertible Notes, June 2024 Convertible Notes, July 2024 Convertible Notes, and the Convertible Securities Notes.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Interest income was $0.5 million for the year ended December 31, 2025 (Successor) and $0.4 million and $3.0 thousand for the period from July 31, 2024 to December 31, 2024 (Successor) and from January 1, 2024 to July 30, 2024 (Predecessor), respectively. The increase in interest income of $54 thousand was primarily due to the increase of cash balances in an asset management account.</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68"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Other income, net was $0.2 million for the year ended December 31, 2025 (Successor). Other income, net was $1.9 million and other expense, net was $33.0 thousand for the periods from July 31, 2024 to December 31, 2024 (Successor) and from January 1, 2024 to July 30, 2024 (Predecessor), respectively. This net decrease in other income of $1.7 million was primarily attributable to a tax benefit in the prior period of $1.9 million as a result of the reversal of a portion of the deferred tax liability associated with the impairment of certain of our indefinite-lived intangibles in the period from July 31, 2024 to December 31, 2024 (Successor), partially offset by foreign currency unrealized and realized gains/losses.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To date, we have financed our operations primarily through the sale of equity securities, convertible promissory notes and the SVB Term Loan (as defined below). In connection with the closing of the Business Combination on July 31, 2024, we received net proceeds of $84.2 million. Since inception we have incurred operating losses and negative cash flows and anticipate continuing to do so for at least the next several years.</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2025, and December 31, 2024, we had cash and cash equivalents of $17.1 million and $20.6 million, respectively. For the year ended December 31, 2025 (Successor), net losses were $25.1 million. For the period from July 31, 2024 to December 31, 2024 (Successor) and from January 1, 2024 to July 30, 2024 (Predecessor), net losses were $53.8 million and $21.3 million, respectively. For the year ended December 31, 2025 (Successor) and the period from July 31, 2024 to December 31, 2024 (Successor) and the period from January 1, 2024 to July 30, 2024 (Predecessor), net cash used in operating activities was $19.0 million, $13.5 million, and $16.0 million, respectively.</w:t>
      </w:r>
    </w:p>
    <w:p>
      <w:pPr>
        <w:spacing w:after="0" w:line="18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On October 20, 2025, we announced the closing of the Private Placement (as defined below) which resulted in up front, aggregate gross proceeds of approximately $19 million.</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2025 (Successor), we had current obligations consisting primarily of $1.1 million of accounts payable, $7.0 million of accrued liabilities, $0.2 million of operating lease liabilities, current, and cash and cash equivalents of $17.1 million. We do not believe our existing cash and cash equivalents will be sufficient to fund operations for at least the next twelve months from the issuance date of the consolidated financial statements included elsewhere in this Annual Report on Form 10-K. We believe that this raises substantial doubt about our ability to continue as a going concern. See “—</w:t>
      </w:r>
      <w:r>
        <w:rPr>
          <w:rFonts w:ascii="Times New Roman" w:cs="Times New Roman" w:eastAsia="Times New Roman" w:hAnsi="Times New Roman"/>
          <w:sz w:val="18"/>
          <w:szCs w:val="18"/>
          <w:i w:val="1"/>
          <w:iCs w:val="1"/>
          <w:color w:val="auto"/>
        </w:rPr>
        <w:t>Going Concern and Operating Outlook</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intend to mitigate the conditions and events that raise substantial doubt about our ability to continue as a going concern entity by (i) negotiating other cash equity or debt financing in the short-term, (ii) continuing to pursue the necessary regulatory approvals to launch commercially in the U.S. market, and (iii) executing cost-cutting measures to manage cash burn. However, there can be no assurances that the current plans will generate any liquidity to us or be available on terms acceptable to us.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2025 PIPE Offering</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Times New Roman" w:cs="Times New Roman" w:eastAsia="Times New Roman" w:hAnsi="Times New Roman"/>
          <w:sz w:val="17"/>
          <w:szCs w:val="17"/>
          <w:color w:val="auto"/>
        </w:rPr>
        <w:t>On October 14, 2025, we entered into a Securities Purchase Agreement (the “Securities Purchase Agreement”) with certain accredited healthcare investors (the “Purchasers”) pursuant to which we issued and sold to the Purchasers in a private placement (the “Private Placement”): (i) 9,792,506 shares (the “Shares”) of our common stock, par value $0.0001 per share (the “Common Stock”), or pre-funded warrants (the “Pre-Funded Warrants”) to purchase shares of Common Stock in lieu thereof, and (ii) accompanying (a) Tranche A Warrants to purchase an aggregate of 6,012,943 shares of Common Stock (or pre-funded warrants in lieu thereof) (the “Tranche A Warrants”), (b) Tranche B Warrants to purchase an aggregate of 6,012,943 shares of Common Stock (or pre-funded warrants in lieu thereof) (the “Tranche B Warrants”) and</w:t>
      </w:r>
    </w:p>
    <w:p>
      <w:pPr>
        <w:spacing w:after="0" w:line="2" w:lineRule="exact"/>
        <w:rPr>
          <w:sz w:val="20"/>
          <w:szCs w:val="20"/>
          <w:color w:val="auto"/>
        </w:rPr>
      </w:pPr>
    </w:p>
    <w:p>
      <w:pPr>
        <w:jc w:val="both"/>
        <w:ind w:left="60" w:right="59" w:hanging="10"/>
        <w:spacing w:after="0" w:line="251" w:lineRule="auto"/>
        <w:tabs>
          <w:tab w:leader="none" w:pos="32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C Warrants to purchase an aggregate of 6,012,943 shares of Common Stock (or pre-funded warrants in lieu thereof) (the “Tranche C Warrants” and, together with the Tranche A and Tranche B Warrants, the “Milestone Warrants”), for aggregate gross proceeds of approximately $19 million (excluding up to approximately $31 million of additional aggregate gross proceeds that may be received in the future upon the cash exercise in full of the Milestone Warrants issued in the Private Placement), before deducting placement agent fees and other expenses payable by us. Each Share and each Pre-Funded Warrant sold pursuant to the Securities Purchase Agreement was accompanied by one Tranche A Warrant, one Tranche B Warrant and one Tranche C Warrant. The combined purchase price of each Share and accompanying Milestone Warrants is $1.9403 and (which includes $0.2303 for the Milestone Warrants sold with each Share in accordance with the rules and regulations of The Nasdaq Stock Market LLC). The combined purchase price of each Pre-Funded Warrant and accompanying Milestone Warrant is $1.9402 (equal to the combined purchase price per Share and accompanying Milestone Warrants, minus $0.001). Entities affiliated with Perceptive Advisors LLC, an affiliate of ours, purchased Pre-Funded Warrants and Milestone Warrants for an aggregate purchase price of $4,250,000.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Each Milestone Warrant is exercisable for one share of Common Stock at an exercise price of $1.71 per share. The Milestone Warrants will expire upon the earlier of (i) five years from the date of issuance or (ii) (a) for the Tranche A Warrants, the date that is thirty (30) days following our announcement of results from our FULCRUM-VT IDE pivotal clinical trial, (b) for the Tranche B Warrants, the date that is thirty (30) days following our announcement of FDA approval of our vCLAS Cryoablation System, and (c) for the Tranche C Warrants, the date that is thirty (30) days following our announcement of FDA approval of our second generation vCLAS catheter system. The Pre-Funded Warrants are exercisable for one share of Common Stock at an exercise price of $0.0001 per share. The Pre-Funded Warrants are immediately exercisable and may be exercised at any time until all of the Pre-Funded Warrants are exercised in full.</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 holder (together with its affiliates) of the Pre-Funded Warrants or Milestone Warrants, as the case may be, may not exercise any portion of the Pre-Funded Warrants or Milestone Warrants to the extent that the holder would own more than 4.99% (or, at the holder’s option upon issuance, 9.99%) of our outstanding Common Stock immediately after exercise, which percentage may be changed at the holder’s election to a lower or higher percentage not in excess of 19.99% upon 61 days’ notice to us subject to the terms of the Pre-Funded Warrants or the Milestone Warrants. In lieu of making the cash payment otherwise contemplated to be made to us upon exercise of a Milestone Warrant, after the deadline for effectiveness of the registration statement to be filed pursuant to the Registration Rights Agreement, the holder may elect instead to receive upon such exercise (either in whole or in part) the net number of shares of Common Stock determined according to a formula set forth in the Milestone Warrants, provided that such cashless exercise shall only be permitted if, at the time of such exercise, there is no effective registration statement registering the resale of shares of Common Stock underlying the Milestone Warrants or if the prospectus contained in such registration statement is not available for the resale of shares of Common Stock underlying the Milestone Warrants by the Milestone Warrant holder.</w:t>
      </w:r>
    </w:p>
    <w:p>
      <w:pPr>
        <w:spacing w:after="0" w:line="19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lieu of making the cash payment otherwise contemplated to be made to us upon exercise of a Pre-Funded Warrant in payment of the aggregate exercise price, the holder may elect instead to receive upon such exercise (either in whole or in part) the net number of shares of Common Stock determined according to a formula set forth in the Pre-Funded Warrants.</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10 – Warrants</w:t>
      </w:r>
      <w:r>
        <w:rPr>
          <w:rFonts w:ascii="Times New Roman" w:cs="Times New Roman" w:eastAsia="Times New Roman" w:hAnsi="Times New Roman"/>
          <w:sz w:val="18"/>
          <w:szCs w:val="18"/>
          <w:color w:val="auto"/>
        </w:rPr>
        <w:t xml:space="preserve"> in our consolidated financial statements for additional details.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investment in clinical research and development, marketing and physician education, legal and other regulatory expenses, commercial activities, general administrative costs and working capital.</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will require additional capital to fund continued clinical activities for our next-generation product, to fund our manufacturing activities, to fund precommercial activities of our programs and for working capital and general corporate purposes. The assessment of our ability to meet our future obligations is inherently judgmental, subjective and susceptible to change.</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the future, we may need to raise additional funds through the issuance of debt and/or equity securities or otherwise. Until such time, if ever, that we can generate revenue sufficient to achieve profitability, we expect to finance our operations through equity or debt financings, which may not be available to us on the timing needed or on terms that we deem to be favorable.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We may be required to delay, limit, reduce or terminate our product discovery and development activities or future commercialization efforts.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medical products, we are unable to estimate the exact amount of our operating capital requirements. Our future funding requirements will depend on many factors, including, but not limited to:</w:t>
      </w:r>
    </w:p>
    <w:p>
      <w:pPr>
        <w:spacing w:after="0" w:line="176" w:lineRule="exact"/>
        <w:rPr>
          <w:sz w:val="20"/>
          <w:szCs w:val="20"/>
          <w:color w:val="auto"/>
        </w:rPr>
      </w:pPr>
    </w:p>
    <w:p>
      <w:pPr>
        <w:ind w:left="720" w:hanging="319"/>
        <w:spacing w:after="0"/>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growth;</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efforts;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activities;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funds to finance our operations;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costs and timing of any clinical trial results for our current or future products;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and effect of competing or complementary products;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amount of reimbursement for procedures using our products;</w:t>
      </w:r>
    </w:p>
    <w:p>
      <w:pPr>
        <w:spacing w:after="0" w:line="9"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1"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current employees and the need and ability to hire additional management and sales, scientific and medical personnel;</w:t>
      </w:r>
    </w:p>
    <w:p>
      <w:pPr>
        <w:ind w:left="720" w:hanging="319"/>
        <w:spacing w:after="0"/>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or other arrangements that we have or may establish;</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requirements;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w:t>
      </w:r>
    </w:p>
    <w:p>
      <w:pPr>
        <w:spacing w:after="0" w:line="205" w:lineRule="exact"/>
        <w:rPr>
          <w:sz w:val="20"/>
          <w:szCs w:val="20"/>
          <w:color w:val="auto"/>
        </w:rPr>
      </w:pPr>
    </w:p>
    <w:p>
      <w:pPr>
        <w:ind w:left="60" w:right="59" w:firstLine="324"/>
        <w:spacing w:after="0" w:line="284" w:lineRule="auto"/>
        <w:rPr>
          <w:sz w:val="20"/>
          <w:szCs w:val="20"/>
          <w:color w:val="auto"/>
        </w:rPr>
      </w:pPr>
      <w:r>
        <w:rPr>
          <w:rFonts w:ascii="Times New Roman" w:cs="Times New Roman" w:eastAsia="Times New Roman" w:hAnsi="Times New Roman"/>
          <w:sz w:val="18"/>
          <w:szCs w:val="18"/>
          <w:color w:val="auto"/>
        </w:rPr>
        <w:t>See the section of this Report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additional risks associated with our substantial capital requirements.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 (Predecessor)</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October 2022 Convertible Notes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October 2022, we entered into a Note Purchase Agreement with investors for the issuance and sale of the October 2022 Convertible Notes with an aggregate principal amount of $9.5 million at an interest rate of eight percent (8.0%) per year. The October 2022 Convertible Notes had an original maturity date of October 27, 2023, which was subsequently extended to the latest of (i) January 5, 2024, (ii) termination of agreements between Legacy Adagio and ARYA in connection with a non-binding summary of certain proposed terms and conditions of the Business Combination, or (iii) the termination or lapse of the exclusivity period as defined in the non-binding term sheet as mentioned above.</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October 2022 Convertible Notes were also amended to be subordinate to the April 2023 Convertible Notes (as described below) and provide for the conversion of all principal and accrued interest in respect of all the October 2022 Convertible Notes into shares of Series E Preferred Stock of Legacy Adagio in connection with the Business Combination. (refer to </w:t>
      </w:r>
      <w:r>
        <w:rPr>
          <w:rFonts w:ascii="Times New Roman" w:cs="Times New Roman" w:eastAsia="Times New Roman" w:hAnsi="Times New Roman"/>
          <w:sz w:val="18"/>
          <w:szCs w:val="18"/>
          <w:i w:val="1"/>
          <w:iCs w:val="1"/>
          <w:color w:val="auto"/>
        </w:rPr>
        <w:t>Note 9 - Debt</w:t>
      </w:r>
      <w:r>
        <w:rPr>
          <w:rFonts w:ascii="Times New Roman" w:cs="Times New Roman" w:eastAsia="Times New Roman" w:hAnsi="Times New Roman"/>
          <w:sz w:val="18"/>
          <w:szCs w:val="18"/>
          <w:color w:val="auto"/>
        </w:rPr>
        <w:t xml:space="preserve"> in our consolidated financial statements for additional details).</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November 2023 and February 2024, the October 2022 Convertible Notes were further amended to also subordinate the November 2023 Convertible Notes and the 2024 Bridge Financing Note. Upon the consummation of the Business Combination, all principal and accrued interest in respect of the October 2022 Convertible Notes were converted into shares of Legacy Adagio common stock when multiplied by the exchange ratio applicable to the Legacy Adagio common stock in the Business Combination, which entitled the holder of this note to receive a number of shares of the same class of common stock that were issued in the 2024 PIPE Financing equal to the then outstanding principal amount and any accrued and unpaid interest under this note, divided by 75% of the effective price of each share of common stock sold in the 2024 PIPE Financing. Further, on the Closing Date, Legacy Adagio common stocks were converted to our common stock based on the exchange ratio set forth in the Business Combination Agreement.</w:t>
      </w:r>
    </w:p>
    <w:p>
      <w:pPr>
        <w:spacing w:after="0" w:line="18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Upon the consummation of the Business Combination, the October 2022 Convertible Notes automatically converted into 1,444,899 shares of our common stock.</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Bridge Financing Notes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April 2023 Convertible Notes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April 2023, we issued a $5.0 million convertible promissory note that would mature on the latest of (i) January 5, 2024, (ii) termination of agreements between Legacy Adagio and ARYA in connection with the Business Combination, or</w:t>
      </w:r>
    </w:p>
    <w:p>
      <w:pPr>
        <w:jc w:val="both"/>
        <w:ind w:left="60" w:right="59" w:hanging="10"/>
        <w:spacing w:after="0" w:line="253" w:lineRule="auto"/>
        <w:tabs>
          <w:tab w:leader="none" w:pos="39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lapse of the exclusivity period as defined in the non-binding term sheet as mentioned above, and accrued simple interest at eight percent (8.0%) per annum. Additionally, we obtained the right to issue up to $10.0 million in additional convertible promissory notes available beginning one month after April 4, 2023, through the occurrence of an ARYA stockholder vote with regard to the Business Combination.</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 xml:space="preserve">In November 2023, the April 2023 Notes were amended to align certain terms to the November 2023 Notes (refer to </w:t>
      </w:r>
      <w:r>
        <w:rPr>
          <w:rFonts w:ascii="Times New Roman" w:cs="Times New Roman" w:eastAsia="Times New Roman" w:hAnsi="Times New Roman"/>
          <w:sz w:val="18"/>
          <w:szCs w:val="18"/>
          <w:i w:val="1"/>
          <w:iCs w:val="1"/>
          <w:color w:val="auto"/>
        </w:rPr>
        <w:t xml:space="preserve">Note 9 - Debt </w:t>
      </w:r>
      <w:r>
        <w:rPr>
          <w:rFonts w:ascii="Times New Roman" w:cs="Times New Roman" w:eastAsia="Times New Roman" w:hAnsi="Times New Roman"/>
          <w:sz w:val="18"/>
          <w:szCs w:val="18"/>
          <w:color w:val="auto"/>
        </w:rPr>
        <w:t>in our consolidated financial statements for additional details).</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the April 2023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November 2023 Convertible Notes</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November 28, 2023, Legacy Adagio issued the Perceptive PIPE Investor a $2.0 million convertible promissory note that would mature on the latest of (i) January 5, 2024, (ii) termination of agreements between Legacy Adagio and ARYA in connection with a non-binding summary of the Business Combination, or (iii) the termination or lapse of the exclusivity period as defined in the non-binding term sheet as mentioned above (the “November 2023 Notes”). The November 2023 Notes accrued simple interest at eight percent (8.0%) per annum. Additionally, Legacy Adagio obtained the right to issue up to $6.0 million of Delayed Draw Commitment available beginning one month after November 28, 2023, through the occurrence of an ARYA stockholder vote with regard to the Business Combination.</w:t>
      </w:r>
    </w:p>
    <w:p>
      <w:pPr>
        <w:spacing w:after="0" w:line="1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November 2023 Notes were amended to permit the issuance of a delayed draw commitment in the original amount of $6.0 million. On December 13, 2023, and December 28, 2023, Legacy Adagio drew the principal amount of $1.0 million and $2.0 million, respectively. As of July 30, 2024, $8.0 million of the convertible promissory note had been drawn. The combined $6.0 million convertible promissory notes were issued pursuant to the clause and terms in the November 2023 Notes agreement (refer to </w:t>
      </w:r>
      <w:r>
        <w:rPr>
          <w:rFonts w:ascii="Times New Roman" w:cs="Times New Roman" w:eastAsia="Times New Roman" w:hAnsi="Times New Roman"/>
          <w:sz w:val="18"/>
          <w:szCs w:val="18"/>
          <w:i w:val="1"/>
          <w:iCs w:val="1"/>
          <w:color w:val="auto"/>
        </w:rPr>
        <w:t>Note 9 - Debt</w:t>
      </w:r>
      <w:r>
        <w:rPr>
          <w:rFonts w:ascii="Times New Roman" w:cs="Times New Roman" w:eastAsia="Times New Roman" w:hAnsi="Times New Roman"/>
          <w:sz w:val="18"/>
          <w:szCs w:val="18"/>
          <w:color w:val="auto"/>
        </w:rPr>
        <w:t xml:space="preserve"> in our consolidated financial statements for additional details).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Upon the consummation of the Business Combination, the November 2023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May 2024 Convertible Notes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May 21, 2024, Legacy Adagio issued a $3.0 million convertible promissory note to Perceptive PIPE Investor, referred to herein as the May 2024 Convertible Notes, that matured upon the termination of the Business Combination Agreement in accordance with its terms. It accrued simple interest at eight percent (8.0%) per annum.</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the May 2024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June 2024 Convertible Notes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June 25, 2024, Legacy Adagio issued a $2.5 million convertible promissory note to Perceptive PIPE Investor, referred to herein as the June 2024 Convertible Notes, that matured upon the termination of the Business Combination Agreement in accordance with its terms. It accrued simple interest at eight percent (8.0%) per annum.</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the June 2024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July 2024 Convertible Notes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July 23, 2024, Legacy Adagio issued a $1.0 million convertible promissory note to Perceptive PIPE Investor, referred to herein as the July 2024 Convertible Notes, that matured upon the termination of the Business Combination Agreement in accordance with its terms. It accrued simple interest at eight percent (8.0%) per annum.</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the July 2024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Pursuant to the Business Combination Agreement, the outstanding $29.5 million principal along with the accrued but unpaid interest of the Bridge Financing Notes was converted in exchange for 4,372,607 shares of our common stock and 3,540,000 Base Warrants as part of the 2024 PIPE Financing.</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February 2024 Convertible Notes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February 13, 2024, Legacy Adagio issued to the Perceptive PIPE Investor a principal of $7.0 million convertible promissory note, referred to herein as the February 2024 Convertible Notes, that matured upon the termination of the Business Combination Agreement in accordance with its terms. The February 2024 Convertible Notes accrued simple interest at eight percent (8.0%) per annum.</w:t>
      </w:r>
    </w:p>
    <w:p>
      <w:pPr>
        <w:spacing w:after="0" w:line="180"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Upon the consummation of the Business Combination, the February 2024 Convertible Notes were automatically transferred to us in connection with the issuance of the Convertible Securities Notes to Perceptive PIPE Investor, pursuant to, and in accordance with, the note purchase agreement and the Convertible Security Subscription Agreement. Any interest accrued on the principal amount of the February 2024 Convertible Notes was forfeited in connection with the transfer of the notes to us.</w:t>
      </w:r>
    </w:p>
    <w:p>
      <w:pPr>
        <w:spacing w:after="0" w:line="18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On the Closing Date, $7.0 million of the February 2024 Convertible Notes was converted into $7.0 million Convertible Securities Notes and 525,000 Convert Warrants.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SVB Term Loan</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February 2023, Legacy Adagio entered into an agreement with Silicon Valley Bank to borrow an initial term loan advance of $3.0 million and a right to borrow a subsequent term loan advance of $2.0 million (“SVB Term Loan”). The loans matured on January 1, 2025. In conjunction with the SVB Term Loan, Legacy Adagio issued Silicon Valley Bank warrants to acquire 32,720 shares of common stock in February 2023 and distributed additional warrants to acquire 16,360 shares of common stock as of December 31, 2023 (“SVB Warrants”). Prior to the Closing of the Business Combination, the existing SVB Term Loan of Legacy Adagio as of July 30, 2024, had a net balance of $1.0 million, including $1.0 million of principal payment due within twelve months with an unamortized debt discount of $9.7 thousand. The unpaid principal and accrued interest were carried as assumed liabilities to us and paid at the Closing. (Refer to </w:t>
      </w:r>
      <w:r>
        <w:rPr>
          <w:rFonts w:ascii="Times New Roman" w:cs="Times New Roman" w:eastAsia="Times New Roman" w:hAnsi="Times New Roman"/>
          <w:sz w:val="18"/>
          <w:szCs w:val="18"/>
          <w:i w:val="1"/>
          <w:iCs w:val="1"/>
          <w:color w:val="auto"/>
        </w:rPr>
        <w:t>Note 9 - Debt</w:t>
      </w:r>
      <w:r>
        <w:rPr>
          <w:rFonts w:ascii="Times New Roman" w:cs="Times New Roman" w:eastAsia="Times New Roman" w:hAnsi="Times New Roman"/>
          <w:sz w:val="18"/>
          <w:szCs w:val="18"/>
          <w:color w:val="auto"/>
        </w:rPr>
        <w:t xml:space="preserve"> in our consolidated financial statements for additional details).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 (Successor)</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Convertible Securities Notes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Convert Investors executed the Convertible Security Subscription Agreement, dated February 13, 2024, which was amended on June 20, 2024, with ListCo. In accordance with the agreement, ListCo issued on the Closing Date to the Convert Investors $20.0 million of Convertible Securities Notes and 1,500,000 Convert Warrants.</w:t>
      </w:r>
    </w:p>
    <w:p>
      <w:pPr>
        <w:spacing w:after="0" w:line="180"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The $20.0 million Convertible Securities Notes are convertible into shares of our common stock at a conversion price of $10.00 per share, subject to adjustment per the terms of the agreement, and the 1,500,000 warrants, each of which are exercisable on a cashless basis or for one share of our common stock at $24.00 per share, subject to adjustment. The Convertible Securities Notes have a maturity of three years and nine months after the Closing and interest will be payable in cash or compound as additional principal outstanding which accrues on a quarterly basis.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each of the periods shown below:</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7"/>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58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4"/>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42"/>
        </w:trPr>
        <w:tc>
          <w:tcPr>
            <w:tcW w:w="5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w w:val="99"/>
              </w:rPr>
              <w:t>Successor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right w:val="single" w:sz="8" w:color="auto"/>
            </w:tcBorders>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2"/>
                <w:szCs w:val="12"/>
                <w:color w:val="auto"/>
              </w:rPr>
            </w:pPr>
          </w:p>
        </w:tc>
      </w:tr>
      <w:tr>
        <w:trPr>
          <w:trHeight w:val="117"/>
        </w:trPr>
        <w:tc>
          <w:tcPr>
            <w:tcW w:w="58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July 31 to</w:t>
            </w: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January 1 to</w:t>
            </w:r>
          </w:p>
        </w:tc>
        <w:tc>
          <w:tcPr>
            <w:tcW w:w="180" w:type="dxa"/>
            <w:vAlign w:val="bottom"/>
          </w:tcPr>
          <w:p>
            <w:pPr>
              <w:spacing w:after="0"/>
              <w:rPr>
                <w:sz w:val="10"/>
                <w:szCs w:val="10"/>
                <w:color w:val="auto"/>
              </w:rPr>
            </w:pPr>
          </w:p>
        </w:tc>
      </w:tr>
      <w:tr>
        <w:trPr>
          <w:trHeight w:val="173"/>
        </w:trPr>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Borders>
              <w:right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7"/>
              </w:rPr>
              <w:t>July 30</w:t>
            </w:r>
          </w:p>
        </w:tc>
      </w:tr>
      <w:tr>
        <w:trPr>
          <w:trHeight w:val="210"/>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(13,469)</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(15,990)</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15,633</w:t>
            </w:r>
          </w:p>
        </w:tc>
        <w:tc>
          <w:tcPr>
            <w:tcW w:w="180" w:type="dxa"/>
            <w:vAlign w:val="bottom"/>
            <w:shd w:val="clear" w:color="auto" w:fill="CCEEFF"/>
          </w:tcPr>
          <w:p>
            <w:pPr>
              <w:spacing w:after="0"/>
              <w:rPr>
                <w:sz w:val="18"/>
                <w:szCs w:val="18"/>
                <w:color w:val="auto"/>
              </w:rPr>
            </w:pP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currency translation on cash</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r>
      <w:tr>
        <w:trPr>
          <w:trHeight w:val="210"/>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(14,568)</w:t>
            </w:r>
          </w:p>
        </w:tc>
        <w:tc>
          <w:tcPr>
            <w:tcW w:w="14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Comparison of the Year Ended December 31, 2025 (Successor) to the Periods from January 1, 2024 to July 30, 2024 (Predecessor) and from July 31, 2024 to December 31, 2024 (Successor)</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Operating Activities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2025 (Successor) was $19.0 million, consisting primarily of a net loss of $25.1 million, adjusted for certain non-cash items of $3.4 million and net changes in operating assets and liabilities of $2.7 million. Non-cash items primarily consisted of $1.0 million in depreciation, $1.5 million in stock-based compensation, a change in fair value of convertible notes payable of $1.0 million, and a change in fair value of warrant liabilities of $20 thousand. Changes in operating assets and liabilities were primarily driven by a $3.3 million increase in accrued liabilities, a $2.9 million increase in other accrued liabilities, a $0.9 million decrease in inventory, and a $0.9 million decrease in prepaid expenses and other current assets, partially offset by a $3.6 million decrease in other long-term liabilities and a $1.8 million decrease in accounts payable.</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for the period from July 31, 2024 to December 31, 2024 (Successor) was $13.5 million, consisting primarily of a net loss of $53.8 million, adjusted for certain non-cash items of $42.5 million, and net by change in our net operating assets and liabilities of $2.2 million. Non-cash items primarily consisted of a $30.3 million impairment charge to goodwill, a $18.9 million impairment charge to intangible assets and $0.7 million in depreciation and amortization; offset by offset by a gain of $0.9 million from the change in fair value of convertible notes payable, and a gain of $6.6 million from the change in fair value of warrant liabilities. Changes in our net operating assets and liabilities were primarily due to a $1.4 million increase in inventory, offset by $1.9 million decrease in accounts payable, a $0.9 million increase in prepaid expenses and other current assets.</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for the period from January 1, 2024 to July 30, 2024 (Predecessor) was $16.0 million consisting primarily of a net loss of $21.3 million, adjusted for certain non-cash items of $0.8 million, and net changes in our operating assets and liabilities of $6.1 million. Non-cash items primarily consisted of $0.6 million in depreciation and amortization, $0.6 million in stock-based compensation, noncash operating lease expense of $0.1 million, and loss on disposal of property and equipment of $0.1 million; offset by a gain of $2.1 million from the change in fair value of convertible notes payable, and a gain of $0.2 million from the change in fair value of warrant liabilities. Changes in our net operating assets and liabilities were primarily due to a $7.4 million increase in accrued transaction costs, the increase in accrued liabilities of $0.5 million and a $1.7 million increase in other accrued liabilities, which were primarily driven by the increase in transaction costs related to the Business Combination, the increase in accrued variable compensation related to the Business Combination, and the increase in interest related the convertible notes; offset by a $2.6 million decrease in accounts payable, $0.8 million increase in inventory, which were primarily driven by the payment of accounts payable related to the Business combination and an increase in inventory 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 Used in Investing Activities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2025 (Successor) was $0.4 million. Net cash used in investing activities for the periods from July 31, 2024 to December 31 2024 (Successor) and January 1, 2024 to July 30, 2024 (Predecessor) was $1.3 million and $0.4 million, respectively. The decrease was primarily due to lower purchases of property and equipment during the period.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 Provided by Financing Activities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2025 (Successor) was $16.1 million, primarily due to proceeds from the 2025 PIPE Financing, net of $2.9 million of issuance costs.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 for the period from July 31, 2024 to December 31, 2024 (Successor) was nil.</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period from January 1, 2024 to July 30, 2024 (Predecessor) was $15.6 million, primarily due to proceeds of $16.5 million from the issuance of the $7.0 million 2024 Bridge Financing Note, the $3.0 million May 2024 Convertible Notes, the $2.5 million June 2024 Convertible Notes, the $1.0 million July 2024 Convertible Notes, and the $3.0 million draw under the November 2023 Convertible Notes, partially offset by a $0.9 million repayment of the SVB Term Loan.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us to make estimates and assumptions that affect the amounts reported in our audited consolidated financial statements and accompanying notes included elsewhere in this Annual Report on Form 10-K. We base our estimates on historical experience, current business factors and various other assumptions that we believe are necessary to consider forming a basis for making judgments about the carrying values of assets and liabilities, the recorded amounts of revenue and expenses and the disclosure of contingent assets and liabilities. We are subject to uncertainties such as the impact of future events, economic and political factors, and changes in our business environment; therefore, actual results could differ from these estimates.</w:t>
      </w:r>
    </w:p>
    <w:p>
      <w:pPr>
        <w:spacing w:after="0" w:line="1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Accordingly, the accounting estimates used in the preparation of our consolidated financial statements will change as new events occur, as more experience is acquired, as additional information is obtained and as our operating environment changes. Changes in estimates are made when circumstances warrant. Such changes in estimates and refinements in estimation methodologies are reflected in reported results of operations; if material, the effects of changes in estimates are disclosed in the notes to our audited consolidated financial statements.</w:t>
      </w:r>
    </w:p>
    <w:p>
      <w:pPr>
        <w:spacing w:after="0" w:line="18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On an ongoing basis, we evaluate our estimates and assumptions. Our actual results may differ from these estimates under different assumptions or conditions.</w:t>
      </w:r>
    </w:p>
    <w:p>
      <w:pPr>
        <w:spacing w:after="0" w:line="160"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color w:val="auto"/>
        </w:rPr>
        <w:t xml:space="preserve">Our significant accounting policies are described in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to our consolidated financial statements. These are the policies that we believe are the most critical to aid in fully understanding and evaluating our consolidated financial condition and results of operations.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recognize compensation expense for all stock-based awards issued to employees and non-employees based on the estimated grant-date fair value, which is recognized as expense on a straight-line basis over the requisite service period. We have elected to recognize forfeitures as they occur. The fair value of stock options is determined using the Black-Scholes-Merton option-pricing model. The determination of fair value for stock-based awards on the date of grant using an option-pricing model requires management to make certain assumptions including expected volatility, expected term, risk-free interest rate and expected dividends in addition to our common stock valuation. Refer to </w:t>
      </w:r>
      <w:r>
        <w:rPr>
          <w:rFonts w:ascii="Times New Roman" w:cs="Times New Roman" w:eastAsia="Times New Roman" w:hAnsi="Times New Roman"/>
          <w:sz w:val="18"/>
          <w:szCs w:val="18"/>
          <w:i w:val="1"/>
          <w:iCs w:val="1"/>
          <w:color w:val="auto"/>
        </w:rPr>
        <w:t>Note 14 - 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do not have sufficient historical exercise and post-vesting termination activity to provide accurate data for estimating the expected term of options and have opted to use the “simplified method,” whereby the expected term equals the arithmetic average of the vesting term and the original contractual term of the option. Based on the lack of historical data of volatility for our common stock, we base our estimate of expected volatility on an average of the historical volatility of comparable public medical technology companies that reflect volatility characteristics relevant to our expected volatility analysis. The dividend yield is based upon the assumption that we will not declare a dividend over the life of the options. The risk-free interest rate is based on the U.S. Treasury yield curve in effect at the time of grant for bonds with maturities consistent with the expected term of the related award.</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Due to the absence of an active market for Legacy Adagio common stock, we utilized methodologies, approaches, and assumptions consistent with the American Institute of Certified Public Accountants Audit and Accounting Practice Aid Series: Valuation of Privately Held Company Equity Securities Issued as Compensation to estimate the fair value of Legacy Adagio common stock. In determining the exercise prices for options granted, we considered the fair value of the common stock as of the grant date. The fair value of the common stock is determined based upon a variety of factors, including our financial position, historical performance and operating results, our stage of development, the progress of our research and development programs, the prices at which we sold our convertible preferred stock, the superior rights, preferences and privileges of our convertible preferred stock relative to its common stock, external market conditions affecting the medical technologies industry, the lack of marketability of the Legacy Adagio common stock, prospects of a transaction and market performance of peer companies. Significant changes to the key assumptions underlying the factors used could result in different fair values of Legacy Adagio at each valuation date.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Intangible Assets</w:t>
      </w:r>
    </w:p>
    <w:p>
      <w:pPr>
        <w:spacing w:after="0" w:line="33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Intangible assets with finite useful lives are amortized on a straight-line basis over their estimated useful lives. In determining the estimated useful lives of definite-lived intangibles, we consider the nature, competitive position, life cycle position and expected future operating cash flows of the acquired asset, as well as its commitment to support these assets through continued investment and legal infringement protection.</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Our intangible assets subject to amortization and other long-lived assets, are reviewed for impairment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which requires that companies consider whether events or changes in facts and circumstances, both internally and externally, may indicate that an impairment of long-lived assets held for use are present. We review definite lived intangible assets for impairment at least annually or whenever events or changes in business circumstances indicate that the carrying amount of the assets may not be fully recoverable or that the useful lives of these assets are no longer appropriate. Determination of recoverability is based on an estimate of undiscounted future cash flows resulting from the use of the asset and its eventual disposition. In the event that such cash flows are not expected to be sufficient to recover the carrying amount of the asset, the assets are written down to their estimated fair values and the loss is recognized in the consolidated statements of operations and comprehensive loss.</w:t>
      </w:r>
    </w:p>
    <w:p>
      <w:pPr>
        <w:spacing w:after="0" w:line="18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For the period from January 1, 2024 to July 30, 2024 (Predecessor) and for the year ended December 31, 2025 (Successor), we determined that there was no impairment of definite-lived intangible assets. We determined that as of December 31, 2024, the fair value of our definite lived intangible assets was less than the carrying amount. As a result, we recorded a $3.8 million impairment charge during the period from July 31, 2024 to December 31, 2024 (Successor). The impairment was driven by a sustained decline in our share price and market capitalization.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Indefinite-lived intangible assets consist of In-Process Research and Development (“IPR&amp;D”). In accordance with ASC 350, Intangibles – Goodwill and Other Intangible, assets with indefinite lives are tested for impairment if impairment indicators arise and, at a minimum, annually. However, an entity is permitted to first assess qualitative factors to determine if a quantitative impairment test is necessary. Further testing is only required if the entity determines, based on the qualitative assessment, that it is more likely than not that an indefinite-lived intangible asset’s fair value is less than its carrying amount. Otherwise, no further impairment testing is required. The indefinite-lived intangible asset impairment test consists of a one-step analysis that compares the fair value of the intangible asset with its carrying amount. If the carrying amount of an intangible asset exceeds its fair value, an impairment loss is recognized in an amount equal to that excess.</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For the period from January 1, 2024 to July 30, 2024 (Predecessor) and for the year ended December 31, 2025 (Successor), we determined that there was no impairment of indefinite-lived intangible assets. We determined that as of December 31, 2024, the fair value of our indefinite-lived intangible assets was less than the carrying amount. As a result, we recorded a $15.1 million impairment charge during the period from July 31, 2024 to December 31, 2024 (Successor). The impairment was driven by a sustained decline in our share price and market capitalization.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accordance with ASC 350, Intangibles – Goodwill and Other, we test goodwill for impairment at the reporting unit level. We have one reporting unit for the goodwill impairment testing purposes. Goodwill is tested for impairment on an annual basis in the fourth quarter, or more frequently if events or changes in circumstances indicate the carrying value of goodwill may not be recoverable (a “triggering event”). On the occurrence of a triggering event, an entity has the option to first assess qualitative factors to determine whether a quantitative impairment test is necessary. If it is more likely than not that goodwill is impaired, the fair value of the reporting unit (the Company) is compared with its carrying value. An impairment charge is recognized for the amount by which the carrying amount exceeds the fair value, provided, the loss recognized cannot exceed the total amount of goodwill.</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For the period from January 1, 2024 to July 30, 2024 (Predecessor) and for the year ended December 31, 2025 (Successor), we determined that there was no goodwill impairment. We determined that as of December 31, 2024, our fair value was less than our carrying amount. As a result, we recorded a $30.3 million goodwill impairment charge during the period from July 31, 2024 to December 31, 2024 (Successor). The impairment was driven by a sustained decline in our share price and market capitalization.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Term Loan (Predecessor)</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Legacy Adagio accounts for the Predecessor term loan at residual value on the date of issuance. The expected life of the term loan is the contractual term ending on the maturity date. Legacy Adagio classifies the term loan as current liabilities within twelve months of the maturity date or when otherwise due. Interest expense is recognized in the consolidated statements of operations and comprehensive loss over the contractual term of the loan. Refer to </w:t>
      </w:r>
      <w:r>
        <w:rPr>
          <w:rFonts w:ascii="Times New Roman" w:cs="Times New Roman" w:eastAsia="Times New Roman" w:hAnsi="Times New Roman"/>
          <w:sz w:val="18"/>
          <w:szCs w:val="18"/>
          <w:i w:val="1"/>
          <w:iCs w:val="1"/>
          <w:color w:val="auto"/>
        </w:rPr>
        <w:t>Note 9 - Debt</w:t>
      </w:r>
      <w:r>
        <w:rPr>
          <w:rFonts w:ascii="Times New Roman" w:cs="Times New Roman" w:eastAsia="Times New Roman" w:hAnsi="Times New Roman"/>
          <w:sz w:val="18"/>
          <w:szCs w:val="18"/>
          <w:color w:val="auto"/>
        </w:rPr>
        <w:t xml:space="preserve"> in our consolidated financial statements for additional information related to the term loan.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have Milestone Warrants (as defined below) issued along with the 2025 PIPE Pre-funded Warrants (as defined below) issued in the 2025 PIPE Financing (as defined below), which are classified as equity. We have Convert Warrants (as defined below) issued along with the Convertible Securities Notes, and PIPE Pre-funded Warrants (as defined below) issued in the 2024 PIPE Financing (as defined below), which are classified as liabilities. We also have PIPE Base Warrants (as defined below) issued in the 2024 PIPE Financing, which are classified as equity. Legacy Adagio had certain common stock warrants (“SVB Warrants”) issued along with the SVB Term Loan (as defined below) and pre-funded warrants to purchase Series E preferred stock (“Series E Pre-funded Warrants”), which were both classified as liabilities.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determine the classification of warrants based on an assessment of the warrant’s specific terms and applicable authoritative guidance in ASC 480 and ASC 815. The assessment considers whether the warrants are freestanding financial instruments and meet all of the requirements for equity classification, including whether the warrants are indexed to our own shares of common stock, among other conditions for equity classification. This assessment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classified as liabilities and are required to be recorded at their initial fair value on the date of issuance, and each balance sheet date thereafter until settlement. Changes in the estimated fair value of the liability-classified warrants are recognized in warrant liabilities fair value adjustment in the consolidated statements of operations and comprehensive loss.</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classification of derivative instruments, including whether such instruments should be recorded as liabilities or as equity, is reassessed at the end of each reporting period. Equity instruments that are initially classified as equity that become subject to reclassification are reclassified to a liability at the fair value of the instrument on the reclassification date. Derivative instrument liabilities are classified in the consolidated balance sheets as current or non-current based on whether or not net-cash settlement of the derivative instrument could be required within twelve months of the consolidated balance sheet date.</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10 - Warrants</w:t>
      </w:r>
      <w:r>
        <w:rPr>
          <w:rFonts w:ascii="Times New Roman" w:cs="Times New Roman" w:eastAsia="Times New Roman" w:hAnsi="Times New Roman"/>
          <w:sz w:val="18"/>
          <w:szCs w:val="18"/>
          <w:color w:val="auto"/>
        </w:rPr>
        <w:t xml:space="preserve"> for additional information related to the warrants.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 (Predecessor)</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record the Legacy Adagio convertible preferred stock at fair value on the dates of issuance, net of issuance costs. Upon the occurrence of certain events that are outside the Legacy Adagio’s control, including a deemed liquidation event, holders of the convertible preferred stock can cause redemption for cash. Each share of preferred stock would automatically be converted into shares of Legacy Adagio common stock at the then effective conversion rate immediately upon the earlier of (i) the election of the holders of a majority of the outstanding shares of preferred stock, voting as a separate class on an as-converted to common stock basis, or (ii) the closing of the sale of the Legacy Adagio’s common stock in a firm commitment, underwritten public offering registered under the Securities Act of 1933, as amended, with aggregate offering proceeds to Legacy Adagio (before deduction for underwriters’ discounts and expenses relating to the issuance) of at least $75.0 million and a public offering price per share equal to at least $67.83 (subject to adjustments for stock dividends, splits, combinations and similar events).</w:t>
      </w:r>
    </w:p>
    <w:p>
      <w:pPr>
        <w:spacing w:after="0" w:line="194"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the Legacy Adagio preferred stock was considered to be contingently redeemable, the Legacy Adagio preferred stock was classified outside of permanent equity.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 for Convertible Notes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As permitted under ASC 825, Financial Instruments (“ASC 825”), Legacy Adagio elected the fair value option to account for the October 2022 Convertible Notes, the April 2023 Convertible Notes, the November 2023 Convertible Notes, the February 2024 Convertible Notes, the May 2024 Convertible Notes, the June 2024 Convertible Notes, and the July 2024 Convertible Notes (collectively, “Legacy Adagio Convertible Notes”), and we elected the fair value option to account for the Convertible Securities Notes, in order to measure those liabilities at amounts that more accurately reflect the current economic environment in which the we and Legacy Adagio operated.</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Convertible Securities Notes mentioned above were recorded at fair value at issuance and subsequently were remeasured to fair value at the end of each reporting period. The change in fair value of the Convertible Securities Notes, including amounts related to interest, is recorded in “Convertible notes fair value adjustment”.</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 xml:space="preserve">As a result of applying the fair value option, direct costs and fees related to the issuance of the Convertible Securities Notes were expensed as incurred (i.e., not recognized as deferred costs). Refer to </w:t>
      </w:r>
      <w:r>
        <w:rPr>
          <w:rFonts w:ascii="Times New Roman" w:cs="Times New Roman" w:eastAsia="Times New Roman" w:hAnsi="Times New Roman"/>
          <w:sz w:val="18"/>
          <w:szCs w:val="18"/>
          <w:i w:val="1"/>
          <w:iCs w:val="1"/>
          <w:color w:val="auto"/>
        </w:rPr>
        <w:t>Note 4 - Fair Value Measurements</w:t>
      </w:r>
      <w:r>
        <w:rPr>
          <w:rFonts w:ascii="Times New Roman" w:cs="Times New Roman" w:eastAsia="Times New Roman" w:hAnsi="Times New Roman"/>
          <w:sz w:val="18"/>
          <w:szCs w:val="18"/>
          <w:color w:val="auto"/>
        </w:rPr>
        <w:t xml:space="preserve"> for further detail.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(“EGC”), as defined in the JOBS Act. The JOBS Act permits companies with EGC status to take advantage of an extended transition period to comply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Subject to certain conditions set forth in the JOBS Act, if, as an EGC, we intend to rely on such exemptions, we are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94"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will remain an EGC under the JOBS Act until the earliest of (i) the last date of our fiscal year in which we have total annual gross revenue of at least $1.235 billion, (ii) the date on which we are deemed to be a “large accelerated filer” under the rules of the SEC with at least $700.0 million of outstanding securities held by non-affiliates, or (iii) the date on which we have issued more than $1.0 billion in non-convertible debt securities during the previous three-years.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left="60" w:right="79" w:firstLine="324"/>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2 - Summary of Significant Accounting Policies</w:t>
      </w:r>
      <w:r>
        <w:rPr>
          <w:rFonts w:ascii="Times New Roman" w:cs="Times New Roman" w:eastAsia="Times New Roman" w:hAnsi="Times New Roman"/>
          <w:sz w:val="18"/>
          <w:szCs w:val="18"/>
          <w:color w:val="auto"/>
        </w:rPr>
        <w:t xml:space="preserve"> in our consolidated financial statements for a description of recent accounting pronouncements applicable to our financial statements.</w:t>
      </w:r>
    </w:p>
    <w:p>
      <w:pPr>
        <w:spacing w:after="0" w:line="156"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0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0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Firms </w:t>
            </w:r>
            <w:r>
              <w:rPr>
                <w:rFonts w:ascii="Times New Roman" w:cs="Times New Roman" w:eastAsia="Times New Roman" w:hAnsi="Times New Roman"/>
                <w:sz w:val="18"/>
                <w:szCs w:val="18"/>
                <w:color w:val="000000"/>
              </w:rPr>
              <w:t>(WithumSmith+Brown, PC, PCAOB ID 100)</w:t>
            </w:r>
          </w:p>
        </w:tc>
        <w:tc>
          <w:tcPr>
            <w:tcW w:w="8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56"/>
        </w:trPr>
        <w:tc>
          <w:tcPr>
            <w:tcW w:w="8080" w:type="dxa"/>
            <w:vAlign w:val="bottom"/>
            <w:gridSpan w:val="8"/>
            <w:vMerge w:val="continue"/>
          </w:tcPr>
          <w:p>
            <w:pPr>
              <w:spacing w:after="0"/>
              <w:rPr>
                <w:sz w:val="13"/>
                <w:szCs w:val="13"/>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32"/>
        </w:trPr>
        <w:tc>
          <w:tcPr>
            <w:tcW w:w="428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800" w:type="dxa"/>
            <w:vAlign w:val="bottom"/>
            <w:gridSpan w:val="3"/>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20" w:type="dxa"/>
            <w:vAlign w:val="bottom"/>
          </w:tcPr>
          <w:p>
            <w:pPr>
              <w:spacing w:after="0"/>
              <w:rPr>
                <w:sz w:val="16"/>
                <w:szCs w:val="16"/>
                <w:color w:val="auto"/>
              </w:rPr>
            </w:pPr>
          </w:p>
        </w:tc>
        <w:tc>
          <w:tcPr>
            <w:tcW w:w="210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5560" w:type="dxa"/>
            <w:vAlign w:val="bottom"/>
            <w:gridSpan w:val="6"/>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76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76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Convertible Preferred Stock and Stockholders’ Equity (Deficit)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3700" w:type="dxa"/>
            <w:vAlign w:val="bottom"/>
            <w:tcBorders>
              <w:top w:val="single" w:sz="8" w:color="0000EE"/>
            </w:tcBorders>
            <w:gridSpan w:val="4"/>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31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4500" w:type="dxa"/>
            <w:vAlign w:val="bottom"/>
            <w:gridSpan w:val="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Adagio Medical Holdings, Inc.</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Adagio Medical Holdings, Inc. (the “Company”) as of December 31, 2025 and 2024, and the related consolidated statements of operations and comprehensive loss, consolidated statements of convertible preferred stock and stockholders’ equity (deficit), and consolidated statements of cash flows for the periods January 1 to December 2025 and July 31 to December 31, 2024 (Successor), January 1 to July 30, 2024 (Predecessor),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periods January 1 to December 2025 and July 31 to December 31, 2024 (Successor), January 1 to July 30, 2024 (Predecessor), in conformity with accounting principles generally accepted in the United States of America.</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Going concern</w:t>
      </w:r>
    </w:p>
    <w:p>
      <w:pPr>
        <w:spacing w:after="0" w:line="19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entity will continue as a going concern. As discussed in Note 1 to the financial statements, the entity has suffered recurring losses from operations and has a net capital deficiency that raise substantial doubt about its ability to continue as a going concern. Management’s plans regarding these matters are also described in Note 1. The financial statements do not include any adjustments that might result from the outcome of this uncertainty.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1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entity’s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Company’s auditor since 2023.</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Whippany, New Jersey</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26, 2026</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PCAOB ID No. 100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2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17"/>
        </w:trPr>
        <w:tc>
          <w:tcPr>
            <w:tcW w:w="61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48"/>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1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17,105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Inventory, net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Prepaid expenses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60" w:type="dxa"/>
            <w:vAlign w:val="bottom"/>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20,082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25,349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Right-of-use assets, net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6,969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Goodwill, net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13,967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160" w:type="dxa"/>
            <w:vAlign w:val="bottom"/>
            <w:tcBorders>
              <w:bottom w:val="single" w:sz="8" w:color="CCEEFF"/>
            </w:tcBorders>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43,253</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48,448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16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1,082</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6,996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Operating lease liabilities, current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accrued liabilities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60" w:type="dxa"/>
            <w:vAlign w:val="bottom"/>
            <w:tcBorders>
              <w:top w:val="single" w:sz="8" w:color="CCEEFF"/>
            </w:tcBorders>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8,233</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liabilities, long-term</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Convertible notes payable, net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21,040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Warrant liabilities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tax liabilities, net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60" w:type="dxa"/>
            <w:vAlign w:val="bottom"/>
            <w:tcBorders>
              <w:top w:val="single" w:sz="8" w:color="CCEEFF"/>
            </w:tcBorders>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30,851</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28,536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12)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6160" w:type="dxa"/>
            <w:vAlign w:val="bottom"/>
          </w:tcPr>
          <w:p>
            <w:pPr>
              <w:ind w:left="440"/>
              <w:spacing w:after="0" w:line="126" w:lineRule="exact"/>
              <w:rPr>
                <w:sz w:val="20"/>
                <w:szCs w:val="20"/>
                <w:color w:val="auto"/>
              </w:rPr>
            </w:pPr>
            <w:r>
              <w:rPr>
                <w:rFonts w:ascii="Times New Roman" w:cs="Times New Roman" w:eastAsia="Times New Roman" w:hAnsi="Times New Roman"/>
                <w:sz w:val="14"/>
                <w:szCs w:val="14"/>
                <w:color w:val="auto"/>
              </w:rPr>
              <w:t>Common stock, $0.0001 par value; 210,000,000 shares authorized at December 31, 2025 and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1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December 31, 2024; 22,210,459 and 15,198,232 shares issued and outstanding at December 31,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2025 and December 31, 2024, respectively</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108,108</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90,495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(95,609)</w:t>
            </w: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(70,586)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60" w:type="dxa"/>
            <w:vAlign w:val="bottom"/>
            <w:tcBorders>
              <w:bottom w:val="single" w:sz="8" w:color="CCEEFF"/>
            </w:tcBorders>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12,402</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19,912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60" w:type="dxa"/>
            <w:vAlign w:val="bottom"/>
            <w:tcBorders>
              <w:bottom w:val="single" w:sz="8" w:color="CCEEFF"/>
            </w:tcBorders>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43,253</w:t>
            </w:r>
          </w:p>
        </w:tc>
        <w:tc>
          <w:tcPr>
            <w:tcW w:w="2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48,448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1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520" w:type="dxa"/>
            <w:vAlign w:val="bottom"/>
            <w:gridSpan w:val="2"/>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6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gridSpan w:val="3"/>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80" w:type="dxa"/>
            <w:vAlign w:val="bottom"/>
            <w:tcBorders>
              <w:bottom w:val="single" w:sz="8" w:color="auto"/>
            </w:tcBorders>
            <w:gridSpan w:val="2"/>
          </w:tcPr>
          <w:p>
            <w:pPr>
              <w:jc w:val="right"/>
              <w:ind w:right="268"/>
              <w:spacing w:after="0" w:line="122"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Borders>
              <w:bottom w:val="single" w:sz="8" w:color="auto"/>
            </w:tcBorders>
            <w:gridSpan w:val="2"/>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Borders>
              <w:bottom w:val="single" w:sz="8" w:color="auto"/>
            </w:tcBorders>
            <w:gridSpan w:val="2"/>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Predecessor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6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July 31 to</w:t>
            </w:r>
          </w:p>
        </w:tc>
        <w:tc>
          <w:tcPr>
            <w:tcW w:w="2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January 1 to July 30</w:t>
            </w:r>
          </w:p>
        </w:tc>
        <w:tc>
          <w:tcPr>
            <w:tcW w:w="0" w:type="dxa"/>
            <w:vAlign w:val="bottom"/>
          </w:tcPr>
          <w:p>
            <w:pPr>
              <w:spacing w:after="0"/>
              <w:rPr>
                <w:sz w:val="1"/>
                <w:szCs w:val="1"/>
                <w:color w:val="auto"/>
              </w:rPr>
            </w:pPr>
          </w:p>
        </w:tc>
      </w:tr>
      <w:tr>
        <w:trPr>
          <w:trHeight w:val="109"/>
        </w:trPr>
        <w:tc>
          <w:tcPr>
            <w:tcW w:w="36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Borders>
              <w:right w:val="single" w:sz="8" w:color="auto"/>
            </w:tcBorders>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6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Borders>
              <w:right w:val="single" w:sz="8" w:color="auto"/>
            </w:tcBorders>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w:t>
            </w:r>
          </w:p>
        </w:tc>
        <w:tc>
          <w:tcPr>
            <w:tcW w:w="10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269</w:t>
            </w:r>
          </w:p>
        </w:tc>
        <w:tc>
          <w:tcPr>
            <w:tcW w:w="200" w:type="dxa"/>
            <w:vAlign w:val="bottom"/>
            <w:tcBorders>
              <w:top w:val="single" w:sz="8" w:color="CCEEFF"/>
              <w:right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Cost of revenue and operating expenses:</w:t>
            </w: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10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1,937</w:t>
            </w:r>
          </w:p>
        </w:tc>
        <w:tc>
          <w:tcPr>
            <w:tcW w:w="20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10,639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4,634</w:t>
            </w: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10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10,567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6,976</w:t>
            </w:r>
          </w:p>
        </w:tc>
        <w:tc>
          <w:tcPr>
            <w:tcW w:w="20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Impairment - Goodwill</w:t>
            </w: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30,324</w:t>
            </w: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Impairment - Intangible assets, net</w:t>
            </w:r>
          </w:p>
        </w:tc>
        <w:tc>
          <w:tcPr>
            <w:tcW w:w="10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18,878</w:t>
            </w:r>
          </w:p>
        </w:tc>
        <w:tc>
          <w:tcPr>
            <w:tcW w:w="20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cost of revenue and operating expenses</w:t>
            </w:r>
          </w:p>
        </w:tc>
        <w:tc>
          <w:tcPr>
            <w:tcW w:w="10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21,890</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62,749</w:t>
            </w:r>
          </w:p>
        </w:tc>
        <w:tc>
          <w:tcPr>
            <w:tcW w:w="200" w:type="dxa"/>
            <w:vAlign w:val="bottom"/>
            <w:tcBorders>
              <w:bottom w:val="single" w:sz="8" w:color="CCEEFF"/>
              <w:right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22,013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Loss from operations</w:t>
            </w:r>
          </w:p>
        </w:tc>
        <w:tc>
          <w:tcPr>
            <w:tcW w:w="10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(21,890)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(62,480)</w:t>
            </w:r>
          </w:p>
        </w:tc>
        <w:tc>
          <w:tcPr>
            <w:tcW w:w="20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(21,680)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(expense) income:</w:t>
            </w: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Convertible notes fair value adjustment</w:t>
            </w:r>
          </w:p>
        </w:tc>
        <w:tc>
          <w:tcPr>
            <w:tcW w:w="10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(980)</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929</w:t>
            </w:r>
          </w:p>
        </w:tc>
        <w:tc>
          <w:tcPr>
            <w:tcW w:w="20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Warrant liabilities fair value adjustment</w:t>
            </w: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6,576</w:t>
            </w: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0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(2,906)</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80" w:type="dxa"/>
            <w:vAlign w:val="bottom"/>
            <w:tcBorders>
              <w:right w:val="single" w:sz="8" w:color="auto"/>
            </w:tcBorders>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(1,105)</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0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420</w:t>
            </w: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(expense) income, net</w:t>
            </w:r>
          </w:p>
        </w:tc>
        <w:tc>
          <w:tcPr>
            <w:tcW w:w="106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1,897</w:t>
            </w:r>
          </w:p>
        </w:tc>
        <w:tc>
          <w:tcPr>
            <w:tcW w:w="20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other (loss) income, net</w:t>
            </w:r>
          </w:p>
        </w:tc>
        <w:tc>
          <w:tcPr>
            <w:tcW w:w="10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(3,194)</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8,717</w:t>
            </w:r>
          </w:p>
        </w:tc>
        <w:tc>
          <w:tcPr>
            <w:tcW w:w="200" w:type="dxa"/>
            <w:vAlign w:val="bottom"/>
            <w:tcBorders>
              <w:bottom w:val="single" w:sz="8" w:color="CCEEFF"/>
              <w:right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106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(25,084)</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(53,763)</w:t>
            </w:r>
          </w:p>
        </w:tc>
        <w:tc>
          <w:tcPr>
            <w:tcW w:w="200" w:type="dxa"/>
            <w:vAlign w:val="bottom"/>
            <w:tcBorders>
              <w:bottom w:val="single" w:sz="8" w:color="CCEEFF"/>
              <w:right w:val="single" w:sz="8" w:color="auto"/>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(21,278)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6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0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Comprehensive loss</w:t>
            </w:r>
          </w:p>
        </w:tc>
        <w:tc>
          <w:tcPr>
            <w:tcW w:w="106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(25,184)</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(53,762)</w:t>
            </w:r>
          </w:p>
        </w:tc>
        <w:tc>
          <w:tcPr>
            <w:tcW w:w="200" w:type="dxa"/>
            <w:vAlign w:val="bottom"/>
            <w:tcBorders>
              <w:bottom w:val="single" w:sz="8" w:color="CCEEFF"/>
              <w:right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(21,275)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6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6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Basic net loss per share</w:t>
            </w:r>
          </w:p>
        </w:tc>
        <w:tc>
          <w:tcPr>
            <w:tcW w:w="10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(1.51)</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(3.38)</w:t>
            </w:r>
          </w:p>
        </w:tc>
        <w:tc>
          <w:tcPr>
            <w:tcW w:w="200" w:type="dxa"/>
            <w:vAlign w:val="bottom"/>
            <w:tcBorders>
              <w:bottom w:val="single" w:sz="8" w:color="CCEEFF"/>
              <w:right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66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Diluted net loss per share</w:t>
            </w:r>
          </w:p>
        </w:tc>
        <w:tc>
          <w:tcPr>
            <w:tcW w:w="106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(1.51)</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(3.70)</w:t>
            </w:r>
          </w:p>
        </w:tc>
        <w:tc>
          <w:tcPr>
            <w:tcW w:w="200" w:type="dxa"/>
            <w:vAlign w:val="bottom"/>
            <w:tcBorders>
              <w:bottom w:val="single" w:sz="8" w:color="CCEEFF"/>
              <w:right w:val="single" w:sz="8" w:color="auto"/>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(26.08)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Weighted-average shares outstanding – Basic</w:t>
            </w:r>
          </w:p>
        </w:tc>
        <w:tc>
          <w:tcPr>
            <w:tcW w:w="1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60" w:type="dxa"/>
            <w:vAlign w:val="bottom"/>
            <w:tcBorders>
              <w:bottom w:val="single" w:sz="8" w:color="CCEEFF"/>
            </w:tcBorders>
            <w:vMerge w:val="continue"/>
          </w:tcPr>
          <w:p>
            <w:pPr>
              <w:spacing w:after="0"/>
              <w:rPr>
                <w:sz w:val="11"/>
                <w:szCs w:val="11"/>
                <w:color w:val="auto"/>
              </w:rPr>
            </w:pPr>
          </w:p>
        </w:tc>
        <w:tc>
          <w:tcPr>
            <w:tcW w:w="106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16,577,126</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14,772,692</w:t>
            </w:r>
          </w:p>
        </w:tc>
        <w:tc>
          <w:tcPr>
            <w:tcW w:w="200" w:type="dxa"/>
            <w:vAlign w:val="bottom"/>
            <w:tcBorders>
              <w:bottom w:val="single" w:sz="8" w:color="CCEEFF"/>
              <w:right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815,854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Weighted-average shares outstanding – Diluted</w:t>
            </w:r>
          </w:p>
        </w:tc>
        <w:tc>
          <w:tcPr>
            <w:tcW w:w="106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16,577,126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14,772,692</w:t>
            </w:r>
          </w:p>
        </w:tc>
        <w:tc>
          <w:tcPr>
            <w:tcW w:w="20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815,854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80"/>
          </w:cols>
          <w:pgMar w:left="1400" w:top="513" w:right="1419"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Adagio Medical Holdings Inc.</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Statements of Convertible Preferred Stock and Stockholders’ Equity (Deficit)</w:t>
      </w: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20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9"/>
          </w:tcPr>
          <w:p>
            <w:pPr>
              <w:ind w:left="120"/>
              <w:spacing w:after="0"/>
              <w:rPr>
                <w:sz w:val="20"/>
                <w:szCs w:val="20"/>
                <w:color w:val="auto"/>
              </w:rPr>
            </w:pPr>
            <w:r>
              <w:rPr>
                <w:rFonts w:ascii="Times New Roman" w:cs="Times New Roman" w:eastAsia="Times New Roman" w:hAnsi="Times New Roman"/>
                <w:sz w:val="13"/>
                <w:szCs w:val="13"/>
                <w:b w:val="1"/>
                <w:bCs w:val="1"/>
                <w:color w:val="auto"/>
              </w:rPr>
              <w:t>Year Ended December 31, 2025</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5"/>
        </w:trPr>
        <w:tc>
          <w:tcPr>
            <w:tcW w:w="2080" w:type="dxa"/>
            <w:vAlign w:val="bottom"/>
          </w:tcPr>
          <w:p>
            <w:pPr>
              <w:spacing w:after="0"/>
              <w:rPr>
                <w:sz w:val="14"/>
                <w:szCs w:val="14"/>
                <w:color w:val="auto"/>
              </w:rPr>
            </w:pPr>
          </w:p>
        </w:tc>
        <w:tc>
          <w:tcPr>
            <w:tcW w:w="1680" w:type="dxa"/>
            <w:vAlign w:val="bottom"/>
            <w:tcBorders>
              <w:bottom w:val="single" w:sz="8" w:color="auto"/>
              <w:right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tc>
        <w:tc>
          <w:tcPr>
            <w:tcW w:w="11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2080" w:type="dxa"/>
            <w:vAlign w:val="bottom"/>
          </w:tcPr>
          <w:p>
            <w:pPr>
              <w:ind w:left="20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300" w:type="dxa"/>
            <w:vAlign w:val="bottom"/>
            <w:gridSpan w:val="2"/>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72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6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Amount</w:t>
            </w:r>
            <w:r>
              <w:rPr>
                <w:rFonts w:ascii="Times New Roman" w:cs="Times New Roman" w:eastAsia="Times New Roman" w:hAnsi="Times New Roman"/>
                <w:sz w:val="13"/>
                <w:szCs w:val="13"/>
                <w:color w:val="auto"/>
              </w:rPr>
              <w:t>​</w:t>
            </w:r>
          </w:p>
        </w:tc>
        <w:tc>
          <w:tcPr>
            <w:tcW w:w="280" w:type="dxa"/>
            <w:vAlign w:val="bottom"/>
            <w:gridSpan w:val="2"/>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center"/>
              <w:ind w:right="33"/>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0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Income (Loss)</w:t>
            </w:r>
          </w:p>
        </w:tc>
        <w:tc>
          <w:tcPr>
            <w:tcW w:w="320" w:type="dxa"/>
            <w:vAlign w:val="bottom"/>
            <w:gridSpan w:val="2"/>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ind w:right="73"/>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12"/>
        </w:trPr>
        <w:tc>
          <w:tcPr>
            <w:tcW w:w="2080" w:type="dxa"/>
            <w:vAlign w:val="bottom"/>
            <w:tcBorders>
              <w:top w:val="single" w:sz="8" w:color="CCEEFF"/>
            </w:tcBorders>
            <w:shd w:val="clear" w:color="auto" w:fill="CCEEFF"/>
          </w:tcPr>
          <w:p>
            <w:pPr>
              <w:ind w:left="20"/>
              <w:spacing w:after="0" w:line="112" w:lineRule="exact"/>
              <w:rPr>
                <w:sz w:val="20"/>
                <w:szCs w:val="20"/>
                <w:color w:val="auto"/>
              </w:rPr>
            </w:pPr>
            <w:r>
              <w:rPr>
                <w:rFonts w:ascii="Times New Roman" w:cs="Times New Roman" w:eastAsia="Times New Roman" w:hAnsi="Times New Roman"/>
                <w:sz w:val="12"/>
                <w:szCs w:val="12"/>
                <w:b w:val="1"/>
                <w:bCs w:val="1"/>
                <w:color w:val="auto"/>
              </w:rPr>
              <w:t>Balance as of December 31, 2024</w:t>
            </w:r>
          </w:p>
        </w:tc>
        <w:tc>
          <w:tcPr>
            <w:tcW w:w="660" w:type="dxa"/>
            <w:vAlign w:val="bottom"/>
            <w:tcBorders>
              <w:top w:val="single" w:sz="8" w:color="auto"/>
              <w:left w:val="single" w:sz="8" w:color="CCEEFF"/>
            </w:tcBorders>
            <w:shd w:val="clear" w:color="auto" w:fill="CCEEFF"/>
          </w:tcPr>
          <w:p>
            <w:pPr>
              <w:spacing w:after="0"/>
              <w:rPr>
                <w:sz w:val="9"/>
                <w:szCs w:val="9"/>
                <w:color w:val="auto"/>
              </w:rPr>
            </w:pPr>
          </w:p>
        </w:tc>
        <w:tc>
          <w:tcPr>
            <w:tcW w:w="180" w:type="dxa"/>
            <w:vAlign w:val="bottom"/>
            <w:tcBorders>
              <w:top w:val="single" w:sz="8" w:color="CCEEFF"/>
              <w:left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right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lef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left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6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15,198,232</w:t>
            </w: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90,495</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(70,586)</w:t>
            </w:r>
          </w:p>
        </w:tc>
        <w:tc>
          <w:tcPr>
            <w:tcW w:w="20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20" w:type="dxa"/>
            <w:vAlign w:val="bottom"/>
            <w:tcBorders>
              <w:left w:val="single" w:sz="8" w:color="CCEEFF"/>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19,912</w:t>
            </w:r>
          </w:p>
        </w:tc>
        <w:tc>
          <w:tcPr>
            <w:tcW w:w="0" w:type="dxa"/>
            <w:vAlign w:val="bottom"/>
          </w:tcPr>
          <w:p>
            <w:pPr>
              <w:spacing w:after="0"/>
              <w:rPr>
                <w:sz w:val="1"/>
                <w:szCs w:val="1"/>
                <w:color w:val="auto"/>
              </w:rPr>
            </w:pPr>
          </w:p>
        </w:tc>
      </w:tr>
      <w:tr>
        <w:trPr>
          <w:trHeight w:val="136"/>
        </w:trPr>
        <w:tc>
          <w:tcPr>
            <w:tcW w:w="2080" w:type="dxa"/>
            <w:vAlign w:val="bottom"/>
          </w:tcPr>
          <w:p>
            <w:pPr>
              <w:ind w:left="220"/>
              <w:spacing w:after="0" w:line="136"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adjustment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36"/>
        </w:trPr>
        <w:tc>
          <w:tcPr>
            <w:tcW w:w="208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3"/>
                <w:szCs w:val="13"/>
                <w:color w:val="auto"/>
              </w:rPr>
              <w:t>Issuance of common shares,</w:t>
            </w:r>
          </w:p>
        </w:tc>
        <w:tc>
          <w:tcPr>
            <w:tcW w:w="660" w:type="dxa"/>
            <w:vAlign w:val="bottom"/>
            <w:tcBorders>
              <w:left w:val="single" w:sz="8" w:color="CCEEFF"/>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left w:val="single" w:sz="8" w:color="CCEEFF"/>
              <w:right w:val="single" w:sz="8" w:color="CCEEFF"/>
            </w:tcBorders>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pre-funded warrants and</w:t>
            </w:r>
          </w:p>
        </w:tc>
        <w:tc>
          <w:tcPr>
            <w:tcW w:w="660" w:type="dxa"/>
            <w:vAlign w:val="bottom"/>
            <w:tcBorders>
              <w:left w:val="single" w:sz="8" w:color="CCEEFF"/>
            </w:tcBorders>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warrants, net of</w:t>
            </w:r>
          </w:p>
        </w:tc>
        <w:tc>
          <w:tcPr>
            <w:tcW w:w="660" w:type="dxa"/>
            <w:vAlign w:val="bottom"/>
            <w:tcBorders>
              <w:left w:val="single" w:sz="8" w:color="CCEEFF"/>
            </w:tcBorders>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$2,865 issuance costs</w:t>
            </w:r>
          </w:p>
        </w:tc>
        <w:tc>
          <w:tcPr>
            <w:tcW w:w="6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5,798,072</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16,134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tcBorders>
              <w:left w:val="single" w:sz="8" w:color="CCEEFF"/>
              <w:right w:val="single" w:sz="8" w:color="CCEEFF"/>
            </w:tcBorders>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16,134</w:t>
            </w:r>
          </w:p>
        </w:tc>
        <w:tc>
          <w:tcPr>
            <w:tcW w:w="0" w:type="dxa"/>
            <w:vAlign w:val="bottom"/>
          </w:tcPr>
          <w:p>
            <w:pPr>
              <w:spacing w:after="0"/>
              <w:rPr>
                <w:sz w:val="1"/>
                <w:szCs w:val="1"/>
                <w:color w:val="auto"/>
              </w:rPr>
            </w:pPr>
          </w:p>
        </w:tc>
      </w:tr>
      <w:tr>
        <w:trPr>
          <w:trHeight w:val="136"/>
        </w:trPr>
        <w:tc>
          <w:tcPr>
            <w:tcW w:w="2080" w:type="dxa"/>
            <w:vAlign w:val="bottom"/>
          </w:tcPr>
          <w:p>
            <w:pPr>
              <w:ind w:left="220"/>
              <w:spacing w:after="0" w:line="136" w:lineRule="exact"/>
              <w:rPr>
                <w:sz w:val="20"/>
                <w:szCs w:val="20"/>
                <w:color w:val="auto"/>
              </w:rPr>
            </w:pPr>
            <w:r>
              <w:rPr>
                <w:rFonts w:ascii="Times New Roman" w:cs="Times New Roman" w:eastAsia="Times New Roman" w:hAnsi="Times New Roman"/>
                <w:sz w:val="13"/>
                <w:szCs w:val="13"/>
                <w:color w:val="auto"/>
              </w:rPr>
              <w:t>Exercise of pre-funded</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warrants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1,030,822</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Issuance of Waiver Shares</w:t>
            </w:r>
          </w:p>
        </w:tc>
        <w:tc>
          <w:tcPr>
            <w:tcW w:w="6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183,333</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Stock-based compensation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1,479</w:t>
            </w: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Net loss</w:t>
            </w:r>
          </w:p>
        </w:tc>
        <w:tc>
          <w:tcPr>
            <w:tcW w:w="6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(25,084)</w:t>
            </w: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(25,084)</w:t>
            </w:r>
          </w:p>
        </w:tc>
        <w:tc>
          <w:tcPr>
            <w:tcW w:w="0" w:type="dxa"/>
            <w:vAlign w:val="bottom"/>
          </w:tcPr>
          <w:p>
            <w:pPr>
              <w:spacing w:after="0"/>
              <w:rPr>
                <w:sz w:val="1"/>
                <w:szCs w:val="1"/>
                <w:color w:val="auto"/>
              </w:rPr>
            </w:pPr>
          </w:p>
        </w:tc>
      </w:tr>
      <w:tr>
        <w:trPr>
          <w:trHeight w:val="20"/>
        </w:trPr>
        <w:tc>
          <w:tcPr>
            <w:tcW w:w="2080" w:type="dxa"/>
            <w:vAlign w:val="bottom"/>
            <w:vMerge w:val="restart"/>
          </w:tcPr>
          <w:p>
            <w:pPr>
              <w:ind w:left="20"/>
              <w:spacing w:after="0" w:line="112" w:lineRule="exact"/>
              <w:rPr>
                <w:sz w:val="20"/>
                <w:szCs w:val="20"/>
                <w:color w:val="auto"/>
              </w:rPr>
            </w:pPr>
            <w:r>
              <w:rPr>
                <w:rFonts w:ascii="Times New Roman" w:cs="Times New Roman" w:eastAsia="Times New Roman" w:hAnsi="Times New Roman"/>
                <w:sz w:val="12"/>
                <w:szCs w:val="12"/>
                <w:b w:val="1"/>
                <w:bCs w:val="1"/>
                <w:color w:val="auto"/>
              </w:rPr>
              <w:t>Balance as of December 31, 2025</w:t>
            </w:r>
          </w:p>
        </w:tc>
        <w:tc>
          <w:tcPr>
            <w:tcW w:w="6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80" w:type="dxa"/>
            <w:vAlign w:val="bottom"/>
            <w:vMerge w:val="continue"/>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22,210,459</w:t>
            </w:r>
          </w:p>
        </w:tc>
        <w:tc>
          <w:tcPr>
            <w:tcW w:w="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108,108</w:t>
            </w: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(95,609)</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32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12,402</w:t>
            </w:r>
          </w:p>
        </w:tc>
        <w:tc>
          <w:tcPr>
            <w:tcW w:w="0" w:type="dxa"/>
            <w:vAlign w:val="bottom"/>
          </w:tcPr>
          <w:p>
            <w:pPr>
              <w:spacing w:after="0"/>
              <w:rPr>
                <w:sz w:val="1"/>
                <w:szCs w:val="1"/>
                <w:color w:val="auto"/>
              </w:rPr>
            </w:pPr>
          </w:p>
        </w:tc>
      </w:tr>
      <w:tr>
        <w:trPr>
          <w:trHeight w:val="152"/>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6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9"/>
          </w:tcPr>
          <w:p>
            <w:pPr>
              <w:ind w:left="120"/>
              <w:spacing w:after="0"/>
              <w:rPr>
                <w:sz w:val="20"/>
                <w:szCs w:val="20"/>
                <w:color w:val="auto"/>
              </w:rPr>
            </w:pPr>
            <w:r>
              <w:rPr>
                <w:rFonts w:ascii="Times New Roman" w:cs="Times New Roman" w:eastAsia="Times New Roman" w:hAnsi="Times New Roman"/>
                <w:sz w:val="13"/>
                <w:szCs w:val="13"/>
                <w:b w:val="1"/>
                <w:bCs w:val="1"/>
                <w:color w:val="auto"/>
              </w:rPr>
              <w:t>Year Ended December 31, 2024</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5"/>
        </w:trPr>
        <w:tc>
          <w:tcPr>
            <w:tcW w:w="2080" w:type="dxa"/>
            <w:vAlign w:val="bottom"/>
          </w:tcPr>
          <w:p>
            <w:pPr>
              <w:spacing w:after="0"/>
              <w:rPr>
                <w:sz w:val="14"/>
                <w:szCs w:val="14"/>
                <w:color w:val="auto"/>
              </w:rPr>
            </w:pPr>
          </w:p>
        </w:tc>
        <w:tc>
          <w:tcPr>
            <w:tcW w:w="1680" w:type="dxa"/>
            <w:vAlign w:val="bottom"/>
            <w:tcBorders>
              <w:bottom w:val="single" w:sz="8" w:color="auto"/>
              <w:right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tc>
        <w:tc>
          <w:tcPr>
            <w:tcW w:w="11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42"/>
        </w:trPr>
        <w:tc>
          <w:tcPr>
            <w:tcW w:w="2080" w:type="dxa"/>
            <w:vAlign w:val="bottom"/>
          </w:tcPr>
          <w:p>
            <w:pPr>
              <w:ind w:left="20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300" w:type="dxa"/>
            <w:vAlign w:val="bottom"/>
            <w:gridSpan w:val="2"/>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72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6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Amount</w:t>
            </w:r>
            <w:r>
              <w:rPr>
                <w:rFonts w:ascii="Times New Roman" w:cs="Times New Roman" w:eastAsia="Times New Roman" w:hAnsi="Times New Roman"/>
                <w:sz w:val="13"/>
                <w:szCs w:val="13"/>
                <w:color w:val="auto"/>
              </w:rPr>
              <w:t>​</w:t>
            </w:r>
          </w:p>
        </w:tc>
        <w:tc>
          <w:tcPr>
            <w:tcW w:w="280" w:type="dxa"/>
            <w:vAlign w:val="bottom"/>
            <w:gridSpan w:val="2"/>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center"/>
              <w:ind w:right="33"/>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center"/>
              <w:ind w:right="13"/>
              <w:spacing w:after="0" w:line="142" w:lineRule="exact"/>
              <w:rPr>
                <w:sz w:val="20"/>
                <w:szCs w:val="20"/>
                <w:color w:val="auto"/>
              </w:rPr>
            </w:pPr>
            <w:r>
              <w:rPr>
                <w:rFonts w:ascii="Times New Roman" w:cs="Times New Roman" w:eastAsia="Times New Roman" w:hAnsi="Times New Roman"/>
                <w:sz w:val="13"/>
                <w:szCs w:val="13"/>
                <w:b w:val="1"/>
                <w:bCs w:val="1"/>
                <w:color w:val="auto"/>
              </w:rPr>
              <w:t>Income</w:t>
            </w:r>
          </w:p>
        </w:tc>
        <w:tc>
          <w:tcPr>
            <w:tcW w:w="320" w:type="dxa"/>
            <w:vAlign w:val="bottom"/>
            <w:gridSpan w:val="2"/>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ind w:right="73"/>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112"/>
        </w:trPr>
        <w:tc>
          <w:tcPr>
            <w:tcW w:w="2080" w:type="dxa"/>
            <w:vAlign w:val="bottom"/>
            <w:tcBorders>
              <w:top w:val="single" w:sz="8" w:color="CCEEFF"/>
            </w:tcBorders>
            <w:shd w:val="clear" w:color="auto" w:fill="CCEEFF"/>
          </w:tcPr>
          <w:p>
            <w:pPr>
              <w:ind w:left="20"/>
              <w:spacing w:after="0" w:line="112" w:lineRule="exact"/>
              <w:rPr>
                <w:sz w:val="20"/>
                <w:szCs w:val="20"/>
                <w:color w:val="auto"/>
              </w:rPr>
            </w:pPr>
            <w:r>
              <w:rPr>
                <w:rFonts w:ascii="Times New Roman" w:cs="Times New Roman" w:eastAsia="Times New Roman" w:hAnsi="Times New Roman"/>
                <w:sz w:val="12"/>
                <w:szCs w:val="12"/>
                <w:b w:val="1"/>
                <w:bCs w:val="1"/>
                <w:color w:val="auto"/>
              </w:rPr>
              <w:t>Balance as of December 31, 2023</w:t>
            </w:r>
          </w:p>
        </w:tc>
        <w:tc>
          <w:tcPr>
            <w:tcW w:w="660" w:type="dxa"/>
            <w:vAlign w:val="bottom"/>
            <w:tcBorders>
              <w:top w:val="single" w:sz="8" w:color="auto"/>
              <w:left w:val="single" w:sz="8" w:color="CCEEFF"/>
            </w:tcBorders>
            <w:shd w:val="clear" w:color="auto" w:fill="CCEEFF"/>
          </w:tcPr>
          <w:p>
            <w:pPr>
              <w:spacing w:after="0"/>
              <w:rPr>
                <w:sz w:val="9"/>
                <w:szCs w:val="9"/>
                <w:color w:val="auto"/>
              </w:rPr>
            </w:pPr>
          </w:p>
        </w:tc>
        <w:tc>
          <w:tcPr>
            <w:tcW w:w="180" w:type="dxa"/>
            <w:vAlign w:val="bottom"/>
            <w:tcBorders>
              <w:top w:val="single" w:sz="8" w:color="CCEEFF"/>
              <w:left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right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lef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left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6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4,939,946</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91,469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779,908</w:t>
            </w: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1,608</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(133,649)</w:t>
            </w:r>
          </w:p>
        </w:tc>
        <w:tc>
          <w:tcPr>
            <w:tcW w:w="20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320" w:type="dxa"/>
            <w:vAlign w:val="bottom"/>
            <w:tcBorders>
              <w:left w:val="single" w:sz="8" w:color="CCEEFF"/>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(132,023)</w:t>
            </w:r>
          </w:p>
        </w:tc>
        <w:tc>
          <w:tcPr>
            <w:tcW w:w="0" w:type="dxa"/>
            <w:vAlign w:val="bottom"/>
          </w:tcPr>
          <w:p>
            <w:pPr>
              <w:spacing w:after="0"/>
              <w:rPr>
                <w:sz w:val="1"/>
                <w:szCs w:val="1"/>
                <w:color w:val="auto"/>
              </w:rPr>
            </w:pPr>
          </w:p>
        </w:tc>
      </w:tr>
      <w:tr>
        <w:trPr>
          <w:trHeight w:val="136"/>
        </w:trPr>
        <w:tc>
          <w:tcPr>
            <w:tcW w:w="2080" w:type="dxa"/>
            <w:vAlign w:val="bottom"/>
          </w:tcPr>
          <w:p>
            <w:pPr>
              <w:ind w:left="220"/>
              <w:spacing w:after="0" w:line="136"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adjustment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6"/>
        </w:trPr>
        <w:tc>
          <w:tcPr>
            <w:tcW w:w="208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3"/>
                <w:szCs w:val="13"/>
                <w:color w:val="auto"/>
              </w:rPr>
              <w:t>Exchange preferred stock for</w:t>
            </w:r>
          </w:p>
        </w:tc>
        <w:tc>
          <w:tcPr>
            <w:tcW w:w="660" w:type="dxa"/>
            <w:vAlign w:val="bottom"/>
            <w:tcBorders>
              <w:left w:val="single" w:sz="8" w:color="CCEEFF"/>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left w:val="single" w:sz="8" w:color="CCEEFF"/>
              <w:right w:val="single" w:sz="8" w:color="CCEEFF"/>
            </w:tcBorders>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pre-funded warrants</w:t>
            </w:r>
          </w:p>
        </w:tc>
        <w:tc>
          <w:tcPr>
            <w:tcW w:w="660" w:type="dxa"/>
            <w:vAlign w:val="bottom"/>
            <w:tcBorders>
              <w:lef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4"/>
              </w:rPr>
              <w:t>(207,902)</w:t>
            </w: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left w:val="single" w:sz="8" w:color="CCEEFF"/>
              <w:right w:val="single" w:sz="8" w:color="CCEEFF"/>
            </w:tcBorders>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4,332</w:t>
            </w:r>
          </w:p>
        </w:tc>
        <w:tc>
          <w:tcPr>
            <w:tcW w:w="0" w:type="dxa"/>
            <w:vAlign w:val="bottom"/>
          </w:tcPr>
          <w:p>
            <w:pPr>
              <w:spacing w:after="0"/>
              <w:rPr>
                <w:sz w:val="1"/>
                <w:szCs w:val="1"/>
                <w:color w:val="auto"/>
              </w:rPr>
            </w:pPr>
          </w:p>
        </w:tc>
      </w:tr>
      <w:tr>
        <w:trPr>
          <w:trHeight w:val="148"/>
        </w:trPr>
        <w:tc>
          <w:tcPr>
            <w:tcW w:w="20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Stock option exercises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Stock-based compensation</w:t>
            </w:r>
          </w:p>
        </w:tc>
        <w:tc>
          <w:tcPr>
            <w:tcW w:w="6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w:t>
            </w:r>
          </w:p>
        </w:tc>
        <w:tc>
          <w:tcPr>
            <w:tcW w:w="0" w:type="dxa"/>
            <w:vAlign w:val="bottom"/>
          </w:tcPr>
          <w:p>
            <w:pPr>
              <w:spacing w:after="0"/>
              <w:rPr>
                <w:sz w:val="1"/>
                <w:szCs w:val="1"/>
                <w:color w:val="auto"/>
              </w:rPr>
            </w:pPr>
          </w:p>
        </w:tc>
      </w:tr>
      <w:tr>
        <w:trPr>
          <w:trHeight w:val="148"/>
        </w:trPr>
        <w:tc>
          <w:tcPr>
            <w:tcW w:w="20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loss</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(21,278)</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(21,278)</w:t>
            </w:r>
          </w:p>
        </w:tc>
        <w:tc>
          <w:tcPr>
            <w:tcW w:w="0" w:type="dxa"/>
            <w:vAlign w:val="bottom"/>
          </w:tcPr>
          <w:p>
            <w:pPr>
              <w:spacing w:after="0"/>
              <w:rPr>
                <w:sz w:val="1"/>
                <w:szCs w:val="1"/>
                <w:color w:val="auto"/>
              </w:rPr>
            </w:pPr>
          </w:p>
        </w:tc>
      </w:tr>
      <w:tr>
        <w:trPr>
          <w:trHeight w:val="20"/>
        </w:trPr>
        <w:tc>
          <w:tcPr>
            <w:tcW w:w="2080" w:type="dxa"/>
            <w:vAlign w:val="bottom"/>
            <w:vMerge w:val="restart"/>
            <w:shd w:val="clear" w:color="auto" w:fill="CCEEFF"/>
          </w:tcPr>
          <w:p>
            <w:pPr>
              <w:ind w:left="20"/>
              <w:spacing w:after="0" w:line="132" w:lineRule="exact"/>
              <w:rPr>
                <w:sz w:val="20"/>
                <w:szCs w:val="20"/>
                <w:color w:val="auto"/>
              </w:rPr>
            </w:pPr>
            <w:r>
              <w:rPr>
                <w:rFonts w:ascii="Times New Roman" w:cs="Times New Roman" w:eastAsia="Times New Roman" w:hAnsi="Times New Roman"/>
                <w:sz w:val="13"/>
                <w:szCs w:val="13"/>
                <w:b w:val="1"/>
                <w:bCs w:val="1"/>
                <w:color w:val="auto"/>
              </w:rPr>
              <w:t>Balance as of July 30, 2024</w:t>
            </w:r>
          </w:p>
        </w:tc>
        <w:tc>
          <w:tcPr>
            <w:tcW w:w="6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80" w:type="dxa"/>
            <w:vAlign w:val="bottom"/>
            <w:vMerge w:val="continue"/>
            <w:shd w:val="clear" w:color="auto" w:fill="CCEEFF"/>
          </w:tcPr>
          <w:p>
            <w:pPr>
              <w:spacing w:after="0"/>
              <w:rPr>
                <w:sz w:val="9"/>
                <w:szCs w:val="9"/>
                <w:color w:val="auto"/>
              </w:rPr>
            </w:pPr>
          </w:p>
        </w:tc>
        <w:tc>
          <w:tcPr>
            <w:tcW w:w="660" w:type="dxa"/>
            <w:vAlign w:val="bottom"/>
            <w:tcBorders>
              <w:lef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4,732,044</w:t>
            </w:r>
          </w:p>
        </w:tc>
        <w:tc>
          <w:tcPr>
            <w:tcW w:w="180" w:type="dxa"/>
            <w:vAlign w:val="bottom"/>
            <w:tcBorders>
              <w:left w:val="single" w:sz="8" w:color="CCEEFF"/>
            </w:tcBorders>
            <w:vMerge w:val="restart"/>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86,783</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780,213</w:t>
            </w:r>
          </w:p>
        </w:tc>
        <w:tc>
          <w:tcPr>
            <w:tcW w:w="4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80" w:type="dxa"/>
            <w:vAlign w:val="bottom"/>
            <w:tcBorders>
              <w:left w:val="single" w:sz="8" w:color="CCEEFF"/>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6,591</w:t>
            </w:r>
          </w:p>
        </w:tc>
        <w:tc>
          <w:tcPr>
            <w:tcW w:w="2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(154,927)</w:t>
            </w:r>
          </w:p>
        </w:tc>
        <w:tc>
          <w:tcPr>
            <w:tcW w:w="200" w:type="dxa"/>
            <w:vAlign w:val="bottom"/>
            <w:tcBorders>
              <w:left w:val="single" w:sz="8" w:color="CCEEFF"/>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320" w:type="dxa"/>
            <w:vAlign w:val="bottom"/>
            <w:tcBorders>
              <w:left w:val="single" w:sz="8" w:color="CCEEFF"/>
            </w:tcBorders>
            <w:gridSpan w:val="2"/>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(148,315)</w:t>
            </w:r>
          </w:p>
        </w:tc>
        <w:tc>
          <w:tcPr>
            <w:tcW w:w="0" w:type="dxa"/>
            <w:vAlign w:val="bottom"/>
          </w:tcPr>
          <w:p>
            <w:pPr>
              <w:spacing w:after="0"/>
              <w:rPr>
                <w:sz w:val="1"/>
                <w:szCs w:val="1"/>
                <w:color w:val="auto"/>
              </w:rPr>
            </w:pPr>
          </w:p>
        </w:tc>
      </w:tr>
      <w:tr>
        <w:trPr>
          <w:trHeight w:val="152"/>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(Predecessor)</w:t>
            </w:r>
          </w:p>
        </w:tc>
        <w:tc>
          <w:tcPr>
            <w:tcW w:w="660" w:type="dxa"/>
            <w:vAlign w:val="bottom"/>
            <w:tcBorders>
              <w:left w:val="single" w:sz="8" w:color="CCEEFF"/>
            </w:tcBorders>
            <w:vMerge w:val="continue"/>
            <w:shd w:val="clear" w:color="auto" w:fill="CCEEFF"/>
          </w:tcPr>
          <w:p>
            <w:pPr>
              <w:spacing w:after="0"/>
              <w:rPr>
                <w:sz w:val="13"/>
                <w:szCs w:val="13"/>
                <w:color w:val="auto"/>
              </w:rPr>
            </w:pPr>
          </w:p>
        </w:tc>
        <w:tc>
          <w:tcPr>
            <w:tcW w:w="180" w:type="dxa"/>
            <w:vAlign w:val="bottom"/>
            <w:tcBorders>
              <w:left w:val="single" w:sz="8" w:color="CCEEFF"/>
            </w:tcBorders>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720" w:type="dxa"/>
            <w:vAlign w:val="bottom"/>
            <w:tcBorders>
              <w:right w:val="single" w:sz="8" w:color="auto"/>
            </w:tcBorders>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280" w:type="dxa"/>
            <w:vAlign w:val="bottom"/>
            <w:tcBorders>
              <w:left w:val="single" w:sz="8" w:color="CCEEFF"/>
            </w:tcBorders>
            <w:gridSpan w:val="2"/>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260" w:type="dxa"/>
            <w:vAlign w:val="bottom"/>
            <w:gridSpan w:val="2"/>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200" w:type="dxa"/>
            <w:vAlign w:val="bottom"/>
            <w:tcBorders>
              <w:left w:val="single" w:sz="8" w:color="CCEEFF"/>
              <w:right w:val="single" w:sz="8" w:color="CCEEFF"/>
            </w:tcBorders>
            <w:vMerge w:val="continue"/>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320" w:type="dxa"/>
            <w:vAlign w:val="bottom"/>
            <w:tcBorders>
              <w:left w:val="single" w:sz="8" w:color="CCEEFF"/>
            </w:tcBorders>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5"/>
        </w:trPr>
        <w:tc>
          <w:tcPr>
            <w:tcW w:w="2080" w:type="dxa"/>
            <w:vAlign w:val="bottom"/>
          </w:tcPr>
          <w:p>
            <w:pPr>
              <w:spacing w:after="0"/>
              <w:rPr>
                <w:sz w:val="14"/>
                <w:szCs w:val="14"/>
                <w:color w:val="auto"/>
              </w:rPr>
            </w:pPr>
          </w:p>
        </w:tc>
        <w:tc>
          <w:tcPr>
            <w:tcW w:w="1680" w:type="dxa"/>
            <w:vAlign w:val="bottom"/>
            <w:tcBorders>
              <w:bottom w:val="single" w:sz="8" w:color="auto"/>
              <w:right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tc>
        <w:tc>
          <w:tcPr>
            <w:tcW w:w="112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2"/>
        </w:trPr>
        <w:tc>
          <w:tcPr>
            <w:tcW w:w="2080" w:type="dxa"/>
            <w:vAlign w:val="bottom"/>
          </w:tcPr>
          <w:p>
            <w:pPr>
              <w:ind w:left="202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ind w:left="14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300" w:type="dxa"/>
            <w:vAlign w:val="bottom"/>
            <w:gridSpan w:val="2"/>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720" w:type="dxa"/>
            <w:vAlign w:val="bottom"/>
          </w:tcPr>
          <w:p>
            <w:pPr>
              <w:jc w:val="right"/>
              <w:ind w:right="93"/>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6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Amount</w:t>
            </w:r>
          </w:p>
        </w:tc>
        <w:tc>
          <w:tcPr>
            <w:tcW w:w="280" w:type="dxa"/>
            <w:vAlign w:val="bottom"/>
            <w:gridSpan w:val="2"/>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center"/>
              <w:ind w:right="33"/>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2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133"/>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center"/>
              <w:ind w:right="13"/>
              <w:spacing w:after="0" w:line="142" w:lineRule="exact"/>
              <w:rPr>
                <w:sz w:val="20"/>
                <w:szCs w:val="20"/>
                <w:color w:val="auto"/>
              </w:rPr>
            </w:pPr>
            <w:r>
              <w:rPr>
                <w:rFonts w:ascii="Times New Roman" w:cs="Times New Roman" w:eastAsia="Times New Roman" w:hAnsi="Times New Roman"/>
                <w:sz w:val="13"/>
                <w:szCs w:val="13"/>
                <w:b w:val="1"/>
                <w:bCs w:val="1"/>
                <w:color w:val="auto"/>
              </w:rPr>
              <w:t>Loss</w:t>
            </w:r>
          </w:p>
        </w:tc>
        <w:tc>
          <w:tcPr>
            <w:tcW w:w="320" w:type="dxa"/>
            <w:vAlign w:val="bottom"/>
            <w:gridSpan w:val="2"/>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ind w:right="73"/>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92"/>
        </w:trPr>
        <w:tc>
          <w:tcPr>
            <w:tcW w:w="2080" w:type="dxa"/>
            <w:vAlign w:val="bottom"/>
            <w:tcBorders>
              <w:top w:val="single" w:sz="8" w:color="CCEEFF"/>
            </w:tcBorders>
            <w:shd w:val="clear" w:color="auto" w:fill="CCEEFF"/>
          </w:tcPr>
          <w:p>
            <w:pPr>
              <w:ind w:left="20"/>
              <w:spacing w:after="0" w:line="92" w:lineRule="exact"/>
              <w:rPr>
                <w:sz w:val="20"/>
                <w:szCs w:val="20"/>
                <w:color w:val="auto"/>
              </w:rPr>
            </w:pPr>
            <w:r>
              <w:rPr>
                <w:rFonts w:ascii="Times New Roman" w:cs="Times New Roman" w:eastAsia="Times New Roman" w:hAnsi="Times New Roman"/>
                <w:sz w:val="10"/>
                <w:szCs w:val="10"/>
                <w:b w:val="1"/>
                <w:bCs w:val="1"/>
                <w:color w:val="auto"/>
              </w:rPr>
              <w:t>Balance as of July 31, 2024</w:t>
            </w:r>
          </w:p>
        </w:tc>
        <w:tc>
          <w:tcPr>
            <w:tcW w:w="660" w:type="dxa"/>
            <w:vAlign w:val="bottom"/>
            <w:tcBorders>
              <w:top w:val="single" w:sz="8" w:color="auto"/>
              <w:left w:val="single" w:sz="8" w:color="CCEEFF"/>
            </w:tcBorders>
            <w:shd w:val="clear" w:color="auto" w:fill="CCEEFF"/>
          </w:tcPr>
          <w:p>
            <w:pPr>
              <w:spacing w:after="0"/>
              <w:rPr>
                <w:sz w:val="7"/>
                <w:szCs w:val="7"/>
                <w:color w:val="auto"/>
              </w:rPr>
            </w:pPr>
          </w:p>
        </w:tc>
        <w:tc>
          <w:tcPr>
            <w:tcW w:w="180" w:type="dxa"/>
            <w:vAlign w:val="bottom"/>
            <w:tcBorders>
              <w:top w:val="single" w:sz="8" w:color="CCEEFF"/>
              <w:left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720" w:type="dxa"/>
            <w:vAlign w:val="bottom"/>
            <w:tcBorders>
              <w:top w:val="single" w:sz="8" w:color="auto"/>
              <w:right w:val="single" w:sz="8" w:color="auto"/>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left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rPr>
                <w:sz w:val="7"/>
                <w:szCs w:val="7"/>
                <w:color w:val="auto"/>
              </w:rPr>
            </w:pPr>
          </w:p>
        </w:tc>
        <w:tc>
          <w:tcPr>
            <w:tcW w:w="86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left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6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13,387,636</w:t>
            </w:r>
          </w:p>
        </w:tc>
        <w:tc>
          <w:tcPr>
            <w:tcW w:w="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8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89,786</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(16,823)</w:t>
            </w:r>
          </w:p>
        </w:tc>
        <w:tc>
          <w:tcPr>
            <w:tcW w:w="20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left w:val="single" w:sz="8" w:color="CCEEFF"/>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72,964</w:t>
            </w:r>
          </w:p>
        </w:tc>
        <w:tc>
          <w:tcPr>
            <w:tcW w:w="0" w:type="dxa"/>
            <w:vAlign w:val="bottom"/>
          </w:tcPr>
          <w:p>
            <w:pPr>
              <w:spacing w:after="0"/>
              <w:rPr>
                <w:sz w:val="1"/>
                <w:szCs w:val="1"/>
                <w:color w:val="auto"/>
              </w:rPr>
            </w:pPr>
          </w:p>
        </w:tc>
      </w:tr>
      <w:tr>
        <w:trPr>
          <w:trHeight w:val="136"/>
        </w:trPr>
        <w:tc>
          <w:tcPr>
            <w:tcW w:w="2080" w:type="dxa"/>
            <w:vAlign w:val="bottom"/>
          </w:tcPr>
          <w:p>
            <w:pPr>
              <w:ind w:left="220"/>
              <w:spacing w:after="0" w:line="136" w:lineRule="exact"/>
              <w:rPr>
                <w:sz w:val="20"/>
                <w:szCs w:val="20"/>
                <w:color w:val="auto"/>
              </w:rPr>
            </w:pPr>
            <w:r>
              <w:rPr>
                <w:rFonts w:ascii="Times New Roman" w:cs="Times New Roman" w:eastAsia="Times New Roman" w:hAnsi="Times New Roman"/>
                <w:sz w:val="13"/>
                <w:szCs w:val="13"/>
                <w:color w:val="auto"/>
              </w:rPr>
              <w:t>Foreign currency translation</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adjustment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6"/>
        </w:trPr>
        <w:tc>
          <w:tcPr>
            <w:tcW w:w="2080" w:type="dxa"/>
            <w:vAlign w:val="bottom"/>
            <w:shd w:val="clear" w:color="auto" w:fill="CCEEFF"/>
          </w:tcPr>
          <w:p>
            <w:pPr>
              <w:ind w:left="220"/>
              <w:spacing w:after="0" w:line="136" w:lineRule="exact"/>
              <w:rPr>
                <w:sz w:val="20"/>
                <w:szCs w:val="20"/>
                <w:color w:val="auto"/>
              </w:rPr>
            </w:pPr>
            <w:r>
              <w:rPr>
                <w:rFonts w:ascii="Times New Roman" w:cs="Times New Roman" w:eastAsia="Times New Roman" w:hAnsi="Times New Roman"/>
                <w:sz w:val="13"/>
                <w:szCs w:val="13"/>
                <w:color w:val="auto"/>
              </w:rPr>
              <w:t>Exercise of pre-funded</w:t>
            </w:r>
          </w:p>
        </w:tc>
        <w:tc>
          <w:tcPr>
            <w:tcW w:w="660" w:type="dxa"/>
            <w:vAlign w:val="bottom"/>
            <w:tcBorders>
              <w:left w:val="single" w:sz="8" w:color="CCEEFF"/>
            </w:tcBorders>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tcBorders>
              <w:right w:val="single" w:sz="8" w:color="auto"/>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tcBorders>
              <w:left w:val="single" w:sz="8" w:color="CCEEFF"/>
              <w:right w:val="single" w:sz="8" w:color="CCEEFF"/>
            </w:tcBorders>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warrants</w:t>
            </w:r>
          </w:p>
        </w:tc>
        <w:tc>
          <w:tcPr>
            <w:tcW w:w="6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663,096</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tcBorders>
              <w:left w:val="single" w:sz="8" w:color="CCEEFF"/>
              <w:right w:val="single" w:sz="8" w:color="CCEEFF"/>
            </w:tcBorders>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w:t>
            </w:r>
          </w:p>
        </w:tc>
        <w:tc>
          <w:tcPr>
            <w:tcW w:w="0" w:type="dxa"/>
            <w:vAlign w:val="bottom"/>
          </w:tcPr>
          <w:p>
            <w:pPr>
              <w:spacing w:after="0"/>
              <w:rPr>
                <w:sz w:val="1"/>
                <w:szCs w:val="1"/>
                <w:color w:val="auto"/>
              </w:rPr>
            </w:pPr>
          </w:p>
        </w:tc>
      </w:tr>
      <w:tr>
        <w:trPr>
          <w:trHeight w:val="148"/>
        </w:trPr>
        <w:tc>
          <w:tcPr>
            <w:tcW w:w="20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Issuance of Sponsor Earnout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1,147,500</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Net income</w:t>
            </w:r>
          </w:p>
        </w:tc>
        <w:tc>
          <w:tcPr>
            <w:tcW w:w="66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CEEFF"/>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left w:val="single" w:sz="8" w:color="CCEEFF"/>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(53,763)</w:t>
            </w:r>
          </w:p>
        </w:tc>
        <w:tc>
          <w:tcPr>
            <w:tcW w:w="200" w:type="dxa"/>
            <w:vAlign w:val="bottom"/>
            <w:tcBorders>
              <w:left w:val="single" w:sz="8" w:color="CCEEFF"/>
              <w:bottom w:val="single" w:sz="8" w:color="CCEEFF"/>
              <w:right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left w:val="single" w:sz="8" w:color="CCEEFF"/>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(53,763)</w:t>
            </w:r>
          </w:p>
        </w:tc>
        <w:tc>
          <w:tcPr>
            <w:tcW w:w="0" w:type="dxa"/>
            <w:vAlign w:val="bottom"/>
          </w:tcPr>
          <w:p>
            <w:pPr>
              <w:spacing w:after="0"/>
              <w:rPr>
                <w:sz w:val="1"/>
                <w:szCs w:val="1"/>
                <w:color w:val="auto"/>
              </w:rPr>
            </w:pPr>
          </w:p>
        </w:tc>
      </w:tr>
      <w:tr>
        <w:trPr>
          <w:trHeight w:val="20"/>
        </w:trPr>
        <w:tc>
          <w:tcPr>
            <w:tcW w:w="2080" w:type="dxa"/>
            <w:vAlign w:val="bottom"/>
            <w:vMerge w:val="restart"/>
          </w:tcPr>
          <w:p>
            <w:pPr>
              <w:ind w:left="20"/>
              <w:spacing w:after="0" w:line="112" w:lineRule="exact"/>
              <w:rPr>
                <w:sz w:val="20"/>
                <w:szCs w:val="20"/>
                <w:color w:val="auto"/>
              </w:rPr>
            </w:pPr>
            <w:r>
              <w:rPr>
                <w:rFonts w:ascii="Times New Roman" w:cs="Times New Roman" w:eastAsia="Times New Roman" w:hAnsi="Times New Roman"/>
                <w:sz w:val="12"/>
                <w:szCs w:val="12"/>
                <w:b w:val="1"/>
                <w:bCs w:val="1"/>
                <w:color w:val="auto"/>
              </w:rPr>
              <w:t>Balance as of December 31, 2024</w:t>
            </w:r>
          </w:p>
        </w:tc>
        <w:tc>
          <w:tcPr>
            <w:tcW w:w="6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80" w:type="dxa"/>
            <w:vAlign w:val="bottom"/>
            <w:vMerge w:val="continue"/>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vMerge w:val="restart"/>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15,198,232</w:t>
            </w:r>
          </w:p>
        </w:tc>
        <w:tc>
          <w:tcPr>
            <w:tcW w:w="4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90,495</w:t>
            </w:r>
          </w:p>
        </w:tc>
        <w:tc>
          <w:tcPr>
            <w:tcW w:w="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(70,586)</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2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19,912</w:t>
            </w:r>
          </w:p>
        </w:tc>
        <w:tc>
          <w:tcPr>
            <w:tcW w:w="0" w:type="dxa"/>
            <w:vAlign w:val="bottom"/>
          </w:tcPr>
          <w:p>
            <w:pPr>
              <w:spacing w:after="0"/>
              <w:rPr>
                <w:sz w:val="1"/>
                <w:szCs w:val="1"/>
                <w:color w:val="auto"/>
              </w:rPr>
            </w:pPr>
          </w:p>
        </w:tc>
      </w:tr>
      <w:tr>
        <w:trPr>
          <w:trHeight w:val="152"/>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(Successor)</w:t>
            </w:r>
          </w:p>
        </w:tc>
        <w:tc>
          <w:tcPr>
            <w:tcW w:w="6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720" w:type="dxa"/>
            <w:vAlign w:val="bottom"/>
            <w:tcBorders>
              <w:right w:val="single" w:sz="8" w:color="auto"/>
            </w:tcBorders>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780" w:type="dxa"/>
            <w:vAlign w:val="bottom"/>
            <w:gridSpan w:val="2"/>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20" w:type="dxa"/>
            <w:vAlign w:val="bottom"/>
            <w:gridSpan w:val="7"/>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Successor</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6"/>
                <w:szCs w:val="16"/>
                <w:b w:val="1"/>
                <w:bCs w:val="1"/>
                <w:color w:val="auto"/>
              </w:rPr>
              <w:t>Successor</w:t>
            </w:r>
          </w:p>
        </w:tc>
        <w:tc>
          <w:tcPr>
            <w:tcW w:w="180" w:type="dxa"/>
            <w:vAlign w:val="bottom"/>
            <w:tcBorders>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rPr>
              <w:t>Predecessor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79"/>
              <w:spacing w:after="0" w:line="181" w:lineRule="exact"/>
              <w:rPr>
                <w:sz w:val="20"/>
                <w:szCs w:val="20"/>
                <w:color w:val="auto"/>
              </w:rPr>
            </w:pPr>
            <w:r>
              <w:rPr>
                <w:rFonts w:ascii="Times New Roman" w:cs="Times New Roman" w:eastAsia="Times New Roman" w:hAnsi="Times New Roman"/>
                <w:sz w:val="16"/>
                <w:szCs w:val="16"/>
                <w:b w:val="1"/>
                <w:bCs w:val="1"/>
                <w:color w:val="auto"/>
              </w:rPr>
              <w:t>July 31 to</w:t>
            </w:r>
          </w:p>
        </w:tc>
        <w:tc>
          <w:tcPr>
            <w:tcW w:w="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Borders>
              <w:top w:val="single" w:sz="8" w:color="auto"/>
            </w:tcBorders>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January 1 to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July 30</w:t>
            </w:r>
          </w:p>
        </w:tc>
        <w:tc>
          <w:tcPr>
            <w:tcW w:w="0" w:type="dxa"/>
            <w:vAlign w:val="bottom"/>
          </w:tcPr>
          <w:p>
            <w:pPr>
              <w:spacing w:after="0"/>
              <w:rPr>
                <w:sz w:val="1"/>
                <w:szCs w:val="1"/>
                <w:color w:val="auto"/>
              </w:rPr>
            </w:pPr>
          </w:p>
        </w:tc>
      </w:tr>
      <w:tr>
        <w:trPr>
          <w:trHeight w:val="199"/>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(25,084)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(53,763)</w:t>
            </w:r>
          </w:p>
        </w:tc>
        <w:tc>
          <w:tcPr>
            <w:tcW w:w="180" w:type="dxa"/>
            <w:vAlign w:val="bottom"/>
            <w:tcBorders>
              <w:right w:val="single" w:sz="8" w:color="auto"/>
            </w:tcBorders>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w:t>
            </w: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activities: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Non-cash operating lease expense</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6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Stock-based compensation</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1,479</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Provision for inventory impairment</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Amortization of term loan discount</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Impairment - Goodwill</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30,324</w:t>
            </w:r>
          </w:p>
        </w:tc>
        <w:tc>
          <w:tcPr>
            <w:tcW w:w="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Impairment - Intangible assets, net</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18,878</w:t>
            </w:r>
          </w:p>
        </w:tc>
        <w:tc>
          <w:tcPr>
            <w:tcW w:w="6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Change in fair value of convertible notes payable</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(929)</w:t>
            </w: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(6,576)</w:t>
            </w:r>
          </w:p>
        </w:tc>
        <w:tc>
          <w:tcPr>
            <w:tcW w:w="18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Net change in operating assets and liabilities: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Accounts receivable, net</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6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Inventory, net</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(886)</w:t>
            </w:r>
          </w:p>
        </w:tc>
        <w:tc>
          <w:tcPr>
            <w:tcW w:w="18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Accounts payable</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(1,756)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(1,933)</w:t>
            </w: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Accrued liabilities</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6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Accrued transaction costs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6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6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w:t>
            </w: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(3,616)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Deferred taxes</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(1,917)</w:t>
            </w: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(19,014)</w:t>
            </w: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(13,469)</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(1,280)</w:t>
            </w:r>
          </w:p>
        </w:tc>
        <w:tc>
          <w:tcPr>
            <w:tcW w:w="18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6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right w:val="single" w:sz="8" w:color="auto"/>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the issuance of common shares, pre-funded warrants</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and warrants, net of $2,865 issuance costs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convertible notes payable</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 of non-convertible term loan</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righ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16,134</w:t>
            </w: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640" w:type="dxa"/>
            <w:vAlign w:val="bottom"/>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Effect of foreign currency translation on cash and cash</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equivalents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(3,481)</w:t>
            </w: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(14,568)</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6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20,586</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35,154</w:t>
            </w: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right w:val="single" w:sz="8" w:color="auto"/>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6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17,105</w:t>
            </w: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20,586</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right w:val="single" w:sz="8" w:color="auto"/>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6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Cash paid for interest</w:t>
            </w:r>
          </w:p>
        </w:tc>
        <w:tc>
          <w:tcPr>
            <w:tcW w:w="6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right w:val="single" w:sz="8" w:color="auto"/>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464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tcBorders>
              <w:righ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activities:</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Right-of-use assets obtained in exchange for lease liabilities</w:t>
            </w:r>
          </w:p>
        </w:tc>
        <w:tc>
          <w:tcPr>
            <w:tcW w:w="6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right w:val="single" w:sz="8" w:color="auto"/>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 liabilities recorded for operating lease right-of-use assets</w:t>
            </w:r>
          </w:p>
        </w:tc>
        <w:tc>
          <w:tcPr>
            <w:tcW w:w="6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right w:val="single" w:sz="8" w:color="auto"/>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Exchange preferred stock for pre-funded warrants</w:t>
            </w:r>
          </w:p>
        </w:tc>
        <w:tc>
          <w:tcPr>
            <w:tcW w:w="6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tcBorders>
              <w:right w:val="single" w:sz="8" w:color="auto"/>
            </w:tcBorders>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vMerge w:val="continue"/>
          </w:tcPr>
          <w:p>
            <w:pPr>
              <w:spacing w:after="0"/>
              <w:rPr>
                <w:sz w:val="15"/>
                <w:szCs w:val="15"/>
                <w:color w:val="auto"/>
              </w:rPr>
            </w:pPr>
          </w:p>
        </w:tc>
        <w:tc>
          <w:tcPr>
            <w:tcW w:w="180" w:type="dxa"/>
            <w:vAlign w:val="bottom"/>
            <w:tcBorders>
              <w:right w:val="single" w:sz="8" w:color="auto"/>
            </w:tcBorders>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Adagio Medical Holding,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(audited)</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 Description of Organization and Business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Company</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Adagio Medical Holdings, Inc. (formerly known as Aja Holdco, Inc.), together with its wholly-owned subsidiaries (collectively, the “Company” or the “Successor”), is a medical technology company focused on the development and commercialization of ablation technologies for the treatment of cardiac arrhythmias. The Company is currently focused on the treatment of ventricular arrhythmias with its purpose-built vCLAS™ Cryoablation System, which is CE Marked and is currently under evaluation in the Company’s FULCRUM-VT U.S. Investigational Device Exemption (“IDE”) Pivotal Study, which completed enrollment in October 2025. In April 2025, the Company received Breakthrough Device designation from the U.S. Food and Drug Administration (“FDA”) for the Company’s vCLAS™ Cryoablation System for the treatment of drug-refractory, recurrent, sustained monomorphic ventricular tachycardia in patients with ischemic or non-ischemic structural heart disease. The Company’s technologies are based on its proprietary ultra-low temperature cryoablation (“ULTA”) platform, which is designed to produce durable, contiguous, transmural lesions anywhere in the heart using the Company’s differentiated catheters and consoles. Legacy Adagio (as defined below) received CE Mark in Europe for its iCLAS™ Cryoablation System for atrial fibrillation and vCLAS™ Cryoablation System for ventricular tachycardia (“VT”) in June 2020 and March 2024, respectively. The Company is also currently developing a next-generation ULTA technology for VT, the design of which is faster, smaller and more flexible than its predecessor vCLAS device. This next-generation device, which was designed to improve customer usability, requires only a single freeze. The Company has also developed pulsed field cryoablation (“PFCA”), a dual therapy platform technology that combines the Company’s proprietary ultralow temperature technology with pulsed field ablation (“PFA”). The Company is headquartered in Laguna Hills, California.</w:t>
      </w:r>
    </w:p>
    <w:p>
      <w:pPr>
        <w:spacing w:after="0" w:line="192" w:lineRule="exact"/>
        <w:rPr>
          <w:sz w:val="20"/>
          <w:szCs w:val="20"/>
          <w:color w:val="auto"/>
        </w:rPr>
      </w:pPr>
    </w:p>
    <w:p>
      <w:pPr>
        <w:jc w:val="both"/>
        <w:ind w:left="60" w:right="59" w:firstLine="446"/>
        <w:spacing w:after="0" w:line="254" w:lineRule="auto"/>
        <w:rPr>
          <w:sz w:val="20"/>
          <w:szCs w:val="20"/>
          <w:color w:val="auto"/>
        </w:rPr>
      </w:pPr>
      <w:r>
        <w:rPr>
          <w:rFonts w:ascii="Times New Roman" w:cs="Times New Roman" w:eastAsia="Times New Roman" w:hAnsi="Times New Roman"/>
          <w:sz w:val="18"/>
          <w:szCs w:val="18"/>
          <w:color w:val="auto"/>
        </w:rPr>
        <w:t>On July 31, 2024 (the “Closing Date”), ARYA Sciences Acquisition Corp IV, a Cayman Islands exempted company (“ARYA”), Aja Holdco, Inc. (“ListCo”), a Delaware corporation and wholly-owned subsidiary of ARYA, Aja Merger Sub 1, a Cayman Islands exempted company and wholly-owned subsidiary of ListCo (“ARYA Merger Sub”), Aja Merger Sub 2, Inc., a Delaware corporation and wholly-owned subsidiary of ListCo (“Company Merger Sub”), and Adagio Medical, Inc., a Delaware corporation (“Legacy Adagio”, the “Predecessor”), consummated the business combination (the “Business Combination”) pursuant to the terms of the Business Combination Agreement, dated February 13, 2024, by and among the foregoing parties, as amended by the Consent and Amendment No. 1 to Business Combination Agreement, dated as of June 25, 2024, by and between ARYA and Adagio (the “Business Combination Agreement”).</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Pursuant to the Business Combination Agreement, on the Closing Date, (i) ARYA Merger Sub merged with and into ARYA (the “ARYA Merger”) and Company Merger Sub merged with and into Legacy Adagio (the “Adagio Merger” and, together with the ARYA Merger, the “Mergers”), with ARYA and Legacy Adagio surviving the Mergers and, after giving effect to such Mergers, each of ARYA and Legacy Adagio becoming a wholly owned subsidiary of ListCo (the time that the ARYA Merger becomes effective being referred to as the “ARYA Merger Effective Time,” the time that the Adagio Merger becomes effective being referred to as the “Adagio Merger Effective Time,” the time after which both Mergers become effective being referred to as the “Closing,” and the date on which the Closing occurs being referred to as the “Closing Date”), (ii) ListCo filed with the Secretary of State of the State of Delaware an amended and restated certificate of incorporation of ListCo, and the board of directors of ListCo approved and adopt amended and restated bylaws of ListCo, and (iii) ListCo changed its name to Adagio Medical Holdings, Inc.</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3 - Forward Merger</w:t>
      </w:r>
      <w:r>
        <w:rPr>
          <w:rFonts w:ascii="Times New Roman" w:cs="Times New Roman" w:eastAsia="Times New Roman" w:hAnsi="Times New Roman"/>
          <w:sz w:val="18"/>
          <w:szCs w:val="18"/>
          <w:color w:val="auto"/>
        </w:rPr>
        <w:t xml:space="preserve"> for details of the Business Combination.</w:t>
      </w:r>
    </w:p>
    <w:p>
      <w:pPr>
        <w:spacing w:after="0" w:line="22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Company’s Common Stock (as defined below) began trading on the Nasdaq Capital Market on August 1, 2024, under the symbol “ADGM”.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 ) applicable to a going concern, which contemplates the realization of assets and the satisfaction of liabilities in the normal course of business. The Company has limited revenue and has experienced recurring operating losses and negative cash flows from operations since its inception and anticipates that it will continue to do so for at least the next several years.</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cash and cash equivalents of $17.1 million and an accumulated deficit of $95.6 million. For the year ended December 31, 2025 (Successor), and for the periods from July 31, 2024 to December 31, 2024 (Successor), and January 1, 2024 to July 30, 2024 (Predecessor), net loss was $25.1 million, $53.8 million, and $21.3 million, respectively.</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October 2025, the Company announced a private placement of its common stock (or pre-funded warrants to purchase common stock in lieu thereof) and accompanying warrants to purchase shares of common stock, for aggregate gross proceeds of approximately $19 million (excluding up to approximately $31 million of additional aggregate gross proceeds that may be received in the future upon the cash exercise in full of the Milestone Warrants (as defined below) issued in the Private Placement (as defined below).</w:t>
      </w:r>
    </w:p>
    <w:p>
      <w:pPr>
        <w:spacing w:after="0" w:line="18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Pursuant to ASC 205-40, Presentation of Financial Statements — Going Concern, the Company evaluates at each annual and interim reporting period whether conditions or events, considered in the aggregate, raise substantial doubt about its ability to continue as a going concern within one year after the date that the consolidated financial statements are issued. As of the report date, the Company does not believe its existing cash and cash equivalents are sufficient to fund its operating and capital expenditure requirements for at least 12 months from the date of issuance of these audited consolidated financial statements. Based on its current plans and forecasted expenses, the Company expects that its cash and cash equivalents as of the report date, will enable the Company to fund its planned operating expenses and capital expenditure requirements into the third quarter of 2026. The Company has based this estimate on assumptions that may prove to be wrong, and it could exhaust its capital resources sooner than expected. Until the Company can generate sufficient revenue, the Company will need to finance future cash needs through public or private equity offerings, license agreements, debt financings or restructurings, collaborations, strategic alliances and marketing or distribution arrangements.</w:t>
      </w:r>
    </w:p>
    <w:p>
      <w:pPr>
        <w:spacing w:after="0" w:line="19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Management intends to mitigate the conditions and events that raise substantial doubt about the Company’s ability to continue as a going concern entity by (i) negotiating other cash equity or debt financing in the short-term, (ii) continuing to pursue the necessary regulatory approvals to launch commercially in the U.S. market, and (iii) executing cost-cutting measures to manage cash burn. However, there can be no assurances that the current plans will generate any liquidity to the Company or be available on terms acceptable to the Company.</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If the Company is unable to maintain sufficient financial resources, its business, financial condition, and results of operations will be materially and adversely affected. The Company may be required to delay, limit, reduce or terminate its product discovery and development activities or future commercialization efforts. The accompanying consolidated financial statements have been prepared assuming that the Company will continue as a going concern and do not include adjustments that might result from the outcome of this uncertainty. This basis of accounting contemplates the recovery of the Company’s assets and the satisfaction of liabilities in the normal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in accordance with U.S.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As a result of the Business Combination, for accounting purposes, ListCo is the acquirer and Legacy Adagio is the accounting acquiree and predecessor. The financial statement presentation includes the financial statements of Legacy Adagio as “Predecessor” for the periods prior to the Closing Date (the “Predecessor Period(s)”), and of the Company as “Successor” for the periods after the Closing Date (the “Successor Period(s)”), including the consolidation of Legacy Adagio and ARYA. The Successor Period includes results of operations and cash flows for the periods from July 31, 2024, through December 31, 2025.</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application of the acquisition method of accounting as of the Closing Date of the Business Combination, the accompanying consolidated statements of operations and comprehensive loss, consolidated statements of convertible preferred stock and stockholders’ equity (deficit), and consolidated statements of cash flows include a black line division that indicates that the Predecessor and Successor reporting entities shown are presented on a different basis and are therefore, not comparable.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standard at the time private companies adopt the new or revised standard.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Adagio Medical Holdings, Inc., and its wholly-owned subsidiaries. All intercompany balances and transactions have been eliminated in consolidation.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and Assumptions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liabilities, revenue, expenses and disclosures of contingent assets and liabilities.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that it operates as one reportable segment, as the CODM reviews financial information presented on a consolidated basis for purposes of making operating decisions, allocating resources, and evaluating financial performance.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considers all highly liquid investments with maturities of three months or less from the date of purchase, including its money market account, to be cash equivalents. All of the Company’s cash equivalents have liquid markets. Cash deposits held in accounts at each United States financial institution are insured up to $0.25 million by the Federal Deposit Insurance Corporation (FDIC). Cash deposits held in accounts at each European Union financial institution are insured up to €0.1 million by the Deposit Guarantee Scheme. The Company maintains its cash in bank deposit accounts that, at times, may exceed the stated insured limits. Any loss incurred or lack of access to uninsured funds could have a significant adverse impact on the Company’s financial condition, results of operations and cash flows. Management does not expect any losses on such accounts. Cash and cash equivalents were $17.1 million and $20.6 million as of December 31, 2025 and 2024, respectively.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Off-Balance Sheet Risk</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principally of cash and cash equivalents. The Company deposits its cash and cash equivalents with major financial institutions; however, at times, deposits may exceed the amount of insurance provided. The Company has not experienced any losses on its deposits since inception.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generates product revenue primarily from the sale of catheters (the “Consumables”) used with the Company’s consoles. The Company sells its products directly to hospitals and medical centers. To a lesser extent, the Company also generates lease revenue from the implied rental of consoles loaned to customers at no charge.</w:t>
      </w:r>
    </w:p>
    <w:p>
      <w:pPr>
        <w:spacing w:after="0" w:line="6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revenue earned from contracts with customers under ASC 606, Revenue from Contracts with Customers (“ASC 606”). The core principle of ASC 606 is that a company should recognize revenue to depict the transfer of promised goods or services to customers in an amount that reflects the consideration to which the Company expects to be entitled in exchange for those goods or services. The Company recognizes revenue from sales to customers applying the following five steps:</w:t>
      </w:r>
    </w:p>
    <w:p>
      <w:pPr>
        <w:spacing w:after="0" w:line="75" w:lineRule="exact"/>
        <w:rPr>
          <w:sz w:val="20"/>
          <w:szCs w:val="20"/>
          <w:color w:val="auto"/>
        </w:rPr>
      </w:pPr>
    </w:p>
    <w:p>
      <w:pPr>
        <w:ind w:left="720" w:hanging="319"/>
        <w:spacing w:after="0"/>
        <w:tabs>
          <w:tab w:leader="none" w:pos="7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Identify the contract with the customer.</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Identify the performance obligations in the contract.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Determine the transaction price.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4: Allocate the transaction price to the performance obligations in the contract.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5: Recognize revenue when, or as, the Company satisfies a performance obligation.</w:t>
      </w:r>
    </w:p>
    <w:p>
      <w:pPr>
        <w:spacing w:after="0" w:line="9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Company’s customer contracts generally have performance obligations that contain deliverables consisting of the Consumables and may also include consoles loaned to customers. The Company evaluates each promise within a multiple-performance obligation arrangement to determine whether it represents a distinct performance obligation. The primary performance obligations in the Company’s customer arrangements, from which it derives revenue, is the sale of the Consumables.</w:t>
      </w:r>
    </w:p>
    <w:p>
      <w:pPr>
        <w:spacing w:after="0" w:line="18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When the Company loans the Console to the customer, it retains title to the Console at all times and does not require minimum purchase commitments from the customer related to any Consumables. In such cases, the Company invoices the customer for the Consumables based on customer orders received. Over time, the Company expects to recover the cost of the loaned Console through the customer’s continued purchasing and use of additional Consumables. For these reasons, the Company has determined that part of the arrangement consideration for the Consumables is an implied rental payment for use of the Console. Therefore, the Company allocates the arrangement consideration between the lease components (i.e., the Console) and non-lease components (i.e., the Consumables) based on the relative estimated standalone selling price of each distinct performance obligation consistent with ASC 842, Leases and ASC 606. As no revenue was recognized during the year ended December 31, 2025 (Successor), no revenue was allocated to the lease components during this period. Revenue allocated to the lease components was immaterial for the periods from January 1, 2024 to July 30, 2024 (Predecessor) and July 31, 2024 to December 31, 2024 (Successor).</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Revenue from sales to customers of the Consumables is classified as revenue in the Company’s consolidated statements of operations and comprehensive loss. The delivery of the Consumables are performance obligations satisfied at a point in time, when the control of the goods is transferred to the customer (i.e., FOB Shipping Point). Revenue is recognized when control is transferred to the customer in an amount that reflects the consideration the Company expects to be entitled to in exchange for the product.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Revenue Considerations</w:t>
      </w:r>
    </w:p>
    <w:p>
      <w:pPr>
        <w:spacing w:after="0" w:line="22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Revenue is reported net of sales tax. The Company has made the accounting policy election not to recognize a separate performance obligation for the shipment of products to the customer but to account for it as fulfillment cost.</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Company’s contracts primarily include fixed consideration. The Company only includes estimated variable amounts in the transaction price to the extent it is probable that a significant reversal of cumulative revenue recognized will not occur when the uncertainty associated with the variable consideration is resolved. Customers are generally required to pay within 30 days.</w:t>
      </w:r>
    </w:p>
    <w:p>
      <w:pPr>
        <w:spacing w:after="0" w:line="18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Any incremental costs to obtain contracts are recorded as selling, general and administrative expense as incurred due to the short duration of the Company’s contracts.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does not assess whether promised goods or services are performance obligations if they are deemed immaterial in the context of the contract with the customer. Additionally, the Company does not assess whether a contract has a significant financing component if the expectation at contract inception is that the period between payment by the customer and the transfer of the promised goods or services to the customer will be one year or less.</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(Successor) no revenue was recognized. For the periods from January 1, 2024 to July 30, 2024 (Predecessor) and from July 31, 2024 to December 31, 2024 (Successor), revenue was generated only from European markets.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Inventory consists of raw materials, work-in-process, and finished products and is valued at the lower of cost or net realizable value. The method by which those amounts are removed from the inventory is first-in first-out. Cost may include materials, labor, and manufacturing overhead. The carrying value of inventory is reviewed for potential impairment whenever indicators suggest that the cost of inventory exceeds the carrying value and management adjusts the inventory to its net realizable value. The Company also periodically evaluates inventory for estimated losses from excess quantities and obsolescence and writes down the cost of inventory to net realizable value at the time such determinations are made. Net realizable value is determined using the estimated selling price, in the ordinary course of business, less estimated costs to complete and dispose. Inventory used in research and development activities is expensed when incurred.</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Depreciation and amortization are provided using the straight-line method over the estimated useful lives of the related assets, generally three to five years, or, in the case of leasehold improvements, over the remaining life of the lease term. In January 2024, the Company changed its estimate of the useful life of its consoles from five years to three years. As a result of this change in estimate, the Company recorded catch-up depreciation, which increased depreciation expense during the period from January 1, 2024 to July 30, 2024 (Predecessor).</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Property and equipment include equipment that is loaned to customers and located at customer premises. The Company retains ownership of the equipment (consoles) held by customers and has the right to remove the equipment if it is not being utilized according to expectations.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Intangible assets with finite useful lives are amortized on a straight-line basis over their estimated useful lives. In determining the estimated useful lives of definite-lived intangibles, the Company considers the nature, competitive position, life cycle position and expected future operating cash flows of the acquired asset, as well as its commitment to support these assets through continued investment and legal infringement protection.</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Company’s intangible assets subject to amortization and other long-lived assets, are reviewed for impairment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which requires that companies consider whether events or changes in facts and circumstances, both internally and externally, may indicate that an impairment of long-lived assets held for use are present. The Company reviews long-lived assets for impairment at least annually or whenever events or changes in business circumstances indicate that the carrying amount of the assets may not be fully recoverable or that the useful lives of these assets are no longer appropriate. Determination of recoverability is based on an estimate of undiscounted future cash flows resulting from the use of the asset and its eventual disposition. In the event that such cash flows are not expected to be sufficient to recover the carrying amount of the asset, the assets are written down to their estimated fair value and the loss is recognized in the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(Successor) and for the period from January 1, 2024 to July 30, 2024 (Predecessor), the Company determined that there was no impairment of definite-lived intangible assets. The Company determined that as of December 31, 2024, the fair value of its definite lived intangible assets was less than the carrying amount. As a result, the Company recorded a $3.8 million impairment charge during the period from July 31, 2024 to December 31, 2024 (Successor). The impairment was driven by a sustained decline in the Company’s share price and market capitalization.</w:t>
      </w:r>
    </w:p>
    <w:p>
      <w:pPr>
        <w:spacing w:after="0" w:line="18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Indefinite-lived intangible assets consist of In-Process Research and Development (“IPR&amp;D”). Intangible assets with indefinite lives are tested for impairment if impairment indicators arise and, at a minimum, annually. However, an entity is permitted to first assess qualitative factors to determine if a quantitative impairment test is necessary. If, based on the qualitative assessment, the Company determines that it is more likely than not that the asset’s fair value is less than its carrying amount, or if the Company elects to bypass the qualitative assessment, the Company performs a quantitative impairment test. The quantitative impairment test consists of a one-step analysis that compares the fair value of the indefinite-lived intangible asset to its carrying amount. If the carrying amount exceeds the fair value, an impairment loss is recognized for the amount of the excess.</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(Successor) and for the period from January 1, 2024 to July 30, 2024 (Predecessor), the Company determined that there was no impairment of indefinite-lived intangible assets. The Company determined that as of December 31, 2024, the fair value of its indefinite-lived intangible assets was less than the carrying amount. As a result, the Company recorded a $15.1 million impairment charge during the period from July 31, 2024 to December 31, 2024 (Successor). The impairment was driven by a sustained decline in the Company’s share price and market capitalization.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ASC 350, Intangibles – Goodwill and Other, the Company tests goodwill for impairment at the reporting unit level. The Company has one reporting unit for the goodwill impairment testing purposes.</w:t>
      </w:r>
    </w:p>
    <w:p>
      <w:pPr>
        <w:spacing w:after="0" w:line="16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Goodwill is tested for impairment on an annual basis in the fourth quarter, or more frequently if events or changes in circumstances indicate the carrying value of goodwill may not be recoverable (a “triggering event”). On the occurrence of a triggering event, an entity has the option to first assess qualitative factors to determine whether a quantitative impairment test is necessary. If it is more likely than not that goodwill is impaired, the fair value of the reporting unit (the Company) is compared with its carrying value. An impairment charge is recognized for the amount by which the carrying amount exceeds the fair value, provided the loss recognized cannot exceed the total amount of goodwill.</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For the period from January 1, 2024 to July 30, 2024 (Predecessor) and for the year ended December 31, 2025 (Successor), the Company determined that there was no goodwill impairment. The Company determined that as of December 31, 2024, its fair value was less than the carrying amount. As a result, the Company recorded a $30.3 million goodwill impairment charge during the period from July 31, 2024 to December 31, 2024 (Successor). The impairment was driven by a sustained decline in the Company’s share price and market capitalization.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had three suppliers exceed 10% of total accounts payable as of December 31, 2025 (Successor), representing 74% of accounts payable.</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had two suppliers exceed 10% of total accounts payable as of December 31, 2024 (Successor), representing 55% of accounts payable.</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Company’s five and ten largest suppliers accounted for approximately 47% and 65%, respectively, of the Company’s expenditures for the period from July 31, 2024 to December 31, 2024 (Successor).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reviews long-lived assets, including property and equipment and finite-lived intangible assets, for impairment annually or whenever events or changes in business circumstances indicate that the carrying amount of the assets may not be fully recoverable. An impairment loss is recognized when the asset’s carrying value exceeds the total undiscounted cash flows expected from its use and eventual disposition. The amount of the impairment loss is determined as the excess of the carrying value of the asset over its fair value.</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(Successor), and for the periods from January 1, 2024 to July 30, 2024 (Predecessor) and July 31, 2024 to December 31, 2024 (Successor), the Company determined that no impairment of long-lived assets was indicated.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assets, liabilities, and results of operations of Adagio Medical GmbH are recorded using the Euro as the designated functional currency, which is the currency of the primary economic environment in which Adagio Medical GmbH operates. Consequently, transactions in currencies other than Euro are measured and recorded in Euro. Upon consolidation with the Company, its assets and liabilities are translated to U.S. Dollars at currency exchange rates as of the consolidated balance sheet date and its revenues and expenses are translated at the weighted-average currency exchange rates during the applicable reporting periods. Translation adjustments resulting from the process of translating this entity’s financial statements are reported in accumulated other comprehensive loss in the consolidated balance sheets and foreign currency translation adjustment in the consolidated statements of operations and comprehensive loss.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its lease property under ASC 842. Under this guidance, arrangements meeting the definition of a lease are classified as operating or financing leases, and are recorded on the consolidated balance sheets as both a right-of-use asset and a lease liability, calculated by discounting fixed lease payments over the lease term at the rate implicit in the lease or the Company’s incremental borrowing rate, which is the rate for collateralized borrowings based on the current economic environment, current borrowings, value of leases, currency in which the lease obligation is satisfied, rate sensitivity, lease term and materiality. Lease liabilities are increased by interest and reduced by payments each period, and the right-of-use asset is amortized over the lease term. For operating leases, interest on the lease liability and the amortization of the right-of-use asset results in straight-line rent expense over the lease term. Variable lease expenses are recorded when incurred.</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determines whether a contract is or contains a lease at the inception of the contract. A contract will be deemed to be or contain a lease if the contract conveys the right to control and direct the use of identified property or equipment for a period of time in exchange for consideration. The Company generally must also have the right to obtain substantially all of the economic benefits from the use of the property and equipment.</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calculating the right-of-use asset and lease liability, the Company elected to combine lease and non-lease components for its real estate leases. The Company adopted the policy election to exclude short-term leases having initial terms of twelve months or less from the initial recognition provisions of ASC 842. Refer to </w:t>
      </w:r>
      <w:r>
        <w:rPr>
          <w:rFonts w:ascii="Times New Roman" w:cs="Times New Roman" w:eastAsia="Times New Roman" w:hAnsi="Times New Roman"/>
          <w:sz w:val="18"/>
          <w:szCs w:val="18"/>
          <w:i w:val="1"/>
          <w:iCs w:val="1"/>
          <w:color w:val="auto"/>
        </w:rPr>
        <w:t>Note 11 - Operating Leases</w:t>
      </w:r>
      <w:r>
        <w:rPr>
          <w:rFonts w:ascii="Times New Roman" w:cs="Times New Roman" w:eastAsia="Times New Roman" w:hAnsi="Times New Roman"/>
          <w:sz w:val="18"/>
          <w:szCs w:val="18"/>
          <w:color w:val="auto"/>
        </w:rPr>
        <w:t xml:space="preserve"> for additional details.</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Company’s implied rental agreements for its consoles qualify as operating leases and as such, revenue is recognized in accordance with ASC 842, Leases and ASC 606, Revenue from Contracts with Customers. As no revenue was recognized during the year ended December 31, 2025 (Successor), no revenue was allocated to the lease components during this period. Revenue allocated to the lease components was not significant for the periods from January 1, 2024 to July 30, 2024 (Predecessor) and July 31, 2024 to December 31, 2024 (Successor).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Cost of revenue includes raw materials, direct labor, manufacturing overhead, shipping and receiving costs and other less significant indirect costs related to the production of the Company’s products.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Cost of revenue also includes the depreciation expense of consoles loaned to the customers.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consulting fees, and employee-related costs (including stock-based compensation) for personnel directly engaged in research and development activities, clinical trial expenses, equipment costs, material costs, allocated rent and facilities costs, and depreciation. Research and development costs are expensed as incurred.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and employee-related costs (including stock-based compensation) for personnel in executive, finance and other administrative functions, allocated rent and facilities costs, legal fees relating to intellectual property, corporate and financial matters, professional fees for accounting and consulting services, marketing costs and insurance costs. The Company expenses all selling, general, and administrative costs as incurred.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Fair value measurements are based on the premise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following three-tier fair value hierarchy is used in determining the inputs for measuring fair value:</w:t>
      </w:r>
    </w:p>
    <w:p>
      <w:pPr>
        <w:spacing w:after="0" w:line="183" w:lineRule="exact"/>
        <w:rPr>
          <w:sz w:val="20"/>
          <w:szCs w:val="20"/>
          <w:color w:val="auto"/>
        </w:rPr>
      </w:pPr>
    </w:p>
    <w:p>
      <w:pPr>
        <w:ind w:left="720" w:hanging="319"/>
        <w:spacing w:after="0"/>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prices for similar assets or liabilities that are directly or indirectly observable in the marketplace.</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which are supported by little or no market activity and consist of financial instruments valued using pricing models, discounted cash flow methodologies or similar techniques, as well as instruments for which the determination of fair value requires significant judgment or estimation.</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Financial instruments measured at fair value are classified in their entirety based on the lowest level of input that is significant to the fair value measurement. Management’s assessment of the significance of a particular input to the fair value measurement in its entirety requires judgment and considers factors specific to the asset or liability. The use of different assumptions and/or estimation methodologies may have a material effect on estimated fair values. Accordingly, the fair value estimates disclosed, or initial amounts recorded may not be indicative of the amount that the Company or holders of the instruments could realize in a current market exchange. The fair value of the convertible notes payable and warrant liabilities may be impacted by certain unobservable inputs, most significantly with regard to discount rates, expected volatility and historical and projected performance. Significant changes to these inputs in isolation could result in a significantly different fair value measurement.</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 for Convertible Notes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permitted under ASC 825, Financial Instruments (“ASC 825”), Legacy Adagio elected the fair value option to account for the convertible notes issued in October 2022 (the “October 2022 Convertible Notes”), April 2023 (the “April 2023 Convertible Notes”), November 2023 (the “November 2023 Convertible Notes”), February 2024 (the “February 2024 Convertible Notes”, or the “2024 Bridge Financing Notes”), May 2024 (the “May 2024 Convertible Notes”), June 2024 (the “June 2024 Convertible Notes”), and July 2024 (the “July 2024 Convertible Notes”) (collectively, “Legacy Adagio Convertible Notes”), and the Company elected the fair value option to account for the Convertible Securities Notes, in order to measure those liabilities at amounts that more accurately reflect the current economic environment in which the Legacy Adagio and the Company operated.</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Convertible Securities Notes mentioned above were recorded at fair value at issuance and subsequently were remeasured to fair value at the end of each reporting period. The change in fair value of the Convertible Securities Notes, including amounts related to interest, is recorded in “Convertible notes fair value adjustment”.</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 xml:space="preserve">As a result of applying the fair value option, direct costs and fees related to the issuance of the Convertible Securities Notes were expensed as incurred (i.e., not recognized as deferred costs). Refer to </w:t>
      </w:r>
      <w:r>
        <w:rPr>
          <w:rFonts w:ascii="Times New Roman" w:cs="Times New Roman" w:eastAsia="Times New Roman" w:hAnsi="Times New Roman"/>
          <w:sz w:val="18"/>
          <w:szCs w:val="18"/>
          <w:i w:val="1"/>
          <w:iCs w:val="1"/>
          <w:color w:val="auto"/>
        </w:rPr>
        <w:t>Note 4 - Fair Value Measurements</w:t>
      </w:r>
      <w:r>
        <w:rPr>
          <w:rFonts w:ascii="Times New Roman" w:cs="Times New Roman" w:eastAsia="Times New Roman" w:hAnsi="Times New Roman"/>
          <w:sz w:val="18"/>
          <w:szCs w:val="18"/>
          <w:color w:val="auto"/>
        </w:rPr>
        <w:t xml:space="preserve"> for further detail.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has Milestone Warrants (as defined below) issued along with the 2025 PIPE Pre-funded Warrants (as defined below) issued in the 2025 PIPE Financing (as defined below), which are classified as equity. The Company has Convert Warrants (as defined below) issued along with the Convertible Securities Notes, and PIPE Pre-funded Warrants (as defined below) issued in the 2024 PIPE Financing (as defined below), which are classified as liabilities. The Company also has PIPE Base Warrants (as defined below) issued in the 2024 PIPE Financing, which are classified as equity. Legacy Adagio had certain common stock warrants (“SVB Warrants”) issued along with the SVB Term Loan (as defined below) and pre-funded warrants to purchase Series E preferred stock (“Series E Pre-funded Warrants”), which were both classified as liabilities.</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determines the classification of warrants based on an assessment of the warrant’s specific terms and applicable authoritative guidance in ASC 480 and ASC 815. The assessment considers whether the warrants are freestanding financial instruments and meet all of the requirements for equity classification, including whether the warrants are indexed to the Company’s own shares of common stock, among other conditions for equity classification. This assessment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classified as liabilities and are required to be recorded at their initial fair value on the date of issuance, and each balance sheet date thereafter until settlement. Changes in the estimated fair value of the liability-classified warrants are recognized in warrant liabilities fair value adjustment in the consolidated statements of operations and comprehensive loss.</w:t>
      </w:r>
    </w:p>
    <w:p>
      <w:pPr>
        <w:spacing w:after="0" w:line="1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classification of derivative instruments, including whether such instruments should be recorded as liabilities or as equity, is reassessed at the end of each reporting period. Equity instruments that are initially classified as equity that become subject to reclassification are reclassified to a liability at the fair value of the instrument on the reclassification date. Derivative instrument liabilities are classified in the consolidated balance sheets as current or non-current based on whether or not net-cash settlement of the derivative instrument could be required within twelve months of the consolidated balance sheet date.</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10 - Warrants</w:t>
      </w:r>
      <w:r>
        <w:rPr>
          <w:rFonts w:ascii="Times New Roman" w:cs="Times New Roman" w:eastAsia="Times New Roman" w:hAnsi="Times New Roman"/>
          <w:sz w:val="18"/>
          <w:szCs w:val="18"/>
          <w:color w:val="auto"/>
        </w:rPr>
        <w:t xml:space="preserve"> for additional information related to the warrants.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Term Loan (Predecessor)</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the SVB Term Loan at residual value on the date of issuance. The expected life of the term loan is the contractual term ending on the maturity date. The Company classifies the term loan as current liabilities within twelve months of the maturity date or when otherwise due. Interest expense is recognized in the consolidated statements of operations and comprehensive loss over the contractual term of the loan. Refer to </w:t>
      </w:r>
      <w:r>
        <w:rPr>
          <w:rFonts w:ascii="Times New Roman" w:cs="Times New Roman" w:eastAsia="Times New Roman" w:hAnsi="Times New Roman"/>
          <w:sz w:val="18"/>
          <w:szCs w:val="18"/>
          <w:i w:val="1"/>
          <w:iCs w:val="1"/>
          <w:color w:val="auto"/>
        </w:rPr>
        <w:t>Note 9 - Debt</w:t>
      </w:r>
      <w:r>
        <w:rPr>
          <w:rFonts w:ascii="Times New Roman" w:cs="Times New Roman" w:eastAsia="Times New Roman" w:hAnsi="Times New Roman"/>
          <w:sz w:val="18"/>
          <w:szCs w:val="18"/>
          <w:color w:val="auto"/>
        </w:rPr>
        <w:t xml:space="preserve"> for additional information related to the term loan.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 (Predecessor)</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records the Legacy Adagio convertible preferred stock at fair value on the dates of issuance, net of issuance costs. Upon the occurrence of certain events that are outside the Legacy Adagio’s control, including a deemed liquidation event, holders of the convertible preferred stock can cause redemption for cash. Each share of preferred stock would automatically be converted into shares of Legacy Adagio common stock at the then effective conversion rate immediately upon the earlier of (i) the election of the holders of a majority of the outstanding shares of preferred stock, voting as a separate class on an as-converted to common stock basis, or (ii) the closing of the sale of the Legacy Adagio’s common stock in a firm commitment, underwritten public offering registered under the Securities Act of 1933, as amended, with aggregate offering proceeds to Legacy Adagio (before deduction for underwriters’ discounts and expenses relating to the issuance) of at least $75.0 million and a public offering price per share equal to at least $67.83 (subject to adjustments for stock dividends, splits, combinations and similar events).</w:t>
      </w:r>
    </w:p>
    <w:p>
      <w:pPr>
        <w:spacing w:after="0" w:line="8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As the Legacy Adagio preferred stock was considered to be contingently redeemable, the Legacy Adagio preferred stock was classified outside of permanent equity.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recognizes compensation expense for all stock-based awards issued to employees and non-employees based on the estimated grant-date fair value, which is recognized as expense on a straight-line basis over the requisite service period. The Company has elected to recognize forfeitures as they occur. The fair value of stock options is determined using the Black-Scholes-Merton option-pricing model. The determination of fair value for stock-based awards on the date of grant using an option-pricing model requires management to make certain assumptions including expected volatility, expected term, risk-free interest rate and expected dividends in addition to the Company’s common stock valuation.</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 Based on the lack of historical data of volatility for the Company’s common stock, the Company bases its estimate of expected volatility on an average of the historical volatility of comparable public medical technology companies that reflect volatility characteristics relevant to the Company’s expected volatility analysis. The dividend yield is based upon the assumption that the Company will not declare a dividend over the life of the options. The risk-free interest rate is based on the U.S. Treasury yield curve in effect at the time of grant for bonds with maturities consistent with the expected term of the related award. Refer to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14 - Stock-Based Compensation</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Due to the absence of an active market for Legacy Adagio common stock, the Company utilized methodologies, approaches, and assumptions consistent with the American Institute of Certified Public Accountants Audit and Accounting Practice Aid Series: Valuation of Privately Held Company Equity Securities Issued as Compensation to estimate the fair value of Legacy Adagio common stock. In determining the exercise prices for options granted, the Company considered the fair value of the common stock as of the grant date. The fair value of the common stock is determined based upon a variety of factors, including the Company’s financial position, historical performance and operating results, the Company’s stage of development, the progress of the Company’s research and development programs, the prices at which the Company sold its convertible preferred stock, the superior rights, preferences and privileges of the Company’s convertible preferred stock relative to its common stock, external market conditions affecting the medical technologies industry, the lack of marketability of the Legacy Adagio common stock, prospects of a transaction and market performance of peer companies. Significant changes to the key assumptions underlying the factors used could result in different fair values of Legacy Adagio at each valuation date.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Income taxes are recorded in accordance with ASC 740, Income Taxes (“ASC 740”), which provides for deferred taxes using an asset and liability approach. The Company recognizes deferred tax assets and liabilities for the expected future tax consequences of events that have been included in the consolidated financial statements. Deferred tax assets and liabilities are determined based on the difference between the consolidated financial statement and tax bases of assets and liabilities using enacted tax rates in effect for the year in which the differences are expected to reverse and include Net Operating Loss (“NOL”) carryforwards and Research and Development (“R&amp;D”) tax credit carryforwards. Valuation allowances are provided if, based upon the weight of available evidence, it is more likely than not that some or all of the deferred tax assets will not be realized.</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ASU 2019-12, Simplifying the Accounting for Income Taxes, was adopted in the first quarter of 2021 and the Company has recorded franchise taxes not based on income outside of income tax expense. The Company’s practice is to recognize interest and/or penalties related to income tax matters in income tax expense. The Company had no accrual for interest or penalties on its consolidated balance sheets and did not recognize any interest or penalties in its consolidated statements of operations and comprehensive loss for the year ended December 31, 2025 (Successor) and for the periods from January 1, 2024 to July 30, 2024 (Predecessor) and July 31, 2024 to December 31, 2024 (Successor), respectively.</w:t>
      </w:r>
    </w:p>
    <w:p>
      <w:pPr>
        <w:spacing w:after="0" w:line="185" w:lineRule="exact"/>
        <w:rPr>
          <w:sz w:val="20"/>
          <w:szCs w:val="20"/>
          <w:color w:val="auto"/>
        </w:rPr>
      </w:pPr>
    </w:p>
    <w:p>
      <w:pPr>
        <w:jc w:val="both"/>
        <w:ind w:left="60" w:right="59" w:firstLine="324"/>
        <w:spacing w:after="0" w:line="284" w:lineRule="auto"/>
        <w:rPr>
          <w:sz w:val="20"/>
          <w:szCs w:val="20"/>
          <w:color w:val="auto"/>
        </w:rPr>
      </w:pPr>
      <w:r>
        <w:rPr>
          <w:rFonts w:ascii="Times New Roman" w:cs="Times New Roman" w:eastAsia="Times New Roman" w:hAnsi="Times New Roman"/>
          <w:sz w:val="18"/>
          <w:szCs w:val="18"/>
          <w:color w:val="auto"/>
        </w:rPr>
        <w:t xml:space="preserve">To date, there have been no interest or penalties charged in relation to the unrecognized tax benefits. Refer to </w:t>
      </w:r>
      <w:r>
        <w:rPr>
          <w:rFonts w:ascii="Times New Roman" w:cs="Times New Roman" w:eastAsia="Times New Roman" w:hAnsi="Times New Roman"/>
          <w:sz w:val="18"/>
          <w:szCs w:val="18"/>
          <w:i w:val="1"/>
          <w:iCs w:val="1"/>
          <w:color w:val="auto"/>
        </w:rPr>
        <w:t>Note 16 -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for additional details.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ASU 2023-09, Income Taxes (Topics 740): Improvements to Income Tax Disclosures,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This new standard will be effective for public reporting for the annual periods beginning the year ended December 31, 2025. The new standard permits early adoption and can be applied prospectively or retrospectively. The Company has elected to prospectively adopt the guidance in ASU No. 2023-09, Income Taxes (Topic 740): Improvements to Income Taxes Disclosures, or ASU 2023-09, effective January 1, 2025.</w:t>
      </w:r>
    </w:p>
    <w:p>
      <w:pPr>
        <w:spacing w:after="0" w:line="1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which requires annual and interim disclosure of disaggregated disclosures of certain costs and expenses on the income statement. The standard is effective for fiscal years beginning after December 15, 2026, and interim periods within fiscal years beginning after December 15, 2027, with early adoption permitted. Amendments are applied on a prospective basis with retrospective application permitted. The Company is currently evaluating the impact of this guidance.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 Forward Merger</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On February 13, 2024, ARYA, ListCo, ARYA Merger Sub, and Company Merger Sub, entered into a Business Combination Agreement, which was amended by the Consent and Amendment No. 1 to the Business Combination Agreement, dated as of June 25, 2024.</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Prior to the annual general meeting, holders of 2,707,555 shares of ARYA’s redeemable Class A ordinary shares exercised their right to redeem such shares for cash at a redemption price of $11.56 per share, for an aggregate redemption amount of $31.3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Transaction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Upon the consummation of the Business Combination,</w:t>
      </w:r>
    </w:p>
    <w:p>
      <w:pPr>
        <w:spacing w:after="0" w:line="225" w:lineRule="exact"/>
        <w:rPr>
          <w:sz w:val="20"/>
          <w:szCs w:val="20"/>
          <w:color w:val="auto"/>
        </w:rPr>
      </w:pPr>
    </w:p>
    <w:p>
      <w:pPr>
        <w:jc w:val="both"/>
        <w:ind w:left="720" w:right="79" w:hanging="319"/>
        <w:spacing w:after="0" w:line="266"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Class A ordinary share of ARYA, par value $0.0001 per share, was automatically cancelled, extinguished and converted into one share of common stock, par value $0.0001 per share, of the Company (“Company’s common stock”).</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54"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Class B ordinary share of ARYA, par value $0.0001 per share, was automatically cancelled, extinguished and converted into the right to receive one share of the Company’s common stock, other than (i) 1,000,000 Class B ordinary shares that were forfeited by ARYA Sciences Holdings IV, a Cayman Islands exempted company (the “Sponsor”), and issued to the PIPE Investors (as defined below), including the Perceptive PIPE Investor (as defined below); (ii) 1,147,500 shares of the Company’s common stock issuable to the Sponsor that are subject to share trigger price vesting and will vest if, prior to the tenth anniversary of the Closing, the post-closing share price of the Company equals or exceeds $24.00 per share for any 20 trading days within any 30 trading day period (the “Share Trigger Price Vesting”).</w:t>
      </w:r>
    </w:p>
    <w:p>
      <w:pPr>
        <w:spacing w:after="0" w:line="19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warrant of Legacy Adagio (other than the Series E Pre-funded Warrants) was terminated in accordance with the terms of the applicable warrant agreement.</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convertible promissory notes of Legacy Adagio (excluding the Bridge Financing Notes (as defined below) and the 2024 Bridge Financing Notes), including any accrued and unpaid interest thereon, were automatically and fully converted into shares of Legacy Adagio common stock in accordance with the terms of such convertible promissory notes, and such convertible promissory notes were cancelled, satisfied, extinguished, discharged and retired in connection with such conversion.</w:t>
      </w:r>
    </w:p>
    <w:p>
      <w:pPr>
        <w:spacing w:after="0" w:line="183"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Legacy Adagio preferred stock, par value $0.001 per share, that was issued and outstanding was automatically converted into shares of Legacy Adagio common stock on a one-to-one basis.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shares of Legacy Adagio common stock including Series E Pre-funded Warrants that had been issued and outstanding were automatically cancelled and extinguished and converted into shares of the Company’s common stock based on the exchange ratio set forth in the Business Combination Agreement.</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outstanding and unexercised option to purchase Legacy Adagio common stock (“Legacy Adagio Option”) that had been vested prior to the Closing with an aggregate value that exceeded the aggregate exercise price of such Legacy Adagio Option (each an “In-the-Money Adagio Options”) was cancelled and extinguished in exchange for options to purchase shares of the Company’s common stock, and each issued and outstanding Legacy Adagio equity award (other than an In-the-Money Adagio Options) was automatically cancelled and extinguished for no consideration, and each holder thereof ceased to have any rights with respect thereto.</w:t>
      </w:r>
    </w:p>
    <w:p>
      <w:pPr>
        <w:spacing w:after="0" w:line="18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million of 2024 Bridge Financing Notes were converted into Convertible Securities Notes and Convert Warrants (as defined below).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ListCo and ARYA entered into Subscription Agreements (the “Initial Subscription Agreements”), with Perceptive Life Sciences Master Fund, Ltd, a Cayman Islands exempted company (the “Perceptive PIPE Investor”) and certain other investors (the “Initial Other PIPE Investors”, and together with the Perceptive PIPE Investor, the “Initial PIPE Investors”). In June 2024, ListCo and ARYA entered into additional Subscription Agreements (the “June Subscription Agreements” and, together with the Initial Subscription Agreements, the “Subscription Agreements”) with certain additional investors, (the “June PIPE Investors”, and together with the Initial Other PIPE Investors, the “Other PIPE Investors”, and the Other PIPE Investors, together with the Perceptive PIPE Investor, the “PIPE Investors”).</w:t>
      </w:r>
    </w:p>
    <w:p>
      <w:pPr>
        <w:spacing w:after="0" w:line="19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Pursuant to the subscription agreements, the PIPE Investors committed financing valued at $64.5 million (the “2024 PIPE Financing”).</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2024 PIPE Financing included:</w:t>
      </w:r>
    </w:p>
    <w:p>
      <w:pPr>
        <w:spacing w:after="0" w:line="225" w:lineRule="exact"/>
        <w:rPr>
          <w:sz w:val="20"/>
          <w:szCs w:val="20"/>
          <w:color w:val="auto"/>
        </w:rPr>
      </w:pPr>
    </w:p>
    <w:p>
      <w:pPr>
        <w:jc w:val="both"/>
        <w:ind w:left="60" w:right="59" w:firstLine="314"/>
        <w:spacing w:after="0" w:line="266" w:lineRule="auto"/>
        <w:tabs>
          <w:tab w:leader="none" w:pos="70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by certain Other PIPE Investors to purchase $2.5 million in Class A shares of ARYA in the open market and not to redeem such shares before the Closing, resulting in the issuance of 355,457 shares of Company’s common stock and 299,902 warrants exercisable for shares of the Company’s common stock (the “Base Warrants”).</w:t>
      </w:r>
    </w:p>
    <w:p>
      <w:pPr>
        <w:spacing w:after="0" w:line="175" w:lineRule="exact"/>
        <w:rPr>
          <w:rFonts w:ascii="Times New Roman" w:cs="Times New Roman" w:eastAsia="Times New Roman" w:hAnsi="Times New Roman"/>
          <w:sz w:val="18"/>
          <w:szCs w:val="18"/>
          <w:color w:val="auto"/>
        </w:rPr>
      </w:pPr>
    </w:p>
    <w:p>
      <w:pPr>
        <w:ind w:left="60" w:right="79" w:firstLine="314"/>
        <w:spacing w:after="0" w:line="282" w:lineRule="auto"/>
        <w:tabs>
          <w:tab w:leader="none" w:pos="70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by certain Other PIPE Investors that were shareholders of ARYA to not to redeem 247,700 Class A shares of ARYA, resulting in the issuance of 405,772 shares of Company’s common stock and 343,756 Base Warrants.</w:t>
      </w:r>
    </w:p>
    <w:p>
      <w:pPr>
        <w:spacing w:after="0" w:line="161" w:lineRule="exact"/>
        <w:rPr>
          <w:rFonts w:ascii="Times New Roman" w:cs="Times New Roman" w:eastAsia="Times New Roman" w:hAnsi="Times New Roman"/>
          <w:sz w:val="18"/>
          <w:szCs w:val="18"/>
          <w:color w:val="auto"/>
        </w:rPr>
      </w:pPr>
    </w:p>
    <w:p>
      <w:pPr>
        <w:ind w:left="60" w:right="79" w:firstLine="314"/>
        <w:spacing w:after="0" w:line="282" w:lineRule="auto"/>
        <w:tabs>
          <w:tab w:leader="none" w:pos="70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by certain Other PIPE Investors to purchase 1,036,666 shares of the Company’s common stock, 1,440,000 Base Warrants, and 670,000 PIPE Pre-funded Warrants for a cash investment of $12 million in the Company.</w:t>
      </w:r>
    </w:p>
    <w:p>
      <w:pPr>
        <w:spacing w:after="0" w:line="161" w:lineRule="exact"/>
        <w:rPr>
          <w:rFonts w:ascii="Times New Roman" w:cs="Times New Roman" w:eastAsia="Times New Roman" w:hAnsi="Times New Roman"/>
          <w:sz w:val="18"/>
          <w:szCs w:val="18"/>
          <w:color w:val="auto"/>
        </w:rPr>
      </w:pPr>
    </w:p>
    <w:p>
      <w:pPr>
        <w:jc w:val="both"/>
        <w:ind w:left="60" w:right="59" w:firstLine="314"/>
        <w:spacing w:after="0" w:line="258" w:lineRule="auto"/>
        <w:tabs>
          <w:tab w:leader="none" w:pos="70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of total $29.5 million in April 2023 Convertible Notes, November 2023 Convertible Notes, May 2024 Convertible Notes, June 2024 Convertible Notes, and July 2024 Convertible Notes (collectively, “Bridge Financing Notes”), and accrued interest of $1.7 million by the Perceptive PIPE Investor. A total of 4,372,607 shares of the Company’s common stock and 3,540,000 units of Base Warrants were issued to settle the Bridge Financing Notes and the accrued and unpaid interest.</w:t>
      </w:r>
    </w:p>
    <w:p>
      <w:pPr>
        <w:spacing w:after="0" w:line="183" w:lineRule="exact"/>
        <w:rPr>
          <w:rFonts w:ascii="Times New Roman" w:cs="Times New Roman" w:eastAsia="Times New Roman" w:hAnsi="Times New Roman"/>
          <w:sz w:val="18"/>
          <w:szCs w:val="18"/>
          <w:color w:val="auto"/>
        </w:rPr>
      </w:pPr>
    </w:p>
    <w:p>
      <w:pPr>
        <w:ind w:left="60" w:right="59" w:firstLine="314"/>
        <w:spacing w:after="0" w:line="282" w:lineRule="auto"/>
        <w:tabs>
          <w:tab w:leader="none" w:pos="70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cash investment of $15.9 million by the Perceptive PIPE Investor for a total of 2,250,352 shares of New Adagio Common Stock and 1,905,069 units of Base Warrants.</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Further, in connection with the execution of the Business Combination Agreement, certain investors (“Convert Investors”) executed a securities purchase agreement, dated February 13, 2024, with ListCo (the “Convertible Security Subscription Agreement”), pursuant to which ListCo issued on the Closing Date to the Convert Investors $20.0 million of 13% senior secured convertible notes (the “Convertible Securities Notes”), which may be convertible into shares of the Company’s common stock at a conversion price of $10.00 per share, subject to adjustment, and 1,500,000 warrants (the “Convert Warrants”), each Convert Warrant being exercisable on a cashless basis or for cash at a price of $24.00 per share, subject to adjustment. Such $20.0 million of financing in the form of Convertible Securities Notes includes the conversion of the 2024 Bridge Financing Notes into Convertible Securities Notes and Convert Warrants at Closing. Refer to </w:t>
      </w:r>
      <w:r>
        <w:rPr>
          <w:rFonts w:ascii="Times New Roman" w:cs="Times New Roman" w:eastAsia="Times New Roman" w:hAnsi="Times New Roman"/>
          <w:sz w:val="18"/>
          <w:szCs w:val="18"/>
          <w:i w:val="1"/>
          <w:iCs w:val="1"/>
          <w:color w:val="auto"/>
        </w:rPr>
        <w:t>Note 9 -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for details.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Acquisition Method of Accounting</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Business Combination has been accounted for as a forward-merger in accordance with U.S. GAAP. Under this method of accounting, ListCo has been treated as the “accounting acquirer” and Legacy Adagio as the “accounting acquiree” for financial reporting purposes. Accordingly, for accounting purposes, the Business Combination has been accounted for using the acquisition method of accounting. The acquisition method of accounting is based on ASC 805 and uses the fair value concepts defined in ASC 820. ASC 805 requires, among other things, that assets acquired, and liabilities assumed be recognized at their fair values as of the acquisition date, with limited exceptions per ASC 805-20-30-12 through 30-23. As such, under the acquisition method of accounting, ListCo’s assets and liabilities retain their carrying amounts, and the assets and liabilities of Legacy Adagio, including any intangible assets recognized in connection with the Business Combination, are recorded at their fair values as of the acquisition date, except as otherwise required. The excess of the purchase price over the estimated fair values of net assets acquired is recorded as goodwill.</w:t>
      </w:r>
    </w:p>
    <w:p>
      <w:pPr>
        <w:spacing w:after="0" w:line="19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Under the acquisition method of accounting, ListCo was considered to be the accounting acquirer based on the terms of the Business Combination. Upon consummation of the Business Combination, the cash on hand resulted in the equity at risk being considered insufficient for Legacy Adagio to finance its activities without additional subordinated financial support. Therefore, Legacy Adagio was considered a Variable Interest Entity (“VIE”) and the primary beneficiary of Legacy Adagio was treated as the accounting acquirer.</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ListCo is the primary beneficiary of Legacy Adagio. ListCo holds 100% of the voting rights of Legacy Adagio and controls the Board of Directors of Legacy Adagio. Therefore, ListCo has the sole power to control the significant activities that impact Legacy Adagio’s economic performance. ListCo’s equity interest in Legacy Adagio results in the right to receive benefits and the obligation to absorb the losses of Legacy Adagio that could be significant to ListCo.</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is a summary of the purchase price calculation (in thousands except share and per share data):</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the Company’s common stock issued</w:t>
            </w:r>
          </w:p>
        </w:tc>
        <w:tc>
          <w:tcPr>
            <w:tcW w:w="6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6,771,769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Number of replacement stock options granted to Legacy Adagio’s option holders by the Company</w:t>
            </w:r>
          </w:p>
        </w:tc>
        <w:tc>
          <w:tcPr>
            <w:tcW w:w="4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and stock options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6,779,356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Multiplied by the Company’s common stock price at the Closing</w:t>
            </w: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PIPE Base Warrants issued in lieu of settling Bridge Financing Notes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Multiplied by estimated value of PIPE Base Warrants at the Closing</w:t>
            </w: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 of PIPE Base Warrants issued in lieu of settling Bridge Financing Notes</w:t>
            </w:r>
          </w:p>
        </w:tc>
        <w:tc>
          <w:tcPr>
            <w:tcW w:w="4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price</w:t>
            </w:r>
          </w:p>
        </w:tc>
        <w:tc>
          <w:tcPr>
            <w:tcW w:w="4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ind w:left="4320"/>
              <w:spacing w:after="0"/>
              <w:rPr>
                <w:sz w:val="20"/>
                <w:szCs w:val="20"/>
                <w:color w:val="auto"/>
              </w:rPr>
            </w:pPr>
            <w:r>
              <w:rPr>
                <w:rFonts w:ascii="Times New Roman" w:cs="Times New Roman" w:eastAsia="Times New Roman" w:hAnsi="Times New Roman"/>
                <w:sz w:val="18"/>
                <w:szCs w:val="18"/>
                <w:color w:val="auto"/>
              </w:rPr>
              <w:t>125</w:t>
            </w: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738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7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allocation of the purchase price was as follows (in thousands):</w:t>
            </w: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29"/>
        </w:trPr>
        <w:tc>
          <w:tcPr>
            <w:tcW w:w="6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17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w:t>
            </w: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26,200</w:t>
            </w: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44,291</w:t>
            </w: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 net</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6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assets acquired</w:t>
            </w:r>
          </w:p>
        </w:tc>
        <w:tc>
          <w:tcPr>
            <w:tcW w:w="14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77,252</w:t>
            </w:r>
          </w:p>
        </w:tc>
      </w:tr>
      <w:tr>
        <w:trPr>
          <w:trHeight w:val="209"/>
        </w:trPr>
        <w:tc>
          <w:tcPr>
            <w:tcW w:w="6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7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10,103</w:t>
            </w: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w:t>
            </w: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payable, long-term</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w:t>
            </w: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1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r>
      <w:tr>
        <w:trPr>
          <w:trHeight w:val="216"/>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r>
      <w:tr>
        <w:trPr>
          <w:trHeight w:val="210"/>
        </w:trPr>
        <w:tc>
          <w:tcPr>
            <w:tcW w:w="6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4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23,706</w:t>
            </w:r>
          </w:p>
        </w:tc>
      </w:tr>
      <w:tr>
        <w:trPr>
          <w:trHeight w:val="209"/>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total</w:t>
            </w:r>
          </w:p>
        </w:tc>
        <w:tc>
          <w:tcPr>
            <w:tcW w:w="14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53,546</w:t>
            </w:r>
          </w:p>
        </w:tc>
      </w:tr>
      <w:tr>
        <w:trPr>
          <w:trHeight w:val="20"/>
        </w:trPr>
        <w:tc>
          <w:tcPr>
            <w:tcW w:w="6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total purchase consideration over the fair value of the underlying net assets and captures the value attributable to future economic benefits arising from future technology development beyond the existing pipeline of identified IPR&amp;D projects.</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acquired intangible assets consist of developed technology and IPR&amp;D, which were valued at $26.2 million at the Closing using the cost approach. This approach considers an asset’s replacement cost (direct and indirect) adjusted, where applicable, for obsolescence to estimate the replacement cost of the asset’s current service potential (i.e., remaining useful life and cash-flow generating capacity). Obsolescence for an acquired intangible asset may include functional (technological) obsolescence and economic (external) obsolescence. The Company has determined the estimated useful life of five years for developed technology based on consideration of the economic benefit of the asset. Refer to </w:t>
      </w:r>
      <w:r>
        <w:rPr>
          <w:rFonts w:ascii="Times New Roman" w:cs="Times New Roman" w:eastAsia="Times New Roman" w:hAnsi="Times New Roman"/>
          <w:sz w:val="18"/>
          <w:szCs w:val="18"/>
          <w:i w:val="1"/>
          <w:iCs w:val="1"/>
          <w:color w:val="auto"/>
        </w:rPr>
        <w:t xml:space="preserve">Note 7-Goodwill, net and Intangible Assets, net </w:t>
      </w:r>
      <w:r>
        <w:rPr>
          <w:rFonts w:ascii="Times New Roman" w:cs="Times New Roman" w:eastAsia="Times New Roman" w:hAnsi="Times New Roman"/>
          <w:sz w:val="18"/>
          <w:szCs w:val="18"/>
          <w:color w:val="auto"/>
        </w:rPr>
        <w:t>for details.</w:t>
      </w:r>
    </w:p>
    <w:p>
      <w:pPr>
        <w:spacing w:after="0" w:line="1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the transactions that occurred concurrently with the Closing Date of the Business Combination were reflected “on the line”. “On the line” describes those transactions triggered by the consummation of the Business Combination that are not recognized in the consolidated financial statements of the Predecessor nor the Successor as they are not directly attributable to either period but instead were contingent on the Business Combination.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issued and amounts recorded on the line within stockholders’ equity (deficit) are reflected below to arrive at the opening consolidated balance sheet of the Successor (in thousands except share data).</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20" w:type="dxa"/>
            <w:vAlign w:val="bottom"/>
            <w:gridSpan w:val="2"/>
          </w:tcPr>
          <w:p>
            <w:pPr>
              <w:ind w:left="4740"/>
              <w:spacing w:after="0"/>
              <w:rPr>
                <w:sz w:val="20"/>
                <w:szCs w:val="20"/>
                <w:color w:val="auto"/>
              </w:rPr>
            </w:pPr>
            <w:r>
              <w:rPr>
                <w:rFonts w:ascii="Times New Roman" w:cs="Times New Roman" w:eastAsia="Times New Roman" w:hAnsi="Times New Roman"/>
                <w:sz w:val="14"/>
                <w:szCs w:val="14"/>
                <w:i w:val="1"/>
                <w:iCs w:val="1"/>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APIC</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820" w:type="dxa"/>
            <w:vAlign w:val="bottom"/>
            <w:gridSpan w:val="2"/>
          </w:tcPr>
          <w:p>
            <w:pPr>
              <w:ind w:left="4700"/>
              <w:spacing w:after="0"/>
              <w:rPr>
                <w:sz w:val="20"/>
                <w:szCs w:val="20"/>
                <w:color w:val="auto"/>
              </w:rPr>
            </w:pPr>
            <w:r>
              <w:rPr>
                <w:rFonts w:ascii="Times New Roman" w:cs="Times New Roman" w:eastAsia="Times New Roman" w:hAnsi="Times New Roman"/>
                <w:sz w:val="14"/>
                <w:szCs w:val="14"/>
                <w:i w:val="1"/>
                <w:iCs w:val="1"/>
                <w:color w:val="auto"/>
              </w:rPr>
              <w:t>​</w:t>
            </w:r>
          </w:p>
        </w:tc>
        <w:tc>
          <w:tcPr>
            <w:tcW w:w="1120" w:type="dxa"/>
            <w:vAlign w:val="bottom"/>
            <w:vMerge w:val="continue"/>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Stock</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vMerge w:val="continue"/>
          </w:tcPr>
          <w:p>
            <w:pPr>
              <w:spacing w:after="0"/>
              <w:rPr>
                <w:sz w:val="15"/>
                <w:szCs w:val="15"/>
                <w:color w:val="auto"/>
              </w:rPr>
            </w:pPr>
          </w:p>
        </w:tc>
        <w:tc>
          <w:tcPr>
            <w:tcW w:w="14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 Accumulated Deficit</w:t>
            </w:r>
          </w:p>
        </w:tc>
        <w:tc>
          <w:tcPr>
            <w:tcW w:w="0" w:type="dxa"/>
            <w:vAlign w:val="bottom"/>
          </w:tcPr>
          <w:p>
            <w:pPr>
              <w:spacing w:after="0"/>
              <w:rPr>
                <w:sz w:val="1"/>
                <w:szCs w:val="1"/>
                <w:color w:val="auto"/>
              </w:rPr>
            </w:pPr>
          </w:p>
        </w:tc>
      </w:tr>
      <w:tr>
        <w:trPr>
          <w:trHeight w:val="209"/>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ListCo closing equity as of July 30, 2024</w:t>
            </w:r>
          </w:p>
        </w:tc>
        <w:tc>
          <w:tcPr>
            <w:tcW w:w="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deficit carried over from ARYA</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of cash proceeds in the 2024 PIPE Financing</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3,287,018</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Conversion of ARYA convertible promissory Notes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355,100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Conversion of ARYA Class A ordinary shares and Class B</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ordinary shares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2,089,000</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Conversion of Class A ordinary shares subject to redemption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123,520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for acquisition of Legacy Adagio</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6,771,769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Additional shares issued and reclassification of Class A ordinary</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subject to non-redemption agreements and open market</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subscription agreements</w:t>
            </w:r>
          </w:p>
        </w:tc>
        <w:tc>
          <w:tcPr>
            <w:tcW w:w="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761,229</w:t>
            </w:r>
          </w:p>
        </w:tc>
        <w:tc>
          <w:tcPr>
            <w:tcW w:w="14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80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Successor’s opening equity (deficit) as of July 31, 2024</w:t>
            </w:r>
          </w:p>
        </w:tc>
        <w:tc>
          <w:tcPr>
            <w:tcW w:w="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13,387,636</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89,786</w:t>
            </w:r>
          </w:p>
        </w:tc>
        <w:tc>
          <w:tcPr>
            <w:tcW w:w="520" w:type="dxa"/>
            <w:vAlign w:val="bottom"/>
            <w:gridSpan w:val="2"/>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(Successor)</w:t>
            </w:r>
          </w:p>
        </w:tc>
        <w:tc>
          <w:tcPr>
            <w:tcW w:w="1120" w:type="dxa"/>
            <w:vAlign w:val="bottom"/>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4320"/>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8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include its money market accounts (included as part of cash and cash equivalents), accounts receivable, accounts payable, common stock warrant liabilities (i.e. Convert Warrants and SVB Warrants), pre-funded warrant liabilities (i.e. PIPE Pre-funded Warrants), and convertible notes payables (i.e. Convertible Securities Notes and Legacy Adagio Convertible Notes). The recorded carrying amounts of cash and equivalents, accounts receivable and accounts payable approximates fair value due to their short-term nature. The convertible notes, common stock warrant liabilities, and pre-funded warrant liabilities are carried at fair value.</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Assets and liabilities recognized at fair value on a recurring basis in the consolidated balance sheets consist of cash equivalents, common stock warrant liabilities, pre-funded warrant liabilities, and convertible notes payables. These items are categorized based upon the level of judgment associated with the inputs used to measure their fair values. Fair value is defined as the price that would be received from selling an asset or paid to transfer a liability in an orderly transaction between market participants at the measurement date.</w:t>
      </w:r>
    </w:p>
    <w:p>
      <w:pPr>
        <w:spacing w:after="0" w:line="18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financial instruments at fair value based on the fair value hierarchy for each class of instrument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 (Successor)</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Account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Securities Notes (including accrued interest)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21,040</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 Warrants</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5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 (Successor)</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Account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19,014</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Securities Notes (including accrued interest*)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17,180</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 Warrants</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193"/>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*Accrued interest as of December 31, 2024 is recorded within “Other Accrued Liabilities.”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r>
    </w:tbl>
    <w:p>
      <w:pPr>
        <w:spacing w:after="0" w:line="221"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There were no transfers made among the three levels in the fair value hierarchy for the year ended December 31, 2025 (Successor), and for the periods from July 31, 2024 to December 31, 2024 (Successor), and January 1, 2024 to July 30, 2024 (Predecessor).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Bridge Financing Notes (Predecessor)</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October 27, 2022, Legacy Adagio entered into a note purchase agreement with investors for the issuance and sale of convertible promissory notes with an aggregate principal amount of $9.5 million at an interest rate of eight percent (8.0%) per annum. On April 4, 2023, November 28, 2023, and February 13, 2024, the October 2022 Convertible Notes were amended. Upon the consummation of the Business Combination, the principal and the accrued interest of the October 2022 Convertible Notes were converted into shares of Legacy Adagio common stock. Further, on the Closing Date, Legacy Adagio common stock was converted to the Company’s common stock based on the exchange ratio set forth in the Business Combination Agreement. Refer to </w:t>
      </w:r>
      <w:r>
        <w:rPr>
          <w:rFonts w:ascii="Times New Roman" w:cs="Times New Roman" w:eastAsia="Times New Roman" w:hAnsi="Times New Roman"/>
          <w:sz w:val="18"/>
          <w:szCs w:val="18"/>
          <w:i w:val="1"/>
          <w:iCs w:val="1"/>
          <w:color w:val="auto"/>
        </w:rPr>
        <w:t>Note 9 - Debt</w:t>
      </w:r>
      <w:r>
        <w:rPr>
          <w:rFonts w:ascii="Times New Roman" w:cs="Times New Roman" w:eastAsia="Times New Roman" w:hAnsi="Times New Roman"/>
          <w:sz w:val="18"/>
          <w:szCs w:val="18"/>
          <w:color w:val="auto"/>
        </w:rPr>
        <w:t xml:space="preserve"> for details.</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April 4, 2023, Legacy Adagio issued a $5.0 million convertible promissory note to Perceptive PIPE Investor that matured upon the termination of the Business Combination Agreement in accordance with its terms. The April 2023 Convertible Notes accrued simple interest at eight percent (8.0%) per annum. Additionally, Legacy Adagio obtained the right to issue up to $10.0 million in additional convertible promissory notes. On February 13, 2023, November 28, 2023, and February 13, 2024, the April 2023 Convertible Notes were amended. Prior to the Closing Date, the $15.0 million convertible promissory note had been drawn by Legacy Adagio.</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November 28, 2023, Legacy Adagio issued a $2.0 million convertible promissory note to Perceptive PIPE Investor that matured upon the termination of the Business Combination Agreement in accordance with its terms. The November 2023 Convertible Notes accrued simple interest at eight percent (8.0%) per annum. Additionally, Legacy Adagio obtained the right to issue up to $6.0 million in additional convertible promissory notes (“Delayed Draw Commitment”). On December 13, 2023, December 28, 2023, and February 13, 2024, the November 2023 Convertible Notes were amended. Prior to the Closing Date, the $8.0 million convertible promissory note had been drawn by Legacy Adagio.</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February 13, 2024, Legacy Adagio issued a $7.0 million convertible promissory note to Perceptive PIPE Investor that matured upon the termination of the Business Combination Agreement in accordance with its terms. The 2024 Bridge Financing Note accrued simple interest at eight percent (8.0%) per annum. Prior to the Closing Date, the $7.0 million convertible promissory note had been drawn by Legacy Adagio. Upon the consummation of the Business Combination, the 2024 Bridge Financing Note of $7.0 million converted into $7.0 million of the Company’s Convertible Securities Notes and 525,000 Convert Warrants. Refer to </w:t>
      </w:r>
      <w:r>
        <w:rPr>
          <w:rFonts w:ascii="Times New Roman" w:cs="Times New Roman" w:eastAsia="Times New Roman" w:hAnsi="Times New Roman"/>
          <w:sz w:val="18"/>
          <w:szCs w:val="18"/>
          <w:i w:val="1"/>
          <w:iCs w:val="1"/>
          <w:color w:val="auto"/>
        </w:rPr>
        <w:t>Note 9 - Debt</w:t>
      </w:r>
      <w:r>
        <w:rPr>
          <w:rFonts w:ascii="Times New Roman" w:cs="Times New Roman" w:eastAsia="Times New Roman" w:hAnsi="Times New Roman"/>
          <w:sz w:val="18"/>
          <w:szCs w:val="18"/>
          <w:color w:val="auto"/>
        </w:rPr>
        <w:t xml:space="preserve"> for details.</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May 21, 2024, Legacy Adagio issued a $3.0 million convertible promissory note to Perceptive PIPE Investor that matured upon the termination of the Business Combination Agreement in accordance with its terms. The May 2024 Convertible Notes accrued simple interest at eight percent (8.0%) per annum. Prior to the Closing Date, the $3.0 million convertible promissory note had been drawn by Legacy Adagio.</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June 25, 2024, Legacy Adagio issued a $2.5 million convertible promissory note to Perceptive PIPE Investor that matured upon the termination of the Business Combination Agreement in accordance with its terms. The June 2024 Convertible Notes accrued simple interest at eight percent (8.0%) per annum. Prior to the Closing Date, the $2.5 million convertible promissory note had been drawn by Legacy Adagio.</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July 23, 2024, Legacy Adagio issued a $1.0 million convertible promissory note to Perceptive PIPE Investor that matured upon the termination of the Business Combination Agreement in accordance with its terms. It accrued simple interest at eight percent (8.0%) per annum. Prior to the Closing Date, the $1.0 million convertible promissory note had been drawn by Legacy Adagio.</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 xml:space="preserve">Upon the consummation of the Business Combination, the principal of Bridge Financing Notes, along with its accrued but unpaid interest, was converted into the shares of the Company’s common stock and Base Warrants as part of the 2024 PIPE Financing. Refer to </w:t>
      </w:r>
      <w:r>
        <w:rPr>
          <w:rFonts w:ascii="Times New Roman" w:cs="Times New Roman" w:eastAsia="Times New Roman" w:hAnsi="Times New Roman"/>
          <w:sz w:val="18"/>
          <w:szCs w:val="18"/>
          <w:i w:val="1"/>
          <w:iCs w:val="1"/>
          <w:color w:val="auto"/>
        </w:rPr>
        <w:t>Note 9 - Debt</w:t>
      </w:r>
      <w:r>
        <w:rPr>
          <w:rFonts w:ascii="Times New Roman" w:cs="Times New Roman" w:eastAsia="Times New Roman" w:hAnsi="Times New Roman"/>
          <w:sz w:val="18"/>
          <w:szCs w:val="18"/>
          <w:color w:val="auto"/>
        </w:rPr>
        <w:t xml:space="preserve"> for details.</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measured Legacy Adagio Convertible Notes at fair value based on significant inputs not observable in the market, which caused them to be classified as Level 3 measurements within the fair value hierarchy.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the Legacy Adagio Convertible Notes as of July 31, 2024, prior to the Closing, the Company used the observed closing stock price of ARYA as of July 31, 2024, multiplied by the actual number of shares that the Legacy Adagio Convertible Notes converted into.</w:t>
      </w:r>
    </w:p>
    <w:p>
      <w:pPr>
        <w:spacing w:after="0" w:line="1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Level 3 convertible promissory notes measured at fair value for the period from January 1, 2024 to July 30, 2024 (Predecessor)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3"/>
                <w:szCs w:val="13"/>
                <w:color w:val="auto"/>
              </w:rPr>
            </w:pP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5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Period from January 1 to July 30, 2024 (Predecessor)</w:t>
            </w: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0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measurement</w:t>
            </w:r>
          </w:p>
        </w:tc>
        <w:tc>
          <w:tcPr>
            <w:tcW w:w="140" w:type="dxa"/>
            <w:vAlign w:val="bottom"/>
          </w:tcPr>
          <w:p>
            <w:pPr>
              <w:spacing w:after="0"/>
              <w:rPr>
                <w:sz w:val="12"/>
                <w:szCs w:val="12"/>
                <w:color w:val="auto"/>
              </w:rPr>
            </w:pPr>
          </w:p>
        </w:tc>
        <w:tc>
          <w:tcPr>
            <w:tcW w:w="700" w:type="dxa"/>
            <w:vAlign w:val="bottom"/>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73"/>
        </w:trPr>
        <w:tc>
          <w:tcPr>
            <w:tcW w:w="5120" w:type="dxa"/>
            <w:vAlign w:val="bottom"/>
            <w:gridSpan w:val="2"/>
            <w:vMerge w:val="continue"/>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9"/>
        </w:trPr>
        <w:tc>
          <w:tcPr>
            <w:tcW w:w="4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2022 Convertible Notes</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12,561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(4,304)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8,257</w:t>
            </w: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2023 Convertible Notes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18,135</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2023 Convertible Notes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(2,373)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9,739</w:t>
            </w: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2024 Convertible Notes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6,744</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2024 Convertible Notes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0" w:type="dxa"/>
            <w:vAlign w:val="bottom"/>
          </w:tcPr>
          <w:p>
            <w:pPr>
              <w:spacing w:after="0"/>
              <w:rPr>
                <w:sz w:val="1"/>
                <w:szCs w:val="1"/>
                <w:color w:val="auto"/>
              </w:rPr>
            </w:pPr>
          </w:p>
        </w:tc>
      </w:tr>
      <w:tr>
        <w:trPr>
          <w:trHeight w:val="21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2024 Convertible Notes</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2024 Convertible Notes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Securities Notes (Successor)</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July 31, 2024, the Company issued the $20.0 million Convertible Securities Notes to the Convert Investors having a maturity of three years and nine months after the Closing. The interest is accrued by quarterly compounding based on a 13% interest rate per annum. The Company received the funding from the Convertible Securities Notes as at the Closing. Refer to </w:t>
      </w:r>
      <w:r>
        <w:rPr>
          <w:rFonts w:ascii="Times New Roman" w:cs="Times New Roman" w:eastAsia="Times New Roman" w:hAnsi="Times New Roman"/>
          <w:sz w:val="18"/>
          <w:szCs w:val="18"/>
          <w:i w:val="1"/>
          <w:iCs w:val="1"/>
          <w:color w:val="auto"/>
        </w:rPr>
        <w:t>Note 9 - Debt</w:t>
      </w:r>
      <w:r>
        <w:rPr>
          <w:rFonts w:ascii="Times New Roman" w:cs="Times New Roman" w:eastAsia="Times New Roman" w:hAnsi="Times New Roman"/>
          <w:sz w:val="18"/>
          <w:szCs w:val="18"/>
          <w:color w:val="auto"/>
        </w:rPr>
        <w:t xml:space="preserve"> for details.</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measures the Convertible Securities Notes at fair value based on significant inputs not observable in the market, which caused them to be classified as Level 3 measurements within the fair value hierarchy.</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utilized the binomial lattice model to value the Convertible Securities Notes at the Closing Date as of December 31, 2025 and December 31, 2024. The following table summarizes the significant inputs as of the valuation dates: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Convertible Securities Notes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Pr>
          <w:p>
            <w:pPr>
              <w:spacing w:after="0"/>
              <w:rPr>
                <w:sz w:val="15"/>
                <w:szCs w:val="15"/>
                <w:color w:val="auto"/>
              </w:rPr>
            </w:pPr>
          </w:p>
        </w:tc>
        <w:tc>
          <w:tcPr>
            <w:tcW w:w="13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42"/>
        </w:trPr>
        <w:tc>
          <w:tcPr>
            <w:tcW w:w="59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vMerge w:val="continue"/>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4.20 %</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Level 3 convertible promissory notes measured at fair value for the period from July 31, 2024 to December 31, 2024 (Successor)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Convertible Securities Notes - July 31, 2024 to December 31, 2024 (Successor)</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10"/>
        </w:trPr>
        <w:tc>
          <w:tcPr>
            <w:tcW w:w="7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17,005</w:t>
            </w:r>
          </w:p>
        </w:tc>
      </w:tr>
      <w:tr>
        <w:trPr>
          <w:trHeight w:val="216"/>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r>
      <w:tr>
        <w:trPr>
          <w:trHeight w:val="216"/>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measurement adjustments</w:t>
            </w: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09"/>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17,180</w:t>
            </w:r>
          </w:p>
        </w:tc>
      </w:tr>
      <w:tr>
        <w:trPr>
          <w:trHeight w:val="20"/>
        </w:trPr>
        <w:tc>
          <w:tcPr>
            <w:tcW w:w="7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-16510</wp:posOffset>
            </wp:positionV>
            <wp:extent cx="564896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4"/>
          <w:szCs w:val="14"/>
          <w:i w:val="1"/>
          <w:iCs w:val="1"/>
          <w:color w:val="auto"/>
        </w:rPr>
        <w:t>*As of December 31, 2024, the balance includes accrued interest, which is recorded within “Other Accrued Liabilities.”</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Level 3 convertible promissory notes measured at fair value for the year ended December 31, 2025 (Successor)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Convertible Securities Notes - Year Ended December 31, 2025 (Successor)</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9"/>
        </w:trPr>
        <w:tc>
          <w:tcPr>
            <w:tcW w:w="7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17,180</w:t>
            </w:r>
          </w:p>
        </w:tc>
      </w:tr>
      <w:tr>
        <w:trPr>
          <w:trHeight w:val="216"/>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r>
      <w:tr>
        <w:trPr>
          <w:trHeight w:val="216"/>
        </w:trPr>
        <w:tc>
          <w:tcPr>
            <w:tcW w:w="7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measurement adjustments</w:t>
            </w: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09"/>
        </w:trPr>
        <w:tc>
          <w:tcPr>
            <w:tcW w:w="7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21,040</w:t>
            </w:r>
          </w:p>
        </w:tc>
      </w:tr>
      <w:tr>
        <w:trPr>
          <w:trHeight w:val="20"/>
        </w:trPr>
        <w:tc>
          <w:tcPr>
            <w:tcW w:w="7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-16510</wp:posOffset>
            </wp:positionV>
            <wp:extent cx="564896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4"/>
          <w:szCs w:val="14"/>
          <w:i w:val="1"/>
          <w:iCs w:val="1"/>
          <w:color w:val="auto"/>
        </w:rPr>
        <w:t>*As of December 31, 2024, the balance includes accrued interest, which is recorded within “Other Accrued Liabilities.”</w:t>
      </w:r>
    </w:p>
    <w:p>
      <w:pPr>
        <w:spacing w:after="0" w:line="3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 (Predecessor)</w:t>
      </w:r>
    </w:p>
    <w:p>
      <w:pPr>
        <w:spacing w:after="0" w:line="229" w:lineRule="exact"/>
        <w:rPr>
          <w:sz w:val="20"/>
          <w:szCs w:val="20"/>
          <w:color w:val="auto"/>
        </w:rPr>
      </w:pPr>
    </w:p>
    <w:p>
      <w:pPr>
        <w:ind w:left="700" w:hanging="326"/>
        <w:spacing w:after="0"/>
        <w:tabs>
          <w:tab w:leader="none" w:pos="7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E Pre-funded Warrants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June 25, 2024, the Legacy Adagio issued to a certain investor the Series E Pre-funded Warrants to purchase the Legacy Adagio’s Series E Preferred Stock, in exchange for the investor’s existing holding of Series E Preferred Stock. The exercise price of the pre-funded warrants was $0.001 per warrant share. The Company measured the pre-funded warrants at fair value based on the indicated fair value of Series E Preferred Stock, which is not observable in the market. The measurement caused the pre-funded warrant to be classified as Level 3 measurements within the fair value hierarchy. Changes in the fair value of the pre-funded warrants were recognized as warrant liabilities fair value adjustment within the consolidated statements of operations and comprehensive loss. Refer to </w:t>
      </w:r>
      <w:r>
        <w:rPr>
          <w:rFonts w:ascii="Times New Roman" w:cs="Times New Roman" w:eastAsia="Times New Roman" w:hAnsi="Times New Roman"/>
          <w:sz w:val="18"/>
          <w:szCs w:val="18"/>
          <w:i w:val="1"/>
          <w:iCs w:val="1"/>
          <w:color w:val="auto"/>
        </w:rPr>
        <w:t>Note 10 - Warrants</w:t>
      </w:r>
      <w:r>
        <w:rPr>
          <w:rFonts w:ascii="Times New Roman" w:cs="Times New Roman" w:eastAsia="Times New Roman" w:hAnsi="Times New Roman"/>
          <w:sz w:val="18"/>
          <w:szCs w:val="18"/>
          <w:color w:val="auto"/>
        </w:rPr>
        <w:t xml:space="preserve"> for additional information.</w:t>
      </w:r>
    </w:p>
    <w:p>
      <w:pPr>
        <w:spacing w:after="0" w:line="18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Series E Pre-funded Warrants was based on the fair value of the Series E Preferred Stock minus the exercise price. As of June 30, 2024, the Company estimated the fair value of the Series E Preferred Stock by applying a conversion factor of 1.08 to the indicated fair value of Legacy Adagio common stock.</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of July 31, 2024, prior to the Closing, the Company estimated the fair value of Series E Pre-funded Warrants based on the observed closing stock price of ARYA as of July 31, 2024, multiplied by the actual number of shares that the Series E Pre-funded Warrants converted into. The estimated fair value of the Series E Pre-funded Warrants as of June 30, 2024 and July 31, 2024, prior to the Closing was $0.3 million and $0.2 million, respectively. The change in fair value for the period from July 1, 2024, to July 30, 2024 (Predecessor) was $0.1 million.</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the Series E Pre-funded Warrants were automatically cancelled and extinguished and converted into shares of the Company’s common stock based on the exchange ratio set forth in the Business Combination Agreement.</w:t>
      </w:r>
    </w:p>
    <w:p>
      <w:pPr>
        <w:spacing w:after="0" w:line="176" w:lineRule="exact"/>
        <w:rPr>
          <w:sz w:val="20"/>
          <w:szCs w:val="20"/>
          <w:color w:val="auto"/>
        </w:rPr>
      </w:pPr>
    </w:p>
    <w:p>
      <w:pPr>
        <w:ind w:left="380"/>
        <w:spacing w:after="0"/>
        <w:tabs>
          <w:tab w:leader="none" w:pos="68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7"/>
          <w:szCs w:val="17"/>
          <w:color w:val="auto"/>
        </w:rPr>
        <w:t>SVB Warrants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On February 3, 2023, in conjunction with the Loan and Security Agreement (“LSA”) with Silicon Valley Bank (“SVB Term Loan”), Legacy Adagio issued Initial Warrants (as defined below) to purchase shares of common stock of the Company, and a contingent right to obtain an additional share of the common stock upon the non-occurrence of the Interest Only Milestone (as defined below). The Company measured SVB Warrants at fair value based on significant inputs not observable in the market, which caused them to be classified as Level 3 measurements within the fair value hierarchy. Changes in the fair value of the common stock warrants related to updated assumptions and estimates were recognized as warrant liabilities fair value adjustment within the consolidated statements of operations and comprehensive loss.</w:t>
      </w:r>
    </w:p>
    <w:p>
      <w:pPr>
        <w:spacing w:after="0" w:line="18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fair value for the periods from July 1, 2024 to July 30, 2024 (Predecessor), and from January 1, 2024 to July 30, 2024 (Predecessor).</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SVB Warrants were terminated prior to the consummation of the Business Combination as the fair market value of Legacy Adagio common stock was lower than the warrant exercise price before the Closing. Refer to </w:t>
      </w:r>
      <w:r>
        <w:rPr>
          <w:rFonts w:ascii="Times New Roman" w:cs="Times New Roman" w:eastAsia="Times New Roman" w:hAnsi="Times New Roman"/>
          <w:sz w:val="18"/>
          <w:szCs w:val="18"/>
          <w:i w:val="1"/>
          <w:iCs w:val="1"/>
          <w:color w:val="auto"/>
        </w:rPr>
        <w:t>Note 10 - Warrants</w:t>
      </w:r>
      <w:r>
        <w:rPr>
          <w:rFonts w:ascii="Times New Roman" w:cs="Times New Roman" w:eastAsia="Times New Roman" w:hAnsi="Times New Roman"/>
          <w:sz w:val="18"/>
          <w:szCs w:val="18"/>
          <w:color w:val="auto"/>
        </w:rPr>
        <w:t xml:space="preserve"> for additional information.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 (Successor)</w:t>
      </w:r>
    </w:p>
    <w:p>
      <w:pPr>
        <w:spacing w:after="0" w:line="229" w:lineRule="exact"/>
        <w:rPr>
          <w:sz w:val="20"/>
          <w:szCs w:val="20"/>
          <w:color w:val="auto"/>
        </w:rPr>
      </w:pPr>
    </w:p>
    <w:p>
      <w:pPr>
        <w:ind w:left="700" w:hanging="326"/>
        <w:spacing w:after="0"/>
        <w:tabs>
          <w:tab w:leader="none" w:pos="7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Warrants</w:t>
      </w:r>
    </w:p>
    <w:p>
      <w:pPr>
        <w:spacing w:after="0" w:line="22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 xml:space="preserve">On July 31, 2024, the Company issued 1,500,000 Convert Warrants in connection with the issuance of the $20.0 million Convertible Securities Notes. Refer to </w:t>
      </w:r>
      <w:r>
        <w:rPr>
          <w:rFonts w:ascii="Times New Roman" w:cs="Times New Roman" w:eastAsia="Times New Roman" w:hAnsi="Times New Roman"/>
          <w:sz w:val="18"/>
          <w:szCs w:val="18"/>
          <w:i w:val="1"/>
          <w:iCs w:val="1"/>
          <w:color w:val="auto"/>
        </w:rPr>
        <w:t>Note 10 - Warrants</w:t>
      </w:r>
      <w:r>
        <w:rPr>
          <w:rFonts w:ascii="Times New Roman" w:cs="Times New Roman" w:eastAsia="Times New Roman" w:hAnsi="Times New Roman"/>
          <w:sz w:val="18"/>
          <w:szCs w:val="18"/>
          <w:color w:val="auto"/>
        </w:rPr>
        <w:t xml:space="preserve"> for additional information.</w:t>
      </w:r>
    </w:p>
    <w:p>
      <w:pPr>
        <w:spacing w:after="0" w:line="16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set forth in the agreement of the Convertible Securities Notes, the Convert Warrants are exercisable on a cashless basis or on a gross basis for one share of the Company’s common stock at $24.0 per share, subject to adjustments. The Company may be required to cash settle the Convert Warrants when it fails to timely deliver shares to the holder who exercises the Convert Warrants or upon the occurrence of a fundamental transaction. It is determined that the Convert Warrants do not meet the equity classification requirements under ASC 815 as the Convert Warrants may require cash settlement outside of the Company’s control upon a failure of timely delivery of shares or a fundamental transaction, and therefore the Convert Warrants are accounted for as derivative liabilities, and measured at fair value both initially and subsequently with changes in fair value recognized as warrant liabilities fair value adjustment within the consolidated statements of operations and comprehensive loss.</w:t>
      </w:r>
    </w:p>
    <w:p>
      <w:pPr>
        <w:spacing w:after="0" w:line="18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Convert Warrants are classified as Level 3 measurements within the fair value hierarchy. The Company utilized the Black-Scholes-Merton option model to value the Convertible Securities Notes as of December 31, 2025 and December 31, 2024. The following table summarizes the significant inputs as of the valuation dates: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Convert Warrants</w:t>
            </w:r>
          </w:p>
        </w:tc>
        <w:tc>
          <w:tcPr>
            <w:tcW w:w="22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42"/>
        </w:trPr>
        <w:tc>
          <w:tcPr>
            <w:tcW w:w="6040" w:type="dxa"/>
            <w:vAlign w:val="bottom"/>
            <w:gridSpan w:val="2"/>
            <w:vMerge w:val="continue"/>
          </w:tcPr>
          <w:p>
            <w:pPr>
              <w:spacing w:after="0"/>
              <w:rPr>
                <w:sz w:val="12"/>
                <w:szCs w:val="12"/>
                <w:color w:val="auto"/>
              </w:rPr>
            </w:pPr>
          </w:p>
        </w:tc>
        <w:tc>
          <w:tcPr>
            <w:tcW w:w="126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2"/>
                <w:szCs w:val="12"/>
                <w:color w:val="auto"/>
              </w:rPr>
            </w:pPr>
          </w:p>
        </w:tc>
        <w:tc>
          <w:tcPr>
            <w:tcW w:w="124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price</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tcPr>
          <w:p>
            <w:pPr>
              <w:spacing w:after="0"/>
              <w:rPr>
                <w:sz w:val="18"/>
                <w:szCs w:val="18"/>
                <w:color w:val="auto"/>
              </w:rPr>
            </w:pPr>
          </w:p>
        </w:tc>
        <w:tc>
          <w:tcPr>
            <w:tcW w:w="12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70.0 %</w:t>
            </w:r>
          </w:p>
        </w:tc>
        <w:tc>
          <w:tcPr>
            <w:tcW w:w="200" w:type="dxa"/>
            <w:vAlign w:val="bottom"/>
          </w:tcPr>
          <w:p>
            <w:pPr>
              <w:spacing w:after="0"/>
              <w:rPr>
                <w:sz w:val="18"/>
                <w:szCs w:val="18"/>
                <w:color w:val="auto"/>
              </w:rPr>
            </w:pPr>
          </w:p>
        </w:tc>
        <w:tc>
          <w:tcPr>
            <w:tcW w:w="12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97"/>
              </w:rPr>
              <w:t>65.0 %</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3.72 %</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7"/>
              </w:rPr>
              <w:t>4.36 %</w:t>
            </w:r>
          </w:p>
        </w:tc>
        <w:tc>
          <w:tcPr>
            <w:tcW w:w="0" w:type="dxa"/>
            <w:vAlign w:val="bottom"/>
          </w:tcPr>
          <w:p>
            <w:pPr>
              <w:spacing w:after="0"/>
              <w:rPr>
                <w:sz w:val="1"/>
                <w:szCs w:val="1"/>
                <w:color w:val="auto"/>
              </w:rPr>
            </w:pPr>
          </w:p>
        </w:tc>
      </w:tr>
      <w:tr>
        <w:trPr>
          <w:trHeight w:val="216"/>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20" w:type="dxa"/>
            <w:vAlign w:val="bottom"/>
          </w:tcPr>
          <w:p>
            <w:pPr>
              <w:spacing w:after="0"/>
              <w:rPr>
                <w:sz w:val="18"/>
                <w:szCs w:val="18"/>
                <w:color w:val="auto"/>
              </w:rPr>
            </w:pPr>
          </w:p>
        </w:tc>
        <w:tc>
          <w:tcPr>
            <w:tcW w:w="12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w w:val="95"/>
              </w:rPr>
              <w:t>— %</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5.58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6.58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Level 3 Convert Warrants measured at fair value for the period from July 31, 2024 to December 31, 2024 (Successor)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Convert Warrants - July 31, 2024 to December 31, 2024 (Successor)</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0"/>
        </w:trPr>
        <w:tc>
          <w:tcPr>
            <w:tcW w:w="7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r>
      <w:tr>
        <w:trPr>
          <w:trHeight w:val="216"/>
        </w:trPr>
        <w:tc>
          <w:tcPr>
            <w:tcW w:w="7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Fair value measurement adjustments</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w:t>
            </w:r>
          </w:p>
        </w:tc>
      </w:tr>
      <w:tr>
        <w:trPr>
          <w:trHeight w:val="210"/>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0"/>
        </w:trPr>
        <w:tc>
          <w:tcPr>
            <w:tcW w:w="7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changes in the Level 3 Convert Warrants measured at fair value for the year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2025 (Successor)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Convert Warrants - Year Ended December 31, 2025 (Successor)</w:t>
            </w:r>
          </w:p>
        </w:tc>
        <w:tc>
          <w:tcPr>
            <w:tcW w:w="33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measurement adjustments</w:t>
            </w:r>
          </w:p>
        </w:tc>
        <w:tc>
          <w:tcPr>
            <w:tcW w:w="33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3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320" w:type="dxa"/>
            <w:vAlign w:val="bottom"/>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1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1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tabs>
          <w:tab w:leader="none" w:pos="68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7"/>
          <w:szCs w:val="17"/>
          <w:color w:val="auto"/>
        </w:rPr>
        <w:t>PIPE Pre-funded Warrants</w:t>
      </w:r>
    </w:p>
    <w:p>
      <w:pPr>
        <w:spacing w:after="0" w:line="22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July 31, 2024, the Company issued 670,000 pre-funded warrants in exchange for cash proceeds in the 2024 PIPE Financing to certain Other PIPE Investors (“PIPE Pre-funded Warrants”). Refer to </w:t>
      </w:r>
      <w:r>
        <w:rPr>
          <w:rFonts w:ascii="Times New Roman" w:cs="Times New Roman" w:eastAsia="Times New Roman" w:hAnsi="Times New Roman"/>
          <w:sz w:val="18"/>
          <w:szCs w:val="18"/>
          <w:i w:val="1"/>
          <w:iCs w:val="1"/>
          <w:color w:val="auto"/>
        </w:rPr>
        <w:t>Note 10 - Warrants</w:t>
      </w:r>
      <w:r>
        <w:rPr>
          <w:rFonts w:ascii="Times New Roman" w:cs="Times New Roman" w:eastAsia="Times New Roman" w:hAnsi="Times New Roman"/>
          <w:sz w:val="18"/>
          <w:szCs w:val="18"/>
          <w:color w:val="auto"/>
        </w:rPr>
        <w:t xml:space="preserve"> for additional information.</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As set forth in the agreement of the PIPE Pre-funded Warrants, the PIPE Pre-funded Warrants are exercisable on a cashless basis or on a gross basis for one share of the Company’s common stock at $0.01 per share, subject to adjustments. The Company may be required to cash settle the PIPE Pre-funded Warrants when it fails to timely deliver shares to the holder who exercises the PIPE Pre-funded Warrants or upon the occurrence of a fundamental transaction. It is determined that the PIPE Pre-funded Warrants do not meet the equity classification requirements under ASC 815 as the PIPE Pre-funded Warrants may require cash settlement outside of the Company’s control upon a failure of timely delivery of shares or a fundamental transaction, and therefore the PIPE Pre-funded Warrants are accounted for as derivative liabilities, and measured at fair value both initially and subsequently with changes in fair value recognized as warrant liabilities fair value adjustment within the consolidated statements of operations and comprehensive loss.</w:t>
      </w:r>
    </w:p>
    <w:p>
      <w:pPr>
        <w:spacing w:after="0" w:line="18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PIPE Pre-funded Warrants are classified as Level 3 measurements within the fair value hierarchy. The fair value of the PIPE Pre-funded Warrants is based on the fair value of the Company’s common stock minus the exercise price.</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On December 26, 2024, 670,000 pre-funded warrant shares were exercised on a cashless basis for 663,096 shares of the Company’s common stock. The exercise price for the pre-funded warrants was $0.9705 per share.</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Level 3 PIPE Pre-funded Warrants measured at fair value for the period from July 31, 2024 to December 31, 2024 (Successor)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PIPE Pre-funded Warrants - July 31, 2024 to December 31, 2024 (Successor)</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9"/>
        </w:trPr>
        <w:tc>
          <w:tcPr>
            <w:tcW w:w="7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w:t>
            </w:r>
          </w:p>
        </w:tc>
      </w:tr>
      <w:tr>
        <w:trPr>
          <w:trHeight w:val="216"/>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measurement adjustments</w:t>
            </w: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w:t>
            </w:r>
          </w:p>
        </w:tc>
      </w:tr>
      <w:tr>
        <w:trPr>
          <w:trHeight w:val="210"/>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 Inventory, net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Inventory as of December 31, 2025 and December 31, 2024 consists of the following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Successor</w:t>
            </w:r>
          </w:p>
        </w:tc>
      </w:tr>
      <w:tr>
        <w:trPr>
          <w:trHeight w:val="183"/>
        </w:trPr>
        <w:tc>
          <w:tcPr>
            <w:tcW w:w="37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8"/>
        </w:trPr>
        <w:tc>
          <w:tcPr>
            <w:tcW w:w="3780" w:type="dxa"/>
            <w:vAlign w:val="bottom"/>
          </w:tcPr>
          <w:p>
            <w:pPr>
              <w:spacing w:after="0"/>
              <w:rPr>
                <w:sz w:val="18"/>
                <w:szCs w:val="18"/>
                <w:color w:val="auto"/>
              </w:rPr>
            </w:pPr>
          </w:p>
        </w:tc>
        <w:tc>
          <w:tcPr>
            <w:tcW w:w="2800" w:type="dxa"/>
            <w:vAlign w:val="bottom"/>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gridSpan w:val="2"/>
          </w:tcPr>
          <w:p>
            <w:pPr>
              <w:jc w:val="right"/>
              <w:ind w:right="77"/>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10"/>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1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26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w:t>
            </w:r>
          </w:p>
        </w:tc>
      </w:tr>
      <w:tr>
        <w:trPr>
          <w:trHeight w:val="20"/>
        </w:trPr>
        <w:tc>
          <w:tcPr>
            <w:tcW w:w="37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Obsolete and expired inventory are expensed as incurred. Inventory is recorded net of obsolescence and manufacturing scrap of $0.3 million and $0.9 million as of December 31, 2025 (Successor) and December 31, 2024 (Successor), respectively. As of December 31, 2025 and December 31, 2024, all of the Company’s inventory consisted of catheters and consoles.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 Property and Equipment</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Company’s property and equipment, net, as of December 31, 2025 and December 31, 2024 consists of the following (in thousands):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3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Successor</w:t>
            </w:r>
          </w:p>
        </w:tc>
      </w:tr>
      <w:tr>
        <w:trPr>
          <w:trHeight w:val="186"/>
        </w:trPr>
        <w:tc>
          <w:tcPr>
            <w:tcW w:w="43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6"/>
                <w:szCs w:val="16"/>
                <w:color w:val="auto"/>
              </w:rPr>
            </w:pPr>
          </w:p>
        </w:tc>
      </w:tr>
      <w:tr>
        <w:trPr>
          <w:trHeight w:val="218"/>
        </w:trPr>
        <w:tc>
          <w:tcPr>
            <w:tcW w:w="4380" w:type="dxa"/>
            <w:vAlign w:val="bottom"/>
          </w:tcPr>
          <w:p>
            <w:pPr>
              <w:spacing w:after="0"/>
              <w:rPr>
                <w:sz w:val="18"/>
                <w:szCs w:val="18"/>
                <w:color w:val="auto"/>
              </w:rPr>
            </w:pPr>
          </w:p>
        </w:tc>
        <w:tc>
          <w:tcPr>
            <w:tcW w:w="234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8"/>
                <w:szCs w:val="18"/>
                <w:color w:val="auto"/>
              </w:rPr>
            </w:pPr>
          </w:p>
        </w:tc>
        <w:tc>
          <w:tcPr>
            <w:tcW w:w="300" w:type="dxa"/>
            <w:vAlign w:val="bottom"/>
            <w:gridSpan w:val="2"/>
          </w:tcPr>
          <w:p>
            <w:pPr>
              <w:jc w:val="right"/>
              <w:ind w:right="33"/>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8"/>
                <w:szCs w:val="18"/>
                <w:color w:val="auto"/>
              </w:rPr>
            </w:pPr>
          </w:p>
        </w:tc>
      </w:tr>
      <w:tr>
        <w:trPr>
          <w:trHeight w:val="210"/>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Consoles</w:t>
            </w:r>
          </w:p>
        </w:tc>
        <w:tc>
          <w:tcPr>
            <w:tcW w:w="2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20" w:type="dxa"/>
            <w:vAlign w:val="bottom"/>
          </w:tcPr>
          <w:p>
            <w:pPr>
              <w:spacing w:after="0"/>
              <w:rPr>
                <w:sz w:val="18"/>
                <w:szCs w:val="18"/>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0" w:type="dxa"/>
            <w:vAlign w:val="bottom"/>
          </w:tcPr>
          <w:p>
            <w:pPr>
              <w:spacing w:after="0"/>
              <w:rPr>
                <w:sz w:val="18"/>
                <w:szCs w:val="18"/>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 w:type="dxa"/>
            <w:vAlign w:val="bottom"/>
          </w:tcPr>
          <w:p>
            <w:pPr>
              <w:spacing w:after="0"/>
              <w:rPr>
                <w:sz w:val="18"/>
                <w:szCs w:val="18"/>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Tools and molds</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tcPr>
          <w:p>
            <w:pPr>
              <w:spacing w:after="0"/>
              <w:rPr>
                <w:sz w:val="18"/>
                <w:szCs w:val="18"/>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0" w:type="dxa"/>
            <w:vAlign w:val="bottom"/>
          </w:tcPr>
          <w:p>
            <w:pPr>
              <w:spacing w:after="0"/>
              <w:rPr>
                <w:sz w:val="18"/>
                <w:szCs w:val="18"/>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Demo equipment</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r>
      <w:tr>
        <w:trPr>
          <w:trHeight w:val="21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r>
      <w:tr>
        <w:trPr>
          <w:trHeight w:val="216"/>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r>
      <w:tr>
        <w:trPr>
          <w:trHeight w:val="20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20" w:type="dxa"/>
            <w:vAlign w:val="bottom"/>
          </w:tcPr>
          <w:p>
            <w:pPr>
              <w:spacing w:after="0"/>
              <w:rPr>
                <w:sz w:val="18"/>
                <w:szCs w:val="18"/>
                <w:color w:val="auto"/>
              </w:rPr>
            </w:pPr>
          </w:p>
        </w:tc>
      </w:tr>
      <w:tr>
        <w:trPr>
          <w:trHeight w:val="21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20" w:type="dxa"/>
            <w:vAlign w:val="bottom"/>
          </w:tcPr>
          <w:p>
            <w:pPr>
              <w:spacing w:after="0"/>
              <w:rPr>
                <w:sz w:val="18"/>
                <w:szCs w:val="18"/>
                <w:color w:val="auto"/>
              </w:rPr>
            </w:pPr>
          </w:p>
        </w:tc>
      </w:tr>
      <w:tr>
        <w:trPr>
          <w:trHeight w:val="209"/>
        </w:trPr>
        <w:tc>
          <w:tcPr>
            <w:tcW w:w="4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20" w:type="dxa"/>
            <w:vAlign w:val="bottom"/>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Depreciation expense was $0.9 million, $0.7 million and $0.3 million for the year ended December 31, 2025 (Successor), and for the periods from July 31, 2024 to December 31, 2024 (Successor), and January 1, 2024 to July 30, 2024 (Predecessor),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 Goodwill, net and Intangible Assets, net</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Company’s intangible assets, net as of December 31, 2025 and December 31, 2024 consists of the following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7"/>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7"/>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right"/>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4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5"/>
                <w:szCs w:val="15"/>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IPR&amp;D</w:t>
            </w: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6,969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0" w:type="dxa"/>
            <w:vAlign w:val="bottom"/>
          </w:tcPr>
          <w:p>
            <w:pPr>
              <w:spacing w:after="0"/>
              <w:rPr>
                <w:sz w:val="1"/>
                <w:szCs w:val="1"/>
                <w:color w:val="auto"/>
              </w:rPr>
            </w:pPr>
          </w:p>
        </w:tc>
      </w:tr>
      <w:tr>
        <w:trPr>
          <w:trHeight w:val="20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6,969</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center"/>
              <w:ind w:left="154"/>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10"/>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800" w:type="dxa"/>
            <w:vAlign w:val="bottom"/>
          </w:tcPr>
          <w:p>
            <w:pPr>
              <w:spacing w:after="0"/>
              <w:rPr>
                <w:sz w:val="10"/>
                <w:szCs w:val="10"/>
                <w:color w:val="auto"/>
              </w:rPr>
            </w:pPr>
          </w:p>
        </w:tc>
        <w:tc>
          <w:tcPr>
            <w:tcW w:w="7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20" w:type="dxa"/>
            <w:vAlign w:val="bottom"/>
          </w:tcPr>
          <w:p>
            <w:pPr>
              <w:spacing w:after="0"/>
              <w:rPr>
                <w:sz w:val="10"/>
                <w:szCs w:val="10"/>
                <w:color w:val="auto"/>
              </w:rPr>
            </w:pPr>
          </w:p>
        </w:tc>
        <w:tc>
          <w:tcPr>
            <w:tcW w:w="520" w:type="dxa"/>
            <w:vAlign w:val="bottom"/>
            <w:gridSpan w:val="2"/>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6"/>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0" w:type="dxa"/>
            <w:vAlign w:val="bottom"/>
            <w:gridSpan w:val="2"/>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center"/>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48"/>
        </w:trPr>
        <w:tc>
          <w:tcPr>
            <w:tcW w:w="4800" w:type="dxa"/>
            <w:vAlign w:val="bottom"/>
            <w:vMerge w:val="restart"/>
          </w:tcPr>
          <w:p>
            <w:pPr>
              <w:ind w:left="47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4"/>
            <w:vMerge w:val="continue"/>
          </w:tcPr>
          <w:p>
            <w:pPr>
              <w:spacing w:after="0"/>
              <w:rPr>
                <w:sz w:val="12"/>
                <w:szCs w:val="12"/>
                <w:color w:val="auto"/>
              </w:rPr>
            </w:pPr>
          </w:p>
        </w:tc>
        <w:tc>
          <w:tcPr>
            <w:tcW w:w="820" w:type="dxa"/>
            <w:vAlign w:val="bottom"/>
            <w:gridSpan w:val="6"/>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 Carrying</w:t>
            </w:r>
          </w:p>
        </w:tc>
        <w:tc>
          <w:tcPr>
            <w:tcW w:w="1020" w:type="dxa"/>
            <w:vAlign w:val="bottom"/>
            <w:gridSpan w:val="6"/>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48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  Amount</w:t>
            </w:r>
          </w:p>
        </w:tc>
        <w:tc>
          <w:tcPr>
            <w:tcW w:w="10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 Amortization ​</w:t>
            </w:r>
          </w:p>
        </w:tc>
        <w:tc>
          <w:tcPr>
            <w:tcW w:w="60" w:type="dxa"/>
            <w:vAlign w:val="bottom"/>
          </w:tcPr>
          <w:p>
            <w:pPr>
              <w:spacing w:after="0"/>
              <w:rPr>
                <w:sz w:val="15"/>
                <w:szCs w:val="15"/>
                <w:color w:val="auto"/>
              </w:rPr>
            </w:pPr>
          </w:p>
        </w:tc>
        <w:tc>
          <w:tcPr>
            <w:tcW w:w="8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48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IPR&amp;D</w:t>
            </w: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$ 22,100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(15,131)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0" w:type="dxa"/>
            <w:vAlign w:val="bottom"/>
          </w:tcPr>
          <w:p>
            <w:pPr>
              <w:spacing w:after="0"/>
              <w:rPr>
                <w:sz w:val="1"/>
                <w:szCs w:val="1"/>
                <w:color w:val="auto"/>
              </w:rPr>
            </w:pPr>
          </w:p>
        </w:tc>
      </w:tr>
      <w:tr>
        <w:trPr>
          <w:trHeight w:val="216"/>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Developed technology</w:t>
            </w:r>
          </w:p>
        </w:tc>
        <w:tc>
          <w:tcPr>
            <w:tcW w:w="640" w:type="dxa"/>
            <w:vAlign w:val="bottom"/>
            <w:gridSpan w:val="2"/>
          </w:tcPr>
          <w:p>
            <w:pPr>
              <w:jc w:val="center"/>
              <w:ind w:left="99"/>
              <w:spacing w:after="0"/>
              <w:rPr>
                <w:sz w:val="20"/>
                <w:szCs w:val="20"/>
                <w:color w:val="auto"/>
              </w:rPr>
            </w:pPr>
            <w:r>
              <w:rPr>
                <w:rFonts w:ascii="Times New Roman" w:cs="Times New Roman" w:eastAsia="Times New Roman" w:hAnsi="Times New Roman"/>
                <w:sz w:val="18"/>
                <w:szCs w:val="18"/>
                <w:color w:val="auto"/>
                <w:w w:val="97"/>
              </w:rPr>
              <w:t>5.0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97"/>
              </w:rPr>
              <w:t>(353)</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(3,747)</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$ 26,200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(353)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(18,878)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was no amortization of intangible assets for the year ended December 31, 2025 (Successor).</w:t>
      </w:r>
    </w:p>
    <w:p>
      <w:pPr>
        <w:spacing w:after="0" w:line="225"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For the period from January 1, 2024 to July 30, 2024 (Predecessor), the Company performed a qualitative assessment of its indefinite-lived intangible assets for impairment and determined that no indicators of impairment were present. Based on this assessment, the Company concluded that it was not more likely than not that the fair value of the indefinite-lived intangible assets was less than their carrying amounts. Accordingly, no quantitative impairment testing was required. No impairment charges related to indefinite-lived intangible assets were recorded during the period from January 1, 2024 to July 30, 2024 (Predecessor).</w:t>
      </w:r>
    </w:p>
    <w:p>
      <w:pPr>
        <w:spacing w:after="0" w:line="187" w:lineRule="exact"/>
        <w:rPr>
          <w:sz w:val="20"/>
          <w:szCs w:val="20"/>
          <w:color w:val="auto"/>
        </w:rPr>
      </w:pPr>
    </w:p>
    <w:p>
      <w:pPr>
        <w:jc w:val="both"/>
        <w:ind w:left="60" w:right="59" w:firstLine="410"/>
        <w:spacing w:after="0" w:line="258" w:lineRule="auto"/>
        <w:rPr>
          <w:sz w:val="20"/>
          <w:szCs w:val="20"/>
          <w:color w:val="auto"/>
        </w:rPr>
      </w:pPr>
      <w:r>
        <w:rPr>
          <w:rFonts w:ascii="Times New Roman" w:cs="Times New Roman" w:eastAsia="Times New Roman" w:hAnsi="Times New Roman"/>
          <w:sz w:val="18"/>
          <w:szCs w:val="18"/>
          <w:color w:val="auto"/>
        </w:rPr>
        <w:t>During the fourth quarter of 2024, the Company performed an impairment assessment on its indefinite lived intangible assets, and determined that as of December 31, 2024, the fair value of its intangible assets was less than the carrying amount. As a result, the Company recorded an $18.9 million impairment charge during the period from July 31, 2024, to December 31, 2024 (Successor). The impairment was driven by a sustained decline in the Company’s share price and market capitalization.</w:t>
      </w:r>
    </w:p>
    <w:p>
      <w:pPr>
        <w:spacing w:after="0" w:line="183"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(Successor), the Company performed a qualitative assessment of its indefinite-lived intangible assets for impairment and determined that no indicators of impairment were present. Based on this assessment, the Company concluded that it was not more likely than not that the fair value of the indefinite-lived intangible assets was less than their carrying amounts. Accordingly, no quantitative impairment testing was required. No impairment charges related to indefinite-lived intangible assets were recorded during the year ended December 31, 2025 (Successor).</w:t>
      </w:r>
    </w:p>
    <w:p>
      <w:pPr>
        <w:sectPr>
          <w:pgSz w:w="11900" w:h="16838" w:orient="portrait"/>
          <w:cols w:equalWidth="0" w:num="1">
            <w:col w:w="9019"/>
          </w:cols>
          <w:pgMar w:left="1440" w:top="513" w:right="1440" w:bottom="1440" w:gutter="0" w:footer="0" w:header="0"/>
        </w:sectPr>
      </w:pP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presents the changes in goodwill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427355</wp:posOffset>
            </wp:positionV>
            <wp:extent cx="564896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574675</wp:posOffset>
            </wp:positionV>
            <wp:extent cx="564896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Goodwill</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18948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94840" cy="825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December 31, 2025</w:t>
      </w:r>
    </w:p>
    <w:tbl>
      <w:tblPr>
        <w:tblLayout w:type="fixed"/>
        <w:tblInd w:w="0" w:type="dxa"/>
        <w:tblCellMar>
          <w:top w:w="0" w:type="dxa"/>
          <w:left w:w="0" w:type="dxa"/>
          <w:bottom w:w="0" w:type="dxa"/>
          <w:right w:w="0" w:type="dxa"/>
        </w:tblCellMar>
      </w:tblPr>
      <w:tr>
        <w:trPr>
          <w:trHeight w:val="117"/>
        </w:trPr>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64"/>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200" w:type="dxa"/>
            <w:vAlign w:val="bottom"/>
            <w:tcBorders>
              <w:top w:val="single" w:sz="8" w:color="auto"/>
            </w:tcBorders>
            <w:gridSpan w:val="4"/>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Impairment</w:t>
            </w:r>
          </w:p>
        </w:tc>
        <w:tc>
          <w:tcPr>
            <w:tcW w:w="8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0" w:type="dxa"/>
            <w:vAlign w:val="bottom"/>
          </w:tcPr>
          <w:p>
            <w:pPr>
              <w:spacing w:after="0"/>
              <w:rPr>
                <w:sz w:val="1"/>
                <w:szCs w:val="1"/>
                <w:color w:val="auto"/>
              </w:rPr>
            </w:pPr>
          </w:p>
        </w:tc>
      </w:tr>
      <w:tr>
        <w:trPr>
          <w:trHeight w:val="173"/>
        </w:trPr>
        <w:tc>
          <w:tcPr>
            <w:tcW w:w="140" w:type="dxa"/>
            <w:vAlign w:val="bottom"/>
          </w:tcPr>
          <w:p>
            <w:pPr>
              <w:spacing w:after="0"/>
              <w:rPr>
                <w:sz w:val="15"/>
                <w:szCs w:val="15"/>
                <w:color w:val="auto"/>
              </w:rPr>
            </w:pPr>
          </w:p>
        </w:tc>
        <w:tc>
          <w:tcPr>
            <w:tcW w:w="7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gridSpan w:val="4"/>
            <w:vMerge w:val="continue"/>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13,967</w:t>
            </w:r>
          </w:p>
        </w:tc>
        <w:tc>
          <w:tcPr>
            <w:tcW w:w="1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13,967</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189484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894840" cy="889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December 31, 2024</w:t>
      </w:r>
    </w:p>
    <w:tbl>
      <w:tblPr>
        <w:tblLayout w:type="fixed"/>
        <w:tblInd w:w="0" w:type="dxa"/>
        <w:tblCellMar>
          <w:top w:w="0" w:type="dxa"/>
          <w:left w:w="0" w:type="dxa"/>
          <w:bottom w:w="0" w:type="dxa"/>
          <w:right w:w="0" w:type="dxa"/>
        </w:tblCellMar>
      </w:tblPr>
      <w:tr>
        <w:trPr>
          <w:trHeight w:val="117"/>
        </w:trPr>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64"/>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20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Impairment</w:t>
            </w:r>
          </w:p>
        </w:tc>
        <w:tc>
          <w:tcPr>
            <w:tcW w:w="8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0" w:type="dxa"/>
            <w:vAlign w:val="bottom"/>
          </w:tcPr>
          <w:p>
            <w:pPr>
              <w:spacing w:after="0"/>
              <w:rPr>
                <w:sz w:val="1"/>
                <w:szCs w:val="1"/>
                <w:color w:val="auto"/>
              </w:rPr>
            </w:pPr>
          </w:p>
        </w:tc>
      </w:tr>
      <w:tr>
        <w:trPr>
          <w:trHeight w:val="173"/>
        </w:trPr>
        <w:tc>
          <w:tcPr>
            <w:tcW w:w="140" w:type="dxa"/>
            <w:vAlign w:val="bottom"/>
          </w:tcPr>
          <w:p>
            <w:pPr>
              <w:spacing w:after="0"/>
              <w:rPr>
                <w:sz w:val="15"/>
                <w:szCs w:val="15"/>
                <w:color w:val="auto"/>
              </w:rPr>
            </w:pPr>
          </w:p>
        </w:tc>
        <w:tc>
          <w:tcPr>
            <w:tcW w:w="7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gridSpan w:val="3"/>
            <w:vMerge w:val="continue"/>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44,291</w:t>
            </w:r>
          </w:p>
        </w:tc>
        <w:tc>
          <w:tcPr>
            <w:tcW w:w="1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(30,324)</w:t>
            </w:r>
          </w:p>
        </w:tc>
        <w:tc>
          <w:tcPr>
            <w:tcW w:w="1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13,967</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300" w:space="660"/>
            <w:col w:w="3059"/>
          </w:cols>
          <w:pgMar w:left="1440" w:top="513" w:right="1440"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For the period from January 1, 2024 to July 30, 2024 (Predecessor), the Company performed a qualitative assessment of goodwill for impairment and determined that no indicators of impairment were present. Based on this assessment, the Company concluded that it was not more likely than not that the fair value of the reporting unit was less than its carrying amount. Accordingly, no quantitative impairment testing was required. No impairment charges related to goodwill were recorded during the period from January 1, 2024 to July 30, 2024 (Predecessor).</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During the fourth quarter of 2024, the Company conducted its annual assessment of goodwill. During its assessment, the Company determined that as of December 31, 2024, its fair value was less than the carrying amount. As a result, the Company recorded a $30.3 million goodwill impairment charge during the period from July 31, 2024, to December 31, 2024 (Successor). The impairment was driven by a sustained decline in the Company’s share price and market capitalization.</w:t>
      </w:r>
    </w:p>
    <w:p>
      <w:pPr>
        <w:spacing w:after="0" w:line="183"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Company performed a qualitative assessment of goodwill for impairment and determined that no indicators of impairment were present. Based on this assessment, the Company concluded that it was not more likely than not that the fair value of the reporting unit was less than its carrying amount. Accordingly, no quantitative impairment testing was required. No impairment charges related to goodwill were recorded during the year ended December 31, 2025 (Successor).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 Accrued Liabilities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details of accrued liabilities as of December 31, 2025 and December 31, 2024 (in thousands):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6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8"/>
              </w:rPr>
              <w:t>Successor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0" w:type="dxa"/>
            <w:vAlign w:val="bottom"/>
          </w:tcPr>
          <w:p>
            <w:pPr>
              <w:spacing w:after="0"/>
              <w:rPr>
                <w:sz w:val="1"/>
                <w:szCs w:val="1"/>
                <w:color w:val="auto"/>
              </w:rPr>
            </w:pPr>
          </w:p>
        </w:tc>
      </w:tr>
      <w:tr>
        <w:trPr>
          <w:trHeight w:val="186"/>
        </w:trPr>
        <w:tc>
          <w:tcPr>
            <w:tcW w:w="6560" w:type="dxa"/>
            <w:vAlign w:val="bottom"/>
          </w:tcPr>
          <w:p>
            <w:pPr>
              <w:spacing w:after="0"/>
              <w:rPr>
                <w:sz w:val="16"/>
                <w:szCs w:val="16"/>
                <w:color w:val="auto"/>
              </w:rPr>
            </w:pPr>
          </w:p>
        </w:tc>
        <w:tc>
          <w:tcPr>
            <w:tcW w:w="10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6"/>
                <w:szCs w:val="16"/>
                <w:color w:val="auto"/>
              </w:rPr>
            </w:pPr>
          </w:p>
        </w:tc>
        <w:tc>
          <w:tcPr>
            <w:tcW w:w="10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560" w:type="dxa"/>
            <w:vAlign w:val="bottom"/>
          </w:tcPr>
          <w:p>
            <w:pPr>
              <w:ind w:left="64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0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deferred professional fees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related expenses</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4320"/>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 Debt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Outstanding debt as of December 31, 2025 and December 31, 2024 consists of the following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Successor</w:t>
            </w:r>
          </w:p>
        </w:tc>
      </w:tr>
      <w:tr>
        <w:trPr>
          <w:trHeight w:val="288"/>
        </w:trPr>
        <w:tc>
          <w:tcPr>
            <w:tcW w:w="6120" w:type="dxa"/>
            <w:vAlign w:val="bottom"/>
          </w:tcPr>
          <w:p>
            <w:pPr>
              <w:spacing w:after="0"/>
              <w:rPr>
                <w:sz w:val="24"/>
                <w:szCs w:val="24"/>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00"/>
        </w:trPr>
        <w:tc>
          <w:tcPr>
            <w:tcW w:w="612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r>
        <w:trPr>
          <w:trHeight w:val="20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Securities Notes (including accrued interest*)</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21,040</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17,180</w:t>
            </w:r>
          </w:p>
        </w:tc>
      </w:tr>
      <w:tr>
        <w:trPr>
          <w:trHeight w:val="228"/>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outstanding debt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21,040</w:t>
            </w:r>
          </w:p>
        </w:tc>
        <w:tc>
          <w:tcPr>
            <w:tcW w:w="12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-10795</wp:posOffset>
            </wp:positionV>
            <wp:extent cx="17659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14"/>
          <w:szCs w:val="14"/>
          <w:i w:val="1"/>
          <w:iCs w:val="1"/>
          <w:color w:val="auto"/>
        </w:rPr>
        <w:t>*Accrued interest as of December 31, 2024 is recorded within “Other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-95885</wp:posOffset>
            </wp:positionV>
            <wp:extent cx="17659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October 2022 Convertible Notes (Predecessor)</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October 27, 2022, the Legacy Adagio entered into the October 2022 Convertible Notes with investors for the issuance and sale of convertible promissory notes with an aggregate principal amount of $9.5 million at an interest rate of eight percent (8.0%) per annum.</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April 4, 2023, the October 2022 Convertible Notes, which had an original maturity date of October 27, 2023, were amended to extend the maturity date to the latest of (i) January 5, 2024, (ii) termination of agreements between the Legacy Adagio and ARYA in connection with a non-binding summary of certain proposed terms and conditions of a potential business combination, or (iii) the termination or lapse of the exclusivity period as defined in the non-binding term sheet as mentioned above. The October 2022 Convertible Notes agreement was also amended to subordinate the October 2022 Convertible Notes to the April 2023 Convertible Notes (as described below) and provide for the conversion of all principals and accrued interest in respect of all the October 2022 Convertible Notes into shares of Series E Preferred Stock of the Legacy Adagio in connection with the Business Combination.</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November 28, 2023, the October 2022 Convertible Notes agreement was further amended to subordinate the October 2022 Convertible Notes to the April 2023 Convertible Notes and the November 2023 Convertible Notes (as described below). Upon the consummation of the Business Combination, all principal and accrued interest in respect of the October 2022 Convertible Notes was converted into shares of the Legacy Adagio common stock, when multiplied by the exchange ratio applicable to the Legacy Adagio common stock in the Business Combination, entitled the holder of this note to receive a number of shares of the same class of common stock that are issued in the 2024 PIPE Financing equal to the then outstanding principal amount and any accrued and unpaid interest under this note, divided by 75% of the effective price of each share of common stock sold in the 2024 PIPE Financing.</w:t>
      </w:r>
    </w:p>
    <w:p>
      <w:pPr>
        <w:spacing w:after="0" w:line="192" w:lineRule="exact"/>
        <w:rPr>
          <w:sz w:val="20"/>
          <w:szCs w:val="20"/>
          <w:color w:val="auto"/>
        </w:rPr>
      </w:pPr>
    </w:p>
    <w:p>
      <w:pPr>
        <w:jc w:val="both"/>
        <w:ind w:left="60" w:right="59" w:firstLine="383"/>
        <w:spacing w:after="0" w:line="261" w:lineRule="auto"/>
        <w:rPr>
          <w:sz w:val="20"/>
          <w:szCs w:val="20"/>
          <w:color w:val="auto"/>
        </w:rPr>
      </w:pPr>
      <w:r>
        <w:rPr>
          <w:rFonts w:ascii="Times New Roman" w:cs="Times New Roman" w:eastAsia="Times New Roman" w:hAnsi="Times New Roman"/>
          <w:sz w:val="18"/>
          <w:szCs w:val="18"/>
          <w:color w:val="auto"/>
        </w:rPr>
        <w:t>On February 13, 2024, the October 2022 Convertible Notes agreement was further amended to extend the maturity date to the termination of the Business Combination Agreement, and subordinate the October 2022 Convertible Notes to the April 2023 Convertible Notes, the November 2023 Convertible Notes, and February 2024 Convertible Notes (as described below).</w:t>
      </w:r>
    </w:p>
    <w:p>
      <w:pPr>
        <w:spacing w:after="0" w:line="18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$9.5 million principal was received by the Legacy Adagio as of December 31, 2022. As of July 30, 2024 (Predecessor), the principal amount outstanding was $9.5 million.</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Upon the consummation of the Business Combination, all principal and accrued interest in respect to the October 2022 Convertible Notes were converted into 8,661,985 shares of Legacy Adagio common stock. Further, on Closing Date, the 8,661,985 Legacy Adagio common stocks were converted to 1,444,899 Company’s common stock based on the exchange ratio set forth in the Business Combination Agreement.</w:t>
      </w:r>
    </w:p>
    <w:p>
      <w:pPr>
        <w:spacing w:after="0" w:line="180"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For the periods from July 1, 2024 to July 30, 2024 (Predecessor) and January 1, 2024 to July 30, 2024 (Predecessor), Legacy Adagio recognized interest expense of $62.5 thousand and $0.4 million,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Bridge Financing Notes (Predecessor)</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April 2023 Convertible Notes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April 4, 2023, Legacy Adagio issued a $5.0 million convertible promissory note that matures on the latest of (i) January 5, 2024, (ii) termination of agreements between Legacy Adagio and ARYA in connection with a non-binding summary of the Business Combination, or (iii) the termination or lapse of the exclusivity period as defined in the non-binding term sheet as mentioned above. The April 2023 Convertible Notes accrue simple interest at eight percent (8.0%) per annum. Additionally, Legacy Adagio obtained the right to issue up to $10.0 million in additional convertible promissory notes available beginning one month after April 4, 2023, through the occurrence of an ARYA stockholder vote with regard to a transaction. During the period from April 4, 2023, to December 31, 2023, Legacy Adagio issued the additional $10.0 million.</w:t>
      </w:r>
    </w:p>
    <w:p>
      <w:pPr>
        <w:spacing w:after="0" w:line="19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On November 28, 2023, the April 2023 Convertible Notes were amended to align certain terms of the April 2023 Convertible Notes with the November 2023 Convertible Notes.</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the April 2023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July 30, 2024 (Predecessor), the principal amount outstanding was $15.0 million.</w:t>
      </w:r>
    </w:p>
    <w:p>
      <w:pPr>
        <w:spacing w:after="0" w:line="225"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For the periods from July 1, 2024 to July 30, 2024 (Predecessor) and January 1, 2024 to July 30, 2024 (Predecessor), Legacy Adagio recognized interest expense of $0.1 million and $0.6 million, respectively.</w:t>
      </w:r>
    </w:p>
    <w:p>
      <w:pPr>
        <w:spacing w:after="0" w:line="3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November 2023 Convertible Notes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November 28, 2023, Legacy Adagio issued to Perceptive PIPE Investor a $2.0 million convertible promissory note that matures on the latest of (i) January 5, 2024, (ii) termination of agreements between Legacy Adagio and ARYA in connection with a non-binding summary of the Business Combination, or (iii) the termination or lapse of the exclusivity period as defined in the non-binding term sheet as mentioned above. The November 2023 Convertible Notes accrues simple interest at eight percent (8.0%) per annum. Additionally, Legacy Adagio obtained the right to issue up to $6.0 million of Delayed Draw Commitment.</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Upon the consummation of the Business Combination, the November 2023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November 2023 Convertible Notes were amended to permit the issuance of a Delayed Draw Commitment in the principal amount of $1.0 million and $2.0 million on December 13, 2023, and December 28, 2023, respectively. The combined $3.0 million convertible promissory notes were issued pursuant to the clause and terms in the November 2023 Convertible Notes agreement.</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July 30, 2024 (Predecessor), the principal amount outstanding was $8.0 million.</w:t>
      </w:r>
    </w:p>
    <w:p>
      <w:pPr>
        <w:spacing w:after="0" w:line="22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For the periods from July 1, 2024 to July 30, 2024 (Predecessor), and from January 1, 2024 to July 30, 2024 (Predecessor), Legacy Adagio recognized interest expense of $50.6 thousand and $0.3 million,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February 2024 Convertible Notes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February 13, 2024, the Legacy Adagio issued to Perceptive PIPE Investor a principal of $7.0 million convertible promissory note that matures upon the termination of the Business Combination Agreement in accordance with its terms. The February 2024 Convertible Notes accrue simple interest at eight percent (8.0%) per annum.</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Upon the consummation of the Business Combination, the February 2024 Convertible Notes were automatically transferred to the Company in connection with the issuance of the Convertible Securities Notes to Perceptive PIPE Investor, pursuant to, and in accordance with, the note purchase agreement and the Convertible Security Subscription Agreement (as defined below), dated February 13, 2024, by and among the Company, ARYA, Legacy Adagio and Perceptive PIPE Investor. Any interest accrued on the principal amount of the February 2024 Convertible Notes will be forfeited in connection with the transfer of the notes to the Company.</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July 30, 2024 (Predecessor), the principal amount outstanding was $7.0 million.</w:t>
      </w:r>
    </w:p>
    <w:p>
      <w:pPr>
        <w:spacing w:after="0" w:line="225"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For the periods from July 1, 2024 to July 30, 2024 (Predecessor) and from January 1, 2024 to July 30, 2024 (Predecessor), Legacy Adagio recognized interest expense of $46.0 thousand and $0.3 million, respectively.</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On the Closing Date, the $7.0 million of February 2024 Convertible Notes were converted into $7.0 million Convertible Securities Notes and 525,000 Convert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May 2024 Convertible Notes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May 21, 2024, Legacy Adagio issued to Perceptive PIPE Investor a $3.0 million convertible promissory note that matured upon the termination of the Business Combination Agreement in accordance with its terms. The May 2024 Convertible Notes accrued simple interest at eight percent (8.0%) per annum.</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July 30, 2024 (Predecessor), the principal amount outstanding was $3.0 million.</w:t>
      </w:r>
    </w:p>
    <w:p>
      <w:pPr>
        <w:spacing w:after="0" w:line="225"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For the periods from July 1, 2024 to July 30, 2024 (Predecessor) and from January 1, 2024 to July 30, 2024 (Predecessor), Legacy Adagio recognized interest expense of $19.7 thousand and $46.0 thousand, respectively.</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the May 2024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spacing w:after="0" w:line="3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June 2024 Convertible Notes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June 25, 2024, Legacy Adagio issued to Perceptive PIPE Investor a $2.5 million convertible promissory note that matured upon the termination of the Business Combination Agreement in accordance with its terms. The June 2024 Convertible Notes accrued simple interest at eight percent (8.0%) per annum.</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July 30, 2024 (Predecessor), the principal amount outstanding was $2.5 million.</w:t>
      </w:r>
    </w:p>
    <w:p>
      <w:pPr>
        <w:spacing w:after="0" w:line="225"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For the periods from July 1, 2024 to July 30, 2024 (Predecessor) and from January 1, 2024 to July 30, 2024 (Predecessor), Legacy Adagio recognized interest expense of $16.4 thousand and $19.2 thousand, respectively.</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the June 2024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spacing w:after="0" w:line="3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July 2024 Convertible Notes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July 23, 2024, Legacy Adagio issued a $1.0 million convertible promissory note to Perceptive PIPE Investor that matured upon the termination of the Business Combination Agreement in accordance with its terms. It accrued simple interest at eight percent (8.0%) per annum.</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Upon the consummation of the Business Combination, the July 2024 Convertible Notes automatically converted into shares of Company common stock that were issued in the 2024 PIPE Financing in an amount equal to the principal amount and any accrued and unpaid interest, divided by the effective price of the securities sold in the 2024 PIPE Financing.</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For the periods from July 1, 2024 to July 30, 2024 (Predecessor), Legacy Adagio recognized interest expense of $1.3 thousand.</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Pursuant to the Business Combination Agreement, the outstanding $29.5 million principal along with the accrued but unpaid interest of the Bridge Financing Notes, was converted in exchange for 4,372,607 shares of the Company’s common stock and 3,540,000 Base Warrants as part of the 2024 PIPE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SVB Term Loan (Predecessor)</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February 3, 2023, Legacy Adagio entered into an agreement to obtain an initial term loan advance of $3.0 million and a right to issue a subsequent term loan advance of $2.0 million pursuant to the LSA. The loans matured on January 1, 2025, and Legacy Adagio made monthly payments at a floating rate per annum equal to the greater of (1) seven percent (7.0%) and (2) the market prime rate plus one and one half of one percent (1.5%).</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issuance of the SVB Term Loan, Legacy Adagio issued liability - classified warrants with a fair value of $28.5 thousand to purchase 32,720 shares of common stock of Legacy Adagio (“Initial Warrants”), and a contingent right, with a fair value of $7.1 thousand, to obtain an additional 16,360 shares of the common stock (“Additional Warrants”) upon the nonoccurrence of the Interest Only Milestone. The Interest Only Milestone (“Milestone”) refers to a specific condition that was met on or before April 30, 2023. To satisfy this Milestone, Legacy Adagio would have ensured that no event of default had occurred. If this condition was met, Legacy Adagio would have provided SVB (i) the intent for the sale of all capital stock of Legacy Adagio, or (ii) an executed term sheet for a priced equity financing of at least $40.0 million from the sale of Legacy Adagio’s capital stock.</w:t>
      </w:r>
    </w:p>
    <w:p>
      <w:pPr>
        <w:spacing w:after="0" w:line="19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initial recognition of the warrant liabilities and the contingent right resulted in a discount of $35.6 thousand to the SVB Term Loan. The discount was amortized to interest expense over the term of the LSA.</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of July 30, 2024, the subsequent term loan advance of $2.0 million had not been drawn. As of July 30, 2024, the outstanding principal of SVB Term Loan was $1.0 million, and the unamortized debt discount was $9.7 thousand.</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For the periods from July 1, 2024 to July 30, 2024 (Predecessor) and January 1, 2024 to July 30, 2024 (Predecessor), Legacy Adagio recognized interest expense of $9.0 thousand and $87.3 thousand, respectively.</w:t>
      </w:r>
    </w:p>
    <w:p>
      <w:pPr>
        <w:spacing w:after="0" w:line="162"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Prior to the Closing, the existing SVB Term Loan of Legacy Adagio had a net balance of $1.0 million, including $1.0 million of principal and accrued interest, and an unamortized debt discount of $9.7 thousand. The unpaid principal and accrued interest were carried as assumed liabilities to the Company and paid at the Closing.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1" w:name="page142"/>
    <w:bookmarkEnd w:id="1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Securities Notes (Successor)</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Business Combination Agreement, Convert Investors executed the Convertible Security Subscription Agreement dated February 13, 2024, which was amended on June 20, 2024, with ListCo. In accordance with the agreement, ListCo issued on the Closing Date to the Convert Investors $20.0 million of Convertible Securities Notes and 1,500,000 Convert Warrants.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$20.0 million Convertible Securities Notes are convertible into shares of the Company’s common stock at a conversion price of $10.00 per share, subject to adjustment per the terms of the agreement. In the event of default, the Company may irrevocably elect in the event of default notice to permit the holder to effect alternate conversion, for which the conversion calculation and price are specified in the agreement.</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1,500,000 Convert Warrants, each of which is exercisable on a cashless basis or for one share of the Company’s common stock at $24.00 per share, subject to adjustment. The Convertible Securities Notes have a maturity of three years and nine months after the Closing and interest will be payable in cash or compound as additional principal outstanding which accrues on a quarterly basis. At the Company’s option, payment of interest can either be (i) made quarterly in cash, or (ii) compound and become additional principal of the Convertible Securities Notes. As of December 31, 2025, the Company does not anticipate making a cash interest payment within the next 12 months.</w:t>
      </w:r>
    </w:p>
    <w:p>
      <w:pPr>
        <w:spacing w:after="0" w:line="18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conversion of the February 2024 Convertible Notes was carried out on the same terms as the other Convert Investors executing the Convertible Security Subscription Agreement.</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year ended December 31, 2025 (Successor), the Company recognized interest expense of $2.9 million.</w:t>
      </w:r>
    </w:p>
    <w:p>
      <w:pPr>
        <w:spacing w:after="0" w:line="225"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For the periods from July 31, 2024 to December 31, 2024 (Successor), the Company recognized interest expense of $1.1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 Warrants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SVB Warrants (Predecessor)</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February 3, 2023, in conjunction with the LSA, the Legacy Adagio issued Initial Warrants to purchase 32,720 shares of common stock of Legacy Adagio, and a contingent right to obtain an additional 16,360 shares of the common stock upon the non-occurrence of the Interest Only Milestone as mentioned above. The Additional Warrants are subject to the same terms as the Initial Warrants (collectively “SVB Warrants”).</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exercise price of the SVB Warrants was $7.97 per share. The warrants were fully exercisable and would have expired on February 3, 2033.</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SVB Warrants were terminated prior to the consummation of the Business Combination as the fair market value of Legacy Adagio common stock is lower than the exercise price of the SVB Warrants before the Closing.</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2" w:name="page143"/>
    <w:bookmarkEnd w:id="1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Series E Pre-funded Warrants (Predecessor)</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June 25, 2024, in conjunction with the Series E Preferred Stock exchange agreement (refer to </w:t>
      </w:r>
      <w:r>
        <w:rPr>
          <w:rFonts w:ascii="Times New Roman" w:cs="Times New Roman" w:eastAsia="Times New Roman" w:hAnsi="Times New Roman"/>
          <w:sz w:val="18"/>
          <w:szCs w:val="18"/>
          <w:i w:val="1"/>
          <w:iCs w:val="1"/>
          <w:color w:val="auto"/>
        </w:rPr>
        <w:t>Note 13 - Mezzanine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and Stockholders’ Equity)</w:t>
      </w:r>
      <w:r>
        <w:rPr>
          <w:rFonts w:ascii="Times New Roman" w:cs="Times New Roman" w:eastAsia="Times New Roman" w:hAnsi="Times New Roman"/>
          <w:sz w:val="18"/>
          <w:szCs w:val="18"/>
          <w:color w:val="auto"/>
        </w:rPr>
        <w:t>, Legacy Adagio issued to a certain investor 207,902 shares of pre-funded warrants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207,902 shares of Series E Preferred Stock, in exchange of the investor’s existing holding of 207,902 shares of Series E Preferred Stock.</w:t>
      </w:r>
    </w:p>
    <w:p>
      <w:pPr>
        <w:spacing w:after="0" w:line="18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exercise price of the pre-funded warrants was $0.001 per share. The pre-funded warrants were exercisable, at the option of the holder, on any day on or after the issuance date, in whole or in part. As an alternative to immediate cash payment, the investor could have elected to exercise the pre-funded warrant through a cashless exercise.</w:t>
      </w:r>
    </w:p>
    <w:p>
      <w:pPr>
        <w:spacing w:after="0" w:line="1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Upon the consummation of the Business Combination, the 207,902 Series E Pre-funded Warrants were converted in exchange for 34,680 shares of the Company’s common stock.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 Warrants (Successor)</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mentioned in </w:t>
      </w:r>
      <w:r>
        <w:rPr>
          <w:rFonts w:ascii="Times New Roman" w:cs="Times New Roman" w:eastAsia="Times New Roman" w:hAnsi="Times New Roman"/>
          <w:sz w:val="18"/>
          <w:szCs w:val="18"/>
          <w:i w:val="1"/>
          <w:iCs w:val="1"/>
          <w:color w:val="auto"/>
        </w:rPr>
        <w:t>Note 9 - Debt</w:t>
      </w:r>
      <w:r>
        <w:rPr>
          <w:rFonts w:ascii="Times New Roman" w:cs="Times New Roman" w:eastAsia="Times New Roman" w:hAnsi="Times New Roman"/>
          <w:sz w:val="18"/>
          <w:szCs w:val="18"/>
          <w:color w:val="auto"/>
        </w:rPr>
        <w:t>, the Company issued $20.0 million of Convertible Securities Notes and 1,500,000 Convert Warrants at the Closing. Each of the Convert Warrants is exercisable on a cashless basis or for one share of the Company’s common stock at an exercise price of $24.00 per share, subject to adjustment. The Convert Warrants expire on the seventh anniversary from of issuance date.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PIPE Pre-funded Warrants (Successor)</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set forth in the agreement of the 2024 PIPE Pre-Funded Warrants, the 2024 PIPE Pre-Funded Warrants are exercisable on a cashless basis or on a gross basis for one share of the Company’s common stock at an exercise price of $0.01 per share, subject to adjustments. The Company may be required to cash settle the 2024 PIPE Pre-funded Warrants when it fails to timely deliver shares to the holder who exercises the 2024 PIPE Pre-funded Warrants or upon the occurrence of a fundamental transaction.</w:t>
      </w:r>
    </w:p>
    <w:p>
      <w:pPr>
        <w:spacing w:after="0" w:line="183" w:lineRule="exact"/>
        <w:rPr>
          <w:sz w:val="20"/>
          <w:szCs w:val="20"/>
          <w:color w:val="auto"/>
        </w:rPr>
      </w:pPr>
    </w:p>
    <w:p>
      <w:pPr>
        <w:jc w:val="both"/>
        <w:ind w:left="60" w:right="59" w:firstLine="324"/>
        <w:spacing w:after="0" w:line="312" w:lineRule="auto"/>
        <w:rPr>
          <w:sz w:val="20"/>
          <w:szCs w:val="20"/>
          <w:color w:val="auto"/>
        </w:rPr>
      </w:pPr>
      <w:r>
        <w:rPr>
          <w:rFonts w:ascii="Times New Roman" w:cs="Times New Roman" w:eastAsia="Times New Roman" w:hAnsi="Times New Roman"/>
          <w:sz w:val="17"/>
          <w:szCs w:val="17"/>
          <w:color w:val="auto"/>
        </w:rPr>
        <w:t>On December 26, 2024, 670,000 2024 PIPE Pre-Funded Warrant shares were exercised on a cashless basis for 663,096 shares of the Company’s common stock. The exercise price for the 2024 PIPE Pre-Funded Warrants was $0.9705 per share.</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2025, and December 31, 2024, there were no 2024 PIPE Pre-Funded Warrants outstanding.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3" w:name="page144"/>
    <w:bookmarkEnd w:id="1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PIPE Base Warrants (Successor)</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On the Closing Date, the Company issued 3,540,000 Base Warrants along with 4,372,607 shares of the Company’s common shares to settle the outstanding principal and accrued interest of the Bridge Financing Notes.</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also issued 3,345,069 Base Warrants along with 3,287,018 shares of the Company’s common stock and 670,000 2024 PIPE Pre-Funded Warrants to PIPE Investors for cash proceeds received in the 2024 PIPE Financing.</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issued 643,658 Base Warrants along with 761,229 shares of the Company’s common stock in exchange for the non-redeemable 468,941 shares of ARYA’s Class A ordinary shares held by certain Other PIPE Investors.</w:t>
      </w:r>
    </w:p>
    <w:p>
      <w:pPr>
        <w:spacing w:after="0" w:line="16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Base Warrants can be exercised to the Company’s common stock at any time during the period from the issuance date to the expiration date, which is the fifth anniversary from the date of issuance. The warrants can be exercised on a gross or net basis at an exercise price of $10 per share.</w:t>
      </w:r>
    </w:p>
    <w:p>
      <w:pPr>
        <w:spacing w:after="0" w:line="17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Base Warrants were fair valued at $2.41 per unit on the date of issuance based on the assumptions including (i) the value of the Company’s common stock is $6.64 per share; (ii) a risk-free rate at 3.93%; (iii) zero dividend yield; (iv) the common stock volatility at 84.0% and a volatility haircut of 10%; and (v) the remaining term is five years.</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According to the ASC 815, it is determined that the Base Warrants associated with the 2024 PIPE Financing are indexed to the Company’s common stock under and are accounted for as equity, which is initially measured at fair value. The Base Warrants are classified as equity in the financial statements because they meet the ASC 815-40 indexation guidance. Specifically, 1) the Base Warrants can be exercised at any time during the exercise period without contingencies;</w:t>
      </w:r>
    </w:p>
    <w:p>
      <w:pPr>
        <w:spacing w:after="0" w:line="3" w:lineRule="exact"/>
        <w:rPr>
          <w:sz w:val="20"/>
          <w:szCs w:val="20"/>
          <w:color w:val="auto"/>
        </w:rPr>
      </w:pPr>
    </w:p>
    <w:p>
      <w:pPr>
        <w:jc w:val="both"/>
        <w:ind w:left="60" w:right="59" w:hanging="10"/>
        <w:spacing w:after="0" w:line="253" w:lineRule="auto"/>
        <w:tabs>
          <w:tab w:leader="none" w:pos="26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Warrants can be settled in a fixed number of shares upon exercise with any adjustments, such as antidilution and alternative issuance adjustments, consistent with ASC 815 guidance, which does not preclude equity classification. Additionally, the Company has sufficient authorized shares available to settle the Base Warrants, and all the adjustments are in the control of the Company, further supporting the equity classification.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2025 PIPE Milestone and Pre-Funded Warrants (Successor)</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Times New Roman" w:cs="Times New Roman" w:eastAsia="Times New Roman" w:hAnsi="Times New Roman"/>
          <w:sz w:val="17"/>
          <w:szCs w:val="17"/>
          <w:color w:val="auto"/>
        </w:rPr>
        <w:t>On October 14, 2025, the Company entered into a Securities Purchase Agreement (the “Securities Purchase Agreement”) with certain accredited healthcare investors (the “Purchasers”) pursuant to which it issued and sold to the Purchasers in the Private Placement: (i) 9,792,506 shares (the “Shares”) of its common stock, par value $0.0001 per share (the “Common Stock”), or pre-funded warrants (the “2025 PIPE Pre-Funded Warrants”) to purchase shares of Common Stock in lieu thereof, and (ii) accompanying (a) Tranche A Warrants to purchase an aggregate of 6,012,943 shares of Common Stock (or pre-funded warrants in lieu thereof) (the “Tranche A Warrants”), (b) Tranche B Warrants to purchase an aggregate of 6,012,943 shares of Common Stock (or pre-funded warrants in lieu thereof) (the “Tranche B Warrants”) and</w:t>
      </w:r>
    </w:p>
    <w:p>
      <w:pPr>
        <w:spacing w:after="0" w:line="2" w:lineRule="exact"/>
        <w:rPr>
          <w:sz w:val="20"/>
          <w:szCs w:val="20"/>
          <w:color w:val="auto"/>
        </w:rPr>
      </w:pPr>
    </w:p>
    <w:p>
      <w:pPr>
        <w:jc w:val="both"/>
        <w:ind w:left="60" w:right="59" w:hanging="10"/>
        <w:spacing w:after="0" w:line="250" w:lineRule="auto"/>
        <w:tabs>
          <w:tab w:leader="none" w:pos="32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C Warrants to purchase an aggregate of 6,012,943 shares of Common Stock (or pre-funded warrants in lieu thereof) (the “Tranche C Warrants” and, together with the Tranche A and Tranche B Warrants, the “Milestone Warrants”), for aggregate gross proceeds of approximately $19 million (excluding up to approximately $31 million of additional aggregate gross proceeds that may be received in the future upon the cash exercise in full of the Milestone Warrants issued in the Private Placement), before deducting placement agent fees and other expenses payable by the Company. Each Share,</w:t>
      </w:r>
    </w:p>
    <w:p>
      <w:pPr>
        <w:spacing w:after="0" w:line="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or Pre-Funded Warrant in lieu thereof, sold pursuant to the Securities Purchase Agreement was accompanied by one Tranche A Warrant, one Tranche B Warrant and one Tranche C Warrant. The combined purchase price of each Share and accompanying Milestone Warrants is $1.9403 and (which includes $0.2303 for the Milestone Warrants sold with each Share in accordance with the rules and regulations of The Nasdaq Stock Market LLC). The combined purchase price of each Pre-Funded Warrant and accompanying Milestone Warrant is $1.9402 (equal to the combined purchase price per Share and accompanying Milestone Warrants, minus $0.0001).</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4" w:name="page145"/>
    <w:bookmarkEnd w:id="1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Each Milestone Warrant is exercisable for one share of Common Stock at an exercise price of $1.71 per share. The Milestone Warrants will expire upon the earlier of (i) five years from the date of issuance or (ii) (a) for the Tranche A Warrants, the date that is thirty (30) days following its announcement of results from the Company’s FULCRUM-VT IDE pivotal clinical trial, (b) for the Tranche B Warrants, the date that is thirty (30) days following its announcement of FDA approval of the vCLAS Cryoablation System, and (c) for the Tranche C Warrants, the date that is thirty (30) days following the Company’s announcement of FDA approval of its second generation vCLAS catheter system. The 2025 PIPE Pre-Funded Warrants are exercisable for one share of Common Stock at an exercise price of $0.0001 per share. The 2025 PIPE Pre-Funded Warrants are immediately exercisable and may be exercised at any time until all of the 2025 PIPE Pre-Funded Warrants are exercised in full.</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 holder (together with its affiliates) of the 2025 PIPE Pre-Funded Warrants or Milestone Warrants, as the case may be, may not exercise any portion of the 2025 PIPE Pre-Funded Warrants or Milestone Warrants to the extent that the holder would own more than 4.99% (or, at the holder’s option upon issuance, 9.99%) of the Company’s outstanding Common Stock immediately after exercise, which percentage may be changed at the holder’s election to a lower or higher percentage not in excess of 19.99% upon 61 days’ notice to the Company subject to the terms of the 2025 PIPE Pre-Funded Warrants or the Milestone Warrants. In lieu of making the cash payment otherwise contemplated to be made to the Company upon exercise of a Milestone Warrant, after the deadline for effectiveness of the registration statement to be filed pursuant to the Registration Rights Agreement, the holder may elect instead to receive upon such exercise (either in whole or in part) the net number of shares of Common Stock determined according to a formula set forth in the Milestone Warrants, provided that such cashless exercise shall only be permitted if, at the time of such exercise, there is no effective registration statement registering the resale of shares of Common Stock underlying the Milestone Warrants or if the prospectus contained in such registration statement is not available for the resale of shares of Common Stock underlying the Milestone Warrants by the Milestone Warrant holder.</w:t>
      </w:r>
    </w:p>
    <w:p>
      <w:pPr>
        <w:spacing w:after="0" w:line="18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lieu of making the cash payment otherwise contemplated to be made to the Company upon exercise of a Pre-Funded Warrant in payment of the aggregate exercise price, the holder may elect instead to receive upon such exercise (either in whole or in part) the net number of shares of Common Stock determined according to a formula set forth in the 2025 PIPE Pre-Funded Warrants.</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ASC 815-40, the Company determined that the Milestone Warrants and the 2025 PIPE Pre-Funded Warrants issued in connection with the 2025 PIPE Financing are indexed to the Company’s common stock and qualify for equity classification. Accordingly, the warrants are accounted for as equity and initially measured at fair value.</w:t>
      </w:r>
    </w:p>
    <w:p>
      <w:pPr>
        <w:spacing w:after="0" w:line="17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Milestone Warrants and the 2025 PIPE Pre-Funded Warrants meet the indexation and settlement guidance in ASC 815 because they can be exercised at any time during the exercise period without contingencies and are exercisable for a fixed number of shares at fixed exercise prices, with any adjustments, such as antidilution and alternative issuance adjustments, consistent with ASC 815 guidance, which does not preclude equity classification. The Milestone Warrants are exercisable for an aggregate of 18,038,829 shares of the Company’s common stock, and the Pre-Funded Warrants are exercisable for 3,994,434 shares of common stock, representing the maximum number of shares issuable under the agreements. As of December 31, 2025, the Company had sufficient authorized shares available to settle the Milestone Warrants and the 2025 PIPE Pre-Funded Warrants, and all the adjustments are in the control of the Company, further supporting the equity classification.</w:t>
      </w:r>
    </w:p>
    <w:p>
      <w:pPr>
        <w:spacing w:after="0" w:line="188" w:lineRule="exact"/>
        <w:rPr>
          <w:sz w:val="20"/>
          <w:szCs w:val="20"/>
          <w:color w:val="auto"/>
        </w:rPr>
      </w:pPr>
    </w:p>
    <w:p>
      <w:pPr>
        <w:jc w:val="both"/>
        <w:ind w:left="60" w:right="59" w:firstLine="324"/>
        <w:spacing w:after="0" w:line="312" w:lineRule="auto"/>
        <w:rPr>
          <w:sz w:val="20"/>
          <w:szCs w:val="20"/>
          <w:color w:val="auto"/>
        </w:rPr>
      </w:pPr>
      <w:r>
        <w:rPr>
          <w:rFonts w:ascii="Times New Roman" w:cs="Times New Roman" w:eastAsia="Times New Roman" w:hAnsi="Times New Roman"/>
          <w:sz w:val="17"/>
          <w:szCs w:val="17"/>
          <w:color w:val="auto"/>
        </w:rPr>
        <w:t>In December 2025, 1,030,822 2025 PIPE Pre-Funded Warrant shares were exercised on a cash basis for 1,030,822 shares of the Company’s common stock. The exercise price for the 2025 PIPE Pre-Funded Warrants was $0.0001 per share.</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December 31, 2025, there were 2,963,612 2025 PIPE Pre-Funded Warrants outstanding.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5" w:name="page146"/>
    <w:bookmarkEnd w:id="1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 Operating Leases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leases distribution and research and development facilities as well as sub-leases office and manufacturing space from third parties and related parties (refer to </w:t>
      </w:r>
      <w:r>
        <w:rPr>
          <w:rFonts w:ascii="Times New Roman" w:cs="Times New Roman" w:eastAsia="Times New Roman" w:hAnsi="Times New Roman"/>
          <w:sz w:val="18"/>
          <w:szCs w:val="18"/>
          <w:i w:val="1"/>
          <w:iCs w:val="1"/>
          <w:color w:val="auto"/>
        </w:rPr>
        <w:t>Note 17 - Related Party Transactions</w:t>
      </w:r>
      <w:r>
        <w:rPr>
          <w:rFonts w:ascii="Times New Roman" w:cs="Times New Roman" w:eastAsia="Times New Roman" w:hAnsi="Times New Roman"/>
          <w:sz w:val="18"/>
          <w:szCs w:val="18"/>
          <w:color w:val="auto"/>
        </w:rPr>
        <w:t>) under its operating leases. The leases have expirations ranging from March 2026 to January 2030, some of which include rent escalations or an option to extend the lease for up to three years per renewal. The exercise of lease renewal options is at the sole discretion of the Company. Where leases contain an option to renew, any period beyond the option date is only included as part of the lease term if the Company is reasonably certain to exercise the option.</w:t>
      </w:r>
    </w:p>
    <w:p>
      <w:pPr>
        <w:spacing w:after="0" w:line="18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 xml:space="preserve">As of December 31, 2025, the Company did not have any related party leases. The sublease agreement with Fjord expired on March 31, 2024. Refer to </w:t>
      </w:r>
      <w:r>
        <w:rPr>
          <w:rFonts w:ascii="Times New Roman" w:cs="Times New Roman" w:eastAsia="Times New Roman" w:hAnsi="Times New Roman"/>
          <w:sz w:val="18"/>
          <w:szCs w:val="18"/>
          <w:i w:val="1"/>
          <w:iCs w:val="1"/>
          <w:color w:val="auto"/>
        </w:rPr>
        <w:t>Note 17 - Related Party Transactions</w:t>
      </w:r>
      <w:r>
        <w:rPr>
          <w:rFonts w:ascii="Times New Roman" w:cs="Times New Roman" w:eastAsia="Times New Roman" w:hAnsi="Times New Roman"/>
          <w:sz w:val="18"/>
          <w:szCs w:val="18"/>
          <w:color w:val="auto"/>
        </w:rPr>
        <w:t xml:space="preserve"> for additional information.</w:t>
      </w:r>
    </w:p>
    <w:p>
      <w:pPr>
        <w:spacing w:after="0" w:line="162"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and December 31, 2024, the Company does not have any finance or short-term leases and has not entered into leases which have not yet commenced that would entitle the Company to significant rights or create additional obligations as of December 31, 2025 and December 31, 2024.</w:t>
      </w:r>
    </w:p>
    <w:p>
      <w:pPr>
        <w:spacing w:after="0" w:line="176"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The following table summarizes quantitative information of the Company’s operating leases for the year ended December 31, 2025 and for the periods from January 1, 2024 to July 30, 2024 (Predecessor) and from July 31, 2024 to December 31, 2024 (Successor):</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40" w:type="dxa"/>
            <w:vAlign w:val="bottom"/>
            <w:tcBorders>
              <w:bottom w:val="single" w:sz="8" w:color="auto"/>
            </w:tcBorders>
          </w:tcPr>
          <w:p>
            <w:pPr>
              <w:spacing w:after="0"/>
              <w:rPr>
                <w:sz w:val="18"/>
                <w:szCs w:val="18"/>
                <w:color w:val="auto"/>
              </w:rPr>
            </w:pPr>
          </w:p>
        </w:tc>
      </w:tr>
      <w:tr>
        <w:trPr>
          <w:trHeight w:val="218"/>
        </w:trPr>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176"/>
        </w:trPr>
        <w:tc>
          <w:tcPr>
            <w:tcW w:w="5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Successor</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right w:val="single" w:sz="8" w:color="auto"/>
            </w:tcBorders>
            <w:gridSpan w:val="2"/>
          </w:tcPr>
          <w:p>
            <w:pPr>
              <w:jc w:val="right"/>
              <w:ind w:right="520"/>
              <w:spacing w:after="0" w:line="176" w:lineRule="exact"/>
              <w:rPr>
                <w:sz w:val="20"/>
                <w:szCs w:val="20"/>
                <w:color w:val="auto"/>
              </w:rPr>
            </w:pPr>
            <w:r>
              <w:rPr>
                <w:rFonts w:ascii="Times New Roman" w:cs="Times New Roman" w:eastAsia="Times New Roman" w:hAnsi="Times New Roman"/>
                <w:sz w:val="16"/>
                <w:szCs w:val="16"/>
                <w:b w:val="1"/>
                <w:bCs w:val="1"/>
                <w:color w:val="auto"/>
              </w:rPr>
              <w:t>Successor</w:t>
            </w:r>
          </w:p>
        </w:tc>
        <w:tc>
          <w:tcPr>
            <w:tcW w:w="60" w:type="dxa"/>
            <w:vAlign w:val="bottom"/>
          </w:tcPr>
          <w:p>
            <w:pPr>
              <w:spacing w:after="0"/>
              <w:rPr>
                <w:sz w:val="15"/>
                <w:szCs w:val="15"/>
                <w:color w:val="auto"/>
              </w:rPr>
            </w:pPr>
          </w:p>
        </w:tc>
        <w:tc>
          <w:tcPr>
            <w:tcW w:w="9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rPr>
              <w:t>Predecessor</w:t>
            </w:r>
          </w:p>
        </w:tc>
      </w:tr>
      <w:tr>
        <w:trPr>
          <w:trHeight w:val="180"/>
        </w:trPr>
        <w:tc>
          <w:tcPr>
            <w:tcW w:w="5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75"/>
              <w:spacing w:after="0" w:line="181" w:lineRule="exact"/>
              <w:rPr>
                <w:sz w:val="20"/>
                <w:szCs w:val="20"/>
                <w:color w:val="auto"/>
              </w:rPr>
            </w:pPr>
            <w:r>
              <w:rPr>
                <w:rFonts w:ascii="Times New Roman" w:cs="Times New Roman" w:eastAsia="Times New Roman" w:hAnsi="Times New Roman"/>
                <w:sz w:val="16"/>
                <w:szCs w:val="16"/>
                <w:b w:val="1"/>
                <w:bCs w:val="1"/>
                <w:color w:val="auto"/>
              </w:rPr>
              <w:t>July 31 to</w:t>
            </w:r>
          </w:p>
        </w:tc>
        <w:tc>
          <w:tcPr>
            <w:tcW w:w="3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Borders>
              <w:top w:val="single" w:sz="8" w:color="auto"/>
            </w:tcBorders>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January 1 to</w:t>
            </w:r>
          </w:p>
        </w:tc>
      </w:tr>
      <w:tr>
        <w:trPr>
          <w:trHeight w:val="218"/>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Borders>
              <w:right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July 30</w:t>
            </w:r>
          </w:p>
        </w:tc>
      </w:tr>
      <w:tr>
        <w:trPr>
          <w:trHeight w:val="210"/>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paid for operating leases</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Company did not incur any variable lease cost for the year ended December 31, 2025 (Successor) and for the periods from January 1, 2024 to July 30, 2024 (Predecessor) and from July 31, 2024 to December 31, 2024 (Successor).</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future minimum payments under the non-cancellable operating leases as of December 31, 2025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2030</w:t>
            </w:r>
          </w:p>
        </w:tc>
        <w:tc>
          <w:tcPr>
            <w:tcW w:w="3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undiscounted future cash flows</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0"/>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0"/>
        </w:trPr>
        <w:tc>
          <w:tcPr>
            <w:tcW w:w="7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is not currently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 if 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6" w:name="page147"/>
    <w:bookmarkEnd w:id="1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 Mezzanine Equity and Stockholders’ Equity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 (Predecessor)</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Legacy Adagio’s Amended and Restated Articles of Incorporation authorized the issuance of two classes of stock designated as common and preferred stock, each having a par value of $0.001 per share. The number of shares authorized as of July 30, 2024 was 11,534,892 consisting of 6,594,946 shares of common stock and 4,939,946 shares of preferred stock, designated as Series A, Series B, Series C, Series D, and Series E preferred stock in the amounts included in the table below.</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 (Predecessor)</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Legacy Adagio classified convertible preferred stock as temporary equity on the accompanying consolidated balance sheets, as all such preferred stock was redeemable either at the option of the holder or upon an event outside the control of Legacy Adagio. The requirements of a deemed liquidation event, as defined within its amended and restated certificate of incorporation filed in November 2020, were not entirely within Legacy Adagio’s control. In the event of such a deemed liquidation event, the proceeds from the event would have been distributed in accordance with the liquidation preferences, provided that the holders of preferred stock had not converted their shares into common stock. Legacy Adagio recorded the issuance of preferred stock at the issuance price less related issuance costs. Legacy Adagio had not adjusted the carrying value of outstanding preferred stock to its liquidation preference because a deemed liquidation event was not probable as of the end of the reporting period.</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period from January 1, 2024 to July 30, 2024 (Predecessor), the following transactions were executed:</w:t>
      </w:r>
    </w:p>
    <w:p>
      <w:pPr>
        <w:spacing w:after="0" w:line="225" w:lineRule="exact"/>
        <w:rPr>
          <w:sz w:val="20"/>
          <w:szCs w:val="20"/>
          <w:color w:val="auto"/>
        </w:rPr>
      </w:pPr>
    </w:p>
    <w:p>
      <w:pPr>
        <w:jc w:val="both"/>
        <w:ind w:left="720" w:right="79" w:hanging="319"/>
        <w:spacing w:after="0" w:line="258" w:lineRule="auto"/>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June 25, 2024, 207,902 shares of Series E Preferred Stock were extinguished and exchanged for 207,902 shares of pre-funded warrants to purchase Series E Preferred Stock. Refer to </w:t>
      </w:r>
      <w:r>
        <w:rPr>
          <w:rFonts w:ascii="Times New Roman" w:cs="Times New Roman" w:eastAsia="Times New Roman" w:hAnsi="Times New Roman"/>
          <w:sz w:val="18"/>
          <w:szCs w:val="18"/>
          <w:i w:val="1"/>
          <w:iCs w:val="1"/>
          <w:color w:val="auto"/>
        </w:rPr>
        <w:t>Note 10 - Warrants</w:t>
      </w:r>
      <w:r>
        <w:rPr>
          <w:rFonts w:ascii="Times New Roman" w:cs="Times New Roman" w:eastAsia="Times New Roman" w:hAnsi="Times New Roman"/>
          <w:sz w:val="18"/>
          <w:szCs w:val="18"/>
          <w:color w:val="auto"/>
        </w:rPr>
        <w:t xml:space="preserve"> for additional information regarding the Series E Pre-funded Warrants. The difference between the carrying value of the extinguished Series E Preferred Stock and the fair value of the issued Series E Pre-funded Warrants was recorded in additional paid-in capital.</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the Closing Date, the Legacy Adagio’s 4,732,044 convertible preferred stocks were converted into shares of Legacy Adagio common stock on a one-to-one basis prior to Adagio Merger Effective Time and then converted into 789,337 shares of the Company’s Common Stock and additional paid-in capital at the Closing based on the exchange ratio set forth in the Business Combination Agreement.</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other preferred stock transactions during the year ended December 31, 2024 (Successor).</w:t>
      </w:r>
    </w:p>
    <w:p>
      <w:pPr>
        <w:spacing w:after="0" w:line="225"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related to the issuance of Legacy Adagio’s preferred stock as of July 30, 2024 (Predecessor) (in thousands, except share and per share data):</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2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Preferred Stock Class</w:t>
            </w:r>
          </w:p>
        </w:tc>
        <w:tc>
          <w:tcPr>
            <w:tcW w:w="40" w:type="dxa"/>
            <w:vAlign w:val="bottom"/>
          </w:tcPr>
          <w:p>
            <w:pPr>
              <w:spacing w:after="0"/>
              <w:rPr>
                <w:sz w:val="13"/>
                <w:szCs w:val="13"/>
                <w:color w:val="auto"/>
              </w:rPr>
            </w:pPr>
          </w:p>
        </w:tc>
        <w:tc>
          <w:tcPr>
            <w:tcW w:w="10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8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and</w:t>
            </w:r>
          </w:p>
        </w:tc>
        <w:tc>
          <w:tcPr>
            <w:tcW w:w="10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110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Equivalent</w:t>
            </w:r>
          </w:p>
        </w:tc>
        <w:tc>
          <w:tcPr>
            <w:tcW w:w="120" w:type="dxa"/>
            <w:vAlign w:val="bottom"/>
          </w:tcPr>
          <w:p>
            <w:pPr>
              <w:spacing w:after="0"/>
              <w:rPr>
                <w:sz w:val="13"/>
                <w:szCs w:val="13"/>
                <w:color w:val="auto"/>
              </w:rPr>
            </w:pPr>
          </w:p>
        </w:tc>
        <w:tc>
          <w:tcPr>
            <w:tcW w:w="900" w:type="dxa"/>
            <w:vAlign w:val="bottom"/>
          </w:tcPr>
          <w:p>
            <w:pPr>
              <w:jc w:val="right"/>
              <w:ind w:right="55"/>
              <w:spacing w:after="0" w:line="160"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0" w:type="dxa"/>
            <w:vAlign w:val="bottom"/>
          </w:tcPr>
          <w:p>
            <w:pPr>
              <w:spacing w:after="0"/>
              <w:rPr>
                <w:sz w:val="1"/>
                <w:szCs w:val="1"/>
                <w:color w:val="auto"/>
              </w:rPr>
            </w:pPr>
          </w:p>
        </w:tc>
      </w:tr>
      <w:tr>
        <w:trPr>
          <w:trHeight w:val="162"/>
        </w:trPr>
        <w:tc>
          <w:tcPr>
            <w:tcW w:w="22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4"/>
                <w:szCs w:val="14"/>
                <w:color w:val="auto"/>
              </w:rPr>
            </w:pPr>
          </w:p>
        </w:tc>
        <w:tc>
          <w:tcPr>
            <w:tcW w:w="760" w:type="dxa"/>
            <w:vAlign w:val="bottom"/>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4"/>
                <w:szCs w:val="14"/>
                <w:color w:val="auto"/>
              </w:rPr>
            </w:pPr>
          </w:p>
        </w:tc>
        <w:tc>
          <w:tcPr>
            <w:tcW w:w="9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0" w:type="dxa"/>
            <w:vAlign w:val="bottom"/>
          </w:tcPr>
          <w:p>
            <w:pPr>
              <w:spacing w:after="0"/>
              <w:rPr>
                <w:sz w:val="1"/>
                <w:szCs w:val="1"/>
                <w:color w:val="auto"/>
              </w:rPr>
            </w:pPr>
          </w:p>
        </w:tc>
      </w:tr>
      <w:tr>
        <w:trPr>
          <w:trHeight w:val="209"/>
        </w:trPr>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Series A</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270,856</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270,856</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270,856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2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Series B</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815,730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815,730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815,730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10,637</w:t>
            </w: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Series C</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981,596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981,596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0" w:type="dxa"/>
            <w:vAlign w:val="bottom"/>
          </w:tcPr>
          <w:p>
            <w:pPr>
              <w:spacing w:after="0"/>
              <w:rPr>
                <w:sz w:val="1"/>
                <w:szCs w:val="1"/>
                <w:color w:val="auto"/>
              </w:rPr>
            </w:pPr>
          </w:p>
        </w:tc>
      </w:tr>
      <w:tr>
        <w:trPr>
          <w:trHeight w:val="216"/>
        </w:trPr>
        <w:tc>
          <w:tcPr>
            <w:tcW w:w="2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Series D</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992,064</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992,064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992,064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7"/>
              </w:rPr>
              <w:t>Series E</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1,879,700</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1,671,798</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1,671,798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37,799</w:t>
            </w:r>
          </w:p>
        </w:tc>
        <w:tc>
          <w:tcPr>
            <w:tcW w:w="0" w:type="dxa"/>
            <w:vAlign w:val="bottom"/>
          </w:tcPr>
          <w:p>
            <w:pPr>
              <w:spacing w:after="0"/>
              <w:rPr>
                <w:sz w:val="1"/>
                <w:szCs w:val="1"/>
                <w:color w:val="auto"/>
              </w:rPr>
            </w:pPr>
          </w:p>
        </w:tc>
      </w:tr>
      <w:tr>
        <w:trPr>
          <w:trHeight w:val="210"/>
        </w:trPr>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4,939,946</w:t>
            </w:r>
          </w:p>
        </w:tc>
        <w:tc>
          <w:tcPr>
            <w:tcW w:w="2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4,732,044</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4,732,044</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86,936</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The carrying value reflects the gross proceeds received from the sale of the preferred stock less issuance costs.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7" w:name="page148"/>
    <w:bookmarkEnd w:id="1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relative rights, terms, privileges, and restrictions granted to or imposed upon preferred stockholders are described below:</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Preferred Stock - Dividends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Prior and in preference to any declaration or payment of any dividends to the holders of common stock, the holders of preferred stock were entitled to receive dividends out of any assets legally available therefore, at the rate of eight percent (8%) of the original issue price per share per annum. The original issue price of Series A, Series B, Series C, Series D, and Series E was $9.23, $13.04, $16.30, $20.16, and $22.61, respectively. The dividends were not cumulative.</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the event that the dividend amount declared by the Board of Directors of Legacy Adagio was insufficient to permit payment of the full aforesaid dividends, such dividends would have been paid ratably to each holder of preferred stock in proportion to the dividend amounts to which each holder of preferred stock was entitled. After payment of the full amount of the aforesaid dividends, any additional dividends declared would have been distributed to the holder of common stock and preferred stock in proportion to the number of shares of common stock that were held by such holder on an as-converted to common stock basis.</w:t>
      </w:r>
    </w:p>
    <w:p>
      <w:pPr>
        <w:spacing w:after="0" w:line="18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No dividends on preferred stock or common stock had been declared by the Board of Directors as of July 30, 2024 (Predecessor) or as of the Closing Date.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the event of liquidation of Legacy Adagio, including a merger, acquisition, or sale of all or substantially all the assets of Legacy Adagio, holders of preferred stock were entitled to receive an amount equal to the original issue price of each share of preferred stock held plus any dividends declared but not yet paid, prior to any distribution of assets or surplus funds of Legacy Adagio to common stock shareholders. After payment had been made to the holders of the preferred stock of the full amounts to which they were entitled as noted above, the remaining assets would have been distributed among the holders of the common stock pro rata based on the number of shares of common stock held by each holder.</w:t>
      </w:r>
    </w:p>
    <w:p>
      <w:pPr>
        <w:spacing w:after="0" w:line="18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If, at the time of liquidation, the assets were insufficient to permit full payment of the liquidation preferences of the series listed in the order above, the assets would have been distributed ratably among the holders of the series in proportion to the full preferential amount each such holder was otherwise entitled to receive in respect to such shares.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So long as the shares of preferred stock that were convertible into at least 1,000,000 shares of common stock (subject to appropriate adjustment in the event of any stock dividends, stock split, combination or other similar recapitalization with respect to the common stock) were issued and outstanding, the holders of preferred stock, voting as a separate class on an as-converted to common stock basis, had the right to elect four members of the Board of Directors of Legacy Adagio. The holders of common stock, voting as a separate class, had the right to elect one member of the Board of Directors. The remaining directors would be elected by the holders of the common stock and the preferred stock, voting together as a single class on an as-converted to common stock basis.</w:t>
      </w:r>
    </w:p>
    <w:p>
      <w:pPr>
        <w:spacing w:after="0" w:line="18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On all other matters, the holders of the preferred stock had full voting rights and powers equal to the voting rights and powers of the holders of common stock.</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Fractional votes by the holders of preferred stock were not permitted and any fractional voting rights would be rounded to the nearest whole number.</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8" w:name="page149"/>
    <w:bookmarkEnd w:id="1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Each share of preferred stock was convertible, at the option of the holder, into shares of common stock without the payment of any additional consideration. The preferred stock was convertible into the number of fully paid and nonassessable shares of common stock, which results from dividing the conversion price per share in effect for the preferred stock at the time of conversion into the per share conversion value. The initial per share conversion price of Series A, Series B, Series C, Series D, and Series E was $9.23, $13.04, $16.30, $20.16, and $22.61, respectively. The initial conversion price was subject to adjustment for antidilution provisions, as defined. The per share conversion value of Series A, Series B, Series C, Series D, and Series E was $9.23, $13.04, $16.30, $20.16, and $22.61, respectively.</w:t>
      </w:r>
    </w:p>
    <w:p>
      <w:pPr>
        <w:spacing w:after="0" w:line="18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Each share of preferred stock would automatically be converted into shares of common stock at the then effective conversion rate immediately upon the earlier of (i) the election of the holders of a majority of the outstanding shares of preferred stock, voting as a separate class on an as-converted to common stock basis, or (ii) the closing of the sale of the Legacy Adagio common stock in a firm commitment, underwritten public offering registered under the Securities Act of 1933, as amended, with aggregate offering proceeds to Legacy Adagio (before deduction for underwriters’ discounts and expenses relating to the issuance) of at least $75 million and a public offering price per share equal to at least $67.83 (subject to adjustments for stock dividends, splits, combinations and similar events).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Protective Provisions</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So long as there were at least 1,000,000 shares of preferred stock outstanding, Legacy Adagio shall not (by merger, reclassification, amendment or otherwise), without first obtaining the approval of the holders of at least seventy percent (70%) of the then outstanding shares of preferred stock, voting separately as a class, to, among other things: (i) amend the certificate of incorporation or bylaws; (ii) adversely alter or change the rights, preferences or privileges of the preferred stock; (iii) increase or decrease the aggregate number of authorized shares of any class of the capital stock of Legacy Adagio.</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So long as shares of Series E preferred stock that were convertible into at least 500,000 shares of common stock (subject to appropriate adjustment in the event of any stock dividend, stock split, combination or other similar recapitalization with respect to the common stock) were issued and outstanding, Legacy Adagio did not, directly or indirectly (by merger, reclassification, amendment or otherwise), without first obtaining the approval of the holders of at least a majority of the voting power of the then outstanding shares of Series E preferred stock, voting separately as a class, do, among other things: (i) amend, alter, repeal or waive any provision of the certificate of incorporation or bylaws of Legacy Adagio in a manner that adversely affected the holders of the Series E preferred stock in a manner different from any other series of preferred stock; (ii) create or authorize the creation of or issue any other security convertible into or exercisable for any equity security having rights, preferences or privileges senior to the Series E preferred stock; or (iii) increase or decrease the authorized number of shares of Series E preferred stock.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9" w:name="page150"/>
    <w:bookmarkEnd w:id="1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Common Stock (Predecessor)</w:t>
      </w:r>
    </w:p>
    <w:p>
      <w:pPr>
        <w:spacing w:after="0" w:line="229" w:lineRule="exact"/>
        <w:rPr>
          <w:sz w:val="20"/>
          <w:szCs w:val="20"/>
          <w:color w:val="auto"/>
        </w:rPr>
      </w:pPr>
    </w:p>
    <w:p>
      <w:pPr>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Prior to the Business Combination, each share of Legacy Adagio common stock was entitled to one vote. As of December 31, 2024 (Predecessor), Legacy Adagio was authorized to issue up to 6,594,946 of common stock at a par value of $0.001 per share out of which 786,510 shares were issued and 779,908 shares were outstanding.</w:t>
      </w:r>
    </w:p>
    <w:p>
      <w:pPr>
        <w:spacing w:after="0" w:line="174"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color w:val="auto"/>
        </w:rPr>
        <w:t xml:space="preserve">On the Closing Date, as explained in </w:t>
      </w:r>
      <w:r>
        <w:rPr>
          <w:rFonts w:ascii="Times New Roman" w:cs="Times New Roman" w:eastAsia="Times New Roman" w:hAnsi="Times New Roman"/>
          <w:sz w:val="18"/>
          <w:szCs w:val="18"/>
          <w:i w:val="1"/>
          <w:iCs w:val="1"/>
          <w:color w:val="auto"/>
        </w:rPr>
        <w:t>Note 3 - Forward Merger</w:t>
      </w:r>
      <w:r>
        <w:rPr>
          <w:rFonts w:ascii="Times New Roman" w:cs="Times New Roman" w:eastAsia="Times New Roman" w:hAnsi="Times New Roman"/>
          <w:sz w:val="18"/>
          <w:szCs w:val="18"/>
          <w:color w:val="auto"/>
        </w:rPr>
        <w:t>, each share of Legacy Adagio issued and outstanding prior to the Closing Date was converted into the Company’s common stock based on the exchange ratio set forth in the Business Combination Agreement.</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Common Stock (Successor)</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(Successor), the Company’s certificate of incorporation, as amended and restated, authorized the Company to issue up to 210,000,000 of common stock at a par value of $0.0001 per share, and 20,000,000 shares of preferred stock, par value $0.0001 per share. As of December 31, 2025 (Successor), 22,210,459 shares were issued and outstanding, including 1,147,500 Sponsor Earnout (as defined below).</w:t>
      </w:r>
    </w:p>
    <w:p>
      <w:pPr>
        <w:spacing w:after="0" w:line="1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September 2024, the Company issued 1,147,500 shares of the Company’s Common Stock (such issuance, the “Sponsor Earnout”) to the AYRA Sponsor under the Sponsor Letter Agreement dated February 13, 2024 (“the Sponsor Letter Agreement”). Pursuant to the agreement, the Sponsor Earnout shall be unvested and vests upon the earlier of: (i) During the period from the effective time to the 10th anniversary of the Closing Date (the “Earn-Out Period”), the stock price of the Company’s Common Stock equals to or exceeds $24.00 per share for any 20 trading days within any 30 trading day period from and after the Closing Date and (ii) immediately prior to the consummation of a company sale during the Earn-Out Period.</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the reporting date, the vesting of the Sponsor Earnout was not considered probable.</w:t>
      </w:r>
    </w:p>
    <w:p>
      <w:pPr>
        <w:spacing w:after="0" w:line="225"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According to ASC 815, it is determined that the Sponsor Earnout is indexed to the Company’s common stock and classified as equity and is initially measured at fair value and not subsequently remeasured. The Sponsor Earnout vests when the Company’s stock price meets a stated price or there is a company sale during the earnout period. Upon meeting either vesting condition, the same number of the Company’s common stock would be issued and no longer subject to forfeiture or cancellation. The Sponsor Earnout meets the ASC 815-40 indexation guidance. Specifically, the stated stock price and company sale, as the exercise contingencies, do not preclude equity indexation and there is no variability in the number of shares issuable under the Sponsor Earnout. Additionally, the Sponsor Earnout at the issuance meets the ASC 815-40 equity classification criterion as the Company has sufficient authorized shares available to settle the Sponsor Earnout and all the antidilution adjustments are in the control of the Company.</w:t>
      </w:r>
    </w:p>
    <w:p>
      <w:pPr>
        <w:spacing w:after="0" w:line="18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holders of the Company’s common stock are entitled to receive dividends whenever funds are legally available, when and if declared by the Company’s Board of Directors. As of December 31, 2025 (Successor), no cash dividend has been declared to date. Each share of the Company’s common stock is entitled to one vote.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0" w:name="page151"/>
    <w:bookmarkEnd w:id="1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the number of shares of common stock outstanding immediately following the Closing:</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12"/>
        </w:trPr>
        <w:tc>
          <w:tcPr>
            <w:tcW w:w="76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Number of Shares</w:t>
            </w:r>
          </w:p>
        </w:tc>
      </w:tr>
      <w:tr>
        <w:trPr>
          <w:trHeight w:val="215"/>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 from 2024 PIPE Financing for cash</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3,287,018</w:t>
            </w:r>
          </w:p>
        </w:tc>
      </w:tr>
      <w:tr>
        <w:trPr>
          <w:trHeight w:val="216"/>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Conversion of ARYA convertible promissory notes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355,100</w:t>
            </w:r>
          </w:p>
        </w:tc>
      </w:tr>
      <w:tr>
        <w:trPr>
          <w:trHeight w:val="216"/>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Conversion of ARYA Class A ordinary shares and Class B ordinary shares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2,089,000</w:t>
            </w:r>
          </w:p>
        </w:tc>
      </w:tr>
      <w:tr>
        <w:trPr>
          <w:trHeight w:val="216"/>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Conversion of Class A ordinary shares subject to redemption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123,520</w:t>
            </w:r>
          </w:p>
        </w:tc>
      </w:tr>
      <w:tr>
        <w:trPr>
          <w:trHeight w:val="216"/>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 issued in purchase consideration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6,771,769</w:t>
            </w:r>
          </w:p>
        </w:tc>
      </w:tr>
      <w:tr>
        <w:trPr>
          <w:trHeight w:val="198"/>
        </w:trPr>
        <w:tc>
          <w:tcPr>
            <w:tcW w:w="7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Additional shares issued and reclassification of Class A ordinary shares subject to non-redemption</w:t>
            </w:r>
          </w:p>
        </w:tc>
        <w:tc>
          <w:tcPr>
            <w:tcW w:w="1300" w:type="dxa"/>
            <w:vAlign w:val="bottom"/>
          </w:tcPr>
          <w:p>
            <w:pPr>
              <w:spacing w:after="0"/>
              <w:rPr>
                <w:sz w:val="17"/>
                <w:szCs w:val="17"/>
                <w:color w:val="auto"/>
              </w:rPr>
            </w:pPr>
          </w:p>
        </w:tc>
      </w:tr>
      <w:tr>
        <w:trPr>
          <w:trHeight w:val="234"/>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agreements and open market subscription agreements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761,229</w:t>
            </w:r>
          </w:p>
        </w:tc>
      </w:tr>
      <w:tr>
        <w:trPr>
          <w:trHeight w:val="209"/>
        </w:trPr>
        <w:tc>
          <w:tcPr>
            <w:tcW w:w="7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13,387,636</w:t>
            </w:r>
          </w:p>
        </w:tc>
      </w:tr>
      <w:tr>
        <w:trPr>
          <w:trHeight w:val="20"/>
        </w:trPr>
        <w:tc>
          <w:tcPr>
            <w:tcW w:w="76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reserved common stock for further issuance as of December 31, 2025 (Successor) and December 31, 2024 (Successor):</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42"/>
        </w:trPr>
        <w:tc>
          <w:tcPr>
            <w:tcW w:w="638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Warrants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7,528,727</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PIPE Pre-funded Warrants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2,963,612</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Securities Notes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3,231,327</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 PIPE Milestone Warrants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18,038,829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 Warrants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Company’s common stock issuable upon the exercise of outstanding options Legacy</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Adagio’s equity plans that were assumed in the Business Combination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reserved for future issuance under the 2024 Equity Incentive Plan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6,197,737</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reserved for future issuance under the 2024 Key Employee Equity</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Plan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3,354,444</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3,354,444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3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reserved for future issuance under the 2024 Employee Stock Purchase</w:t>
            </w: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441,293</w:t>
            </w:r>
          </w:p>
        </w:tc>
        <w:tc>
          <w:tcPr>
            <w:tcW w:w="160" w:type="dxa"/>
            <w:vAlign w:val="bottom"/>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reserved for future issuance</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43,263,556</w:t>
            </w: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20,535,970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4320"/>
              <w:spacing w:after="0"/>
              <w:rPr>
                <w:sz w:val="20"/>
                <w:szCs w:val="20"/>
                <w:color w:val="auto"/>
              </w:rPr>
            </w:pPr>
            <w:r>
              <w:rPr>
                <w:rFonts w:ascii="Times New Roman" w:cs="Times New Roman" w:eastAsia="Times New Roman" w:hAnsi="Times New Roman"/>
                <w:sz w:val="18"/>
                <w:szCs w:val="18"/>
                <w:color w:val="auto"/>
              </w:rPr>
              <w:t>151</w:t>
            </w: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3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1" w:name="page152"/>
    <w:bookmarkEnd w:id="1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 Stock-Based Compensation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Predecessor Periods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2012 Stock Incentive Plan</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January 2011, Legacy Adagio’s Board approved the 2012 Stock Incentive Plan (the “2012 Plan”), which permitted grants of Incentive Stock Options (“ISOs”) and Non-statutory Stock Options (“NSOs”) to employees, directors and consultants. The maximum number of shares that can be granted under the 2012 Plan cannot exceed 1,255,000 shares. The 2012 Plan had a maximum 10-year term and as such, terminated in January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2022 Stock Incentive Plan</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In April 2022, the Legacy Adagio’s Board approved, in conjunction with the termination of the 2012 Plan, the 2022 Stock Incentive Plan (the “2022 Plan”), permitting ISOs and NSOs to employees, directors and consultants. The maximum number of shares granted under the 2022 Plan cannot exceed 203,855 plus any shares subject to stock options granted under the 2012 Plan that expired or were otherwise terminated without having been exercised in full, were forfeited, or were repurchased by the Company. The 2022 Plan is intended as the successor to and continuation of the 2012 Plan (thereafter both the 2012 and 2022 Plans are referred to as the “Stock Incentive Plan”).</w:t>
      </w:r>
    </w:p>
    <w:p>
      <w:pPr>
        <w:spacing w:after="0" w:line="18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Stock Incentive Plan provides a means whereby participants may purchase shares of common stock pursuant to ISOs or NSOs and such persons may be granted shares of common stock for consideration consisting of cash and/or past services rendered to or on behalf of Legacy Adagio. ISOs may only be granted to employees. NSOs and stock purchase rights may be granted to employees and consultants. Generally, options awards only have service conditions that need to be met for the awards to vest, with the exception of grants to two non-employees that had performance obligations that were deemed to be immaterial.</w:t>
      </w:r>
    </w:p>
    <w:p>
      <w:pPr>
        <w:spacing w:after="0" w:line="18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stock options generally vest over four years and have a ten-year contractual term. The fair value of each employee and non-employee stock option grant is estimated on the date of grant using the Black-Scholes-Merton option pricing model. As Legacy Adagio lacks company-specific historical and implied volatility information required for valuation, Legacy Adagio estimates its expected stock volatility based on the historical volatility of a publicly traded set of peer companies. Due to the lack of historical exercise history, the expected life term of ISOs that were granted after 2013 was determined using the “simplified method” provided by the Securities and Exchange Commission in Staff Accounting Bulletins Number 107 and 110. The expected life term of NSOs is determined either by using the “simplified method,” or by calculating the time to expiry from the grant date. The risk-free interest rate is determined by reference to the U.S. Treasury yield curve in effect at the time of grant for time periods approximately equal to the expected term of the award. Expected dividend yield is zero as Legacy Adagio has never paid nor does it expect to pay any cash dividend in the near future.</w:t>
      </w:r>
    </w:p>
    <w:p>
      <w:pPr>
        <w:spacing w:after="0" w:line="192" w:lineRule="exact"/>
        <w:rPr>
          <w:sz w:val="20"/>
          <w:szCs w:val="20"/>
          <w:color w:val="auto"/>
        </w:rPr>
      </w:pPr>
    </w:p>
    <w:p>
      <w:pPr>
        <w:jc w:val="both"/>
        <w:ind w:left="60" w:right="79" w:firstLine="324"/>
        <w:spacing w:after="0" w:line="262" w:lineRule="auto"/>
        <w:rPr>
          <w:sz w:val="20"/>
          <w:szCs w:val="20"/>
          <w:color w:val="auto"/>
        </w:rPr>
      </w:pPr>
      <w:r>
        <w:rPr>
          <w:rFonts w:ascii="Times New Roman" w:cs="Times New Roman" w:eastAsia="Times New Roman" w:hAnsi="Times New Roman"/>
          <w:sz w:val="18"/>
          <w:szCs w:val="18"/>
          <w:color w:val="auto"/>
        </w:rPr>
        <w:t>The following table summarizes stock option activity during the periods from January 1, 2024 to July 30, 2024 (Predecessor):</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4"/>
                <w:szCs w:val="14"/>
                <w:color w:val="auto"/>
              </w:rPr>
            </w:pPr>
          </w:p>
        </w:tc>
        <w:tc>
          <w:tcPr>
            <w:tcW w:w="7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4"/>
                <w:szCs w:val="14"/>
                <w:color w:val="auto"/>
              </w:rPr>
            </w:pPr>
          </w:p>
        </w:tc>
        <w:tc>
          <w:tcPr>
            <w:tcW w:w="7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6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Exercise Price</w:t>
            </w: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78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2023 (Predecessor)</w:t>
            </w:r>
          </w:p>
        </w:tc>
        <w:tc>
          <w:tcPr>
            <w:tcW w:w="5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747,001</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July 30, 2024 (Predecessor)</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740,409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Vested and expected to vest, July 30, 2024 (Predecessor)</w:t>
            </w:r>
          </w:p>
        </w:tc>
        <w:tc>
          <w:tcPr>
            <w:tcW w:w="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80" w:type="dxa"/>
            <w:vAlign w:val="bottom"/>
            <w:tcBorders>
              <w:bottom w:val="single" w:sz="8" w:color="CCEEFF"/>
            </w:tcBorders>
            <w:vMerge w:val="continue"/>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vMerge w:val="continue"/>
          </w:tcPr>
          <w:p>
            <w:pPr>
              <w:spacing w:after="0"/>
              <w:rPr>
                <w:sz w:val="20"/>
                <w:szCs w:val="20"/>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47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Vested and exercisable, July 30, 2024 (Predecessor)</w:t>
            </w:r>
          </w:p>
        </w:tc>
        <w:tc>
          <w:tcPr>
            <w:tcW w:w="5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2" w:name="page153"/>
    <w:bookmarkEnd w:id="1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There were no stock options exercised during the period from January 1, 2024 to July 30, 2024 (Predecessor). Certain stock option grants under the Stock Incentive Plan allow the recipient to exercise the options prior to the options becoming fully vested. Under the Stock Incentive Plan, the Company retains the right to repurchase common shares that have been issued upon early exercise of options at the original issue price. Cash received for the early exercise of unvested stock options is initially recorded as a liability. At each reporting date, the vested shares are released to equity.</w:t>
      </w:r>
    </w:p>
    <w:p>
      <w:pPr>
        <w:spacing w:after="0" w:line="18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fair value of awards vested was $0.3 million during the period from January 1, 2024 to July 30, 2024 (Predecessor). As of July 30, 2024 prior to the Closing (Predecessor), the total unrecognized compensation cost of $0.4 million was accelerated at the Closing, which was recognized and expensed in accordance with the terms of the 2012 Stock Incentive Plan and the 2022 Stock Incentive Plan.</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Upon the consummation of the Business Combination, 45,544 In-the-Money Adagio Options were canceled and extinguished in exchange for 7,587 options to purchase the Company’s common stock, and the 2022 Plan was terminated.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jc w:val="both"/>
        <w:ind w:left="60" w:right="79" w:firstLine="324"/>
        <w:spacing w:after="0" w:line="255" w:lineRule="auto"/>
        <w:rPr>
          <w:sz w:val="20"/>
          <w:szCs w:val="20"/>
          <w:color w:val="auto"/>
        </w:rPr>
      </w:pPr>
      <w:r>
        <w:rPr>
          <w:rFonts w:ascii="Times New Roman" w:cs="Times New Roman" w:eastAsia="Times New Roman" w:hAnsi="Times New Roman"/>
          <w:sz w:val="18"/>
          <w:szCs w:val="18"/>
          <w:color w:val="auto"/>
        </w:rPr>
        <w:t>The following table summarizes the total stock-based compensation expense related to stock options recorded in the consolidated statements of operations and comprehensive loss for the year ended December 31, 2025 (Successor), and for the periods from July 31, 2024 to December 31, 2024 (Successor), and January 1, 2024 to July 30, 2024 (Predecessor) (in thousands):</w:t>
      </w:r>
    </w:p>
    <w:p>
      <w:pPr>
        <w:spacing w:after="0" w:line="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14"/>
                <w:szCs w:val="14"/>
                <w:color w:val="auto"/>
              </w:rPr>
            </w:pPr>
          </w:p>
        </w:tc>
      </w:tr>
      <w:tr>
        <w:trPr>
          <w:trHeight w:val="162"/>
        </w:trPr>
        <w:tc>
          <w:tcPr>
            <w:tcW w:w="5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22"/>
        </w:trPr>
        <w:tc>
          <w:tcPr>
            <w:tcW w:w="5880" w:type="dxa"/>
            <w:vAlign w:val="bottom"/>
          </w:tcPr>
          <w:p>
            <w:pPr>
              <w:spacing w:after="0"/>
              <w:rPr>
                <w:sz w:val="10"/>
                <w:szCs w:val="10"/>
                <w:color w:val="auto"/>
              </w:rPr>
            </w:pPr>
          </w:p>
        </w:tc>
        <w:tc>
          <w:tcPr>
            <w:tcW w:w="840" w:type="dxa"/>
            <w:vAlign w:val="bottom"/>
            <w:tcBorders>
              <w:bottom w:val="single" w:sz="8" w:color="auto"/>
            </w:tcBorders>
            <w:gridSpan w:val="2"/>
          </w:tcPr>
          <w:p>
            <w:pPr>
              <w:jc w:val="right"/>
              <w:ind w:right="57"/>
              <w:spacing w:after="0" w:line="122"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10"/>
                <w:szCs w:val="10"/>
                <w:color w:val="auto"/>
              </w:rPr>
            </w:pPr>
          </w:p>
        </w:tc>
        <w:tc>
          <w:tcPr>
            <w:tcW w:w="840" w:type="dxa"/>
            <w:vAlign w:val="bottom"/>
            <w:tcBorders>
              <w:bottom w:val="single" w:sz="8" w:color="auto"/>
            </w:tcBorders>
            <w:gridSpan w:val="2"/>
          </w:tcPr>
          <w:p>
            <w:pPr>
              <w:ind w:left="120"/>
              <w:spacing w:after="0" w:line="122" w:lineRule="exact"/>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Borders>
              <w:bottom w:val="single" w:sz="8" w:color="auto"/>
            </w:tcBorders>
            <w:gridSpan w:val="2"/>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17"/>
        </w:trPr>
        <w:tc>
          <w:tcPr>
            <w:tcW w:w="5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July 31 to</w:t>
            </w:r>
          </w:p>
        </w:tc>
        <w:tc>
          <w:tcPr>
            <w:tcW w:w="2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January 1 to</w:t>
            </w:r>
          </w:p>
        </w:tc>
      </w:tr>
      <w:tr>
        <w:trPr>
          <w:trHeight w:val="173"/>
        </w:trPr>
        <w:tc>
          <w:tcPr>
            <w:tcW w:w="58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bottom w:val="single" w:sz="8" w:color="CCEEFF"/>
              <w:right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July 30</w:t>
            </w:r>
          </w:p>
        </w:tc>
      </w:tr>
      <w:tr>
        <w:trPr>
          <w:trHeight w:val="21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16"/>
        </w:trPr>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administration</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0"/>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right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3" w:name="page154"/>
    <w:bookmarkEnd w:id="1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Successor </w:t>
      </w:r>
      <w:r>
        <w:rPr>
          <w:rFonts w:ascii="Times New Roman" w:cs="Times New Roman" w:eastAsia="Times New Roman" w:hAnsi="Times New Roman"/>
          <w:sz w:val="18"/>
          <w:szCs w:val="18"/>
          <w:b w:val="1"/>
          <w:bCs w:val="1"/>
          <w:i w:val="1"/>
          <w:iCs w:val="1"/>
          <w:color w:val="auto"/>
        </w:rPr>
        <w:t>Periods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229"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The Board of Directors of the Company adopted the 2024 Equity Incentive Plan on July 26, 2024. The purpose of the 2024 Equity Incentive Plan is to promote the success and enhance the value of the Company by linking the individual interests of the members of the Board of Directors, employees, and consultants to those of Company stockholders and by providing such individuals with an incentive for outstanding performance to generate superior returns to Company stockholders. The 2024 Equity Incentive Plan authorizes the issuance of up to 4,472,593 shares of the Company’s Common Stock, plus an annual increase on the first day of each year beginning in 2025 and ending in (and including) 2034 equal to the lesser of (A) five percent (5%) of the shares of Common Stock outstanding on a fully diluted basis on the last day of the immediately preceding fiscal year and (B) such smaller number of shares of Company’s Common Stock as determined by the Board or the compensation committee thereof. Accordingly, on January 1, 2025, the number of shares of common stock available for issuance under the 2024 Equity Incentive Plan increased by 1,725,144 shares. The Company may grant an option, a stock appreciation right, a restricted stock award, a restricted stock unit award, a performance stock award, a performance stock unit award, or other stock- or cash-based award, or a dividend equivalent award, which may be awarded or granted under the 2024 Equity Incentive Plan. The awards can be issued to any person who is an employee, a consultant, or a non-employee director.</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year ended December 31, 2025, the Company granted 5,777,965 awards under this plan.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Key Employee Equity Incentive Plan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Board of Directors of the Company adopted the 2024 Key Employee Equity Incentive Plan on July 26, 2024. The purpose of the 2024 Key Employee Equity Incentive Plan is to promote the success and enhance the value of the Company by linking the individual interests of key employees of the Company to those of Company stockholders and by providing such individuals with an incentive for outstanding performance to generate superior returns to Company stockholders. The 2024 Key Employee Equity Incentive Plan authorizes the issuance of up to 3,354,444 shares of the Company’s Common Stock. The Company may grant option, a stock appreciation right, a restricted stock award, a restricted stock unit award, a performance stock award, a performance stock unit award, other stock- or cash-based award, or a dividend equivalent award, which may be awarded or granted under the plan. The awards can only be issued to certain individuals as identified in the 2024 Key Employee Equity Incentive Plan who are an employee, a consultant, or a non-employee director.</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has not granted any awards under this plan as of December 31, 2025.</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Board of Directors of the Company adopted the 2024 Employee Stock Purchase Plan on July 26, 2024. The 2024 Employee Stock Purchase Plan provides a means by which eligible employees of the Company and certain designated related corporations may be given an opportunity to purchase shares of the Company’s Common Stock. The 2024 Employee Stock Purchase Plan permits the Company to grant a series of purchase rights to eligible employees. The 2024 Employee Stock Purchase Plan authorizes the issuance of up to 441,293 shares of the Company’s Common Stock, plus an annual increase on the first day of each year for the ten (10) calendar years immediately after the first Offering Date (as defined in the 2024 Employee Stock Purchase Plan) equal to one percent (1%) of the share of common stock outstanding on a fully diluted basis on the last day of the immediately preceding fiscal year, provided that the Board or its compensation committee may reduce the amount of the increase in any particular year.</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has not granted any purchase rights under this plan as of December 31,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4" w:name="page155"/>
    <w:bookmarkEnd w:id="1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year ended December 31, 2025 (Successor):</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100" w:type="dxa"/>
            <w:vAlign w:val="bottom"/>
            <w:gridSpan w:val="2"/>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4"/>
                <w:szCs w:val="14"/>
                <w:color w:val="auto"/>
              </w:rPr>
            </w:pPr>
          </w:p>
        </w:tc>
        <w:tc>
          <w:tcPr>
            <w:tcW w:w="7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4"/>
                <w:szCs w:val="14"/>
                <w:color w:val="auto"/>
              </w:rPr>
            </w:pPr>
          </w:p>
        </w:tc>
        <w:tc>
          <w:tcPr>
            <w:tcW w:w="7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80" w:type="dxa"/>
            <w:vAlign w:val="bottom"/>
            <w:gridSpan w:val="5"/>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Exercise PriceContractual</w:t>
            </w:r>
          </w:p>
        </w:tc>
        <w:tc>
          <w:tcPr>
            <w:tcW w:w="100" w:type="dxa"/>
            <w:vAlign w:val="bottom"/>
          </w:tcPr>
          <w:p>
            <w:pPr>
              <w:spacing w:after="0"/>
              <w:rPr>
                <w:sz w:val="12"/>
                <w:szCs w:val="12"/>
                <w:color w:val="auto"/>
              </w:rPr>
            </w:pPr>
          </w:p>
        </w:tc>
        <w:tc>
          <w:tcPr>
            <w:tcW w:w="78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2024 (Successor)</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5,777,965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December 31, 2025 (Successor)</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5,785,552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Options vested, December 31, 2025 (Successor)</w:t>
            </w:r>
          </w:p>
        </w:tc>
        <w:tc>
          <w:tcPr>
            <w:tcW w:w="280" w:type="dxa"/>
            <w:vAlign w:val="bottom"/>
            <w:vMerge w:val="restart"/>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4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2,057,844</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0.93</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9.17</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196"/>
        </w:trPr>
        <w:tc>
          <w:tcPr>
            <w:tcW w:w="50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Options vested and exercisable, December 31, 2025 (Successor)</w:t>
            </w: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5,785,552</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0.95</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discussed above, the Company has not granted any options under the 2024 Key Employee Equity Incentive Plan and the 2024 Employee Stock Purchase Plan.</w:t>
      </w:r>
    </w:p>
    <w:p>
      <w:pPr>
        <w:spacing w:after="0" w:line="162" w:lineRule="exact"/>
        <w:rPr>
          <w:sz w:val="20"/>
          <w:szCs w:val="20"/>
          <w:color w:val="auto"/>
        </w:rPr>
      </w:pPr>
    </w:p>
    <w:p>
      <w:pPr>
        <w:ind w:left="100" w:right="59" w:firstLine="279"/>
        <w:spacing w:after="0" w:line="282" w:lineRule="auto"/>
        <w:rPr>
          <w:sz w:val="20"/>
          <w:szCs w:val="20"/>
          <w:color w:val="auto"/>
        </w:rPr>
      </w:pPr>
      <w:r>
        <w:rPr>
          <w:rFonts w:ascii="Times New Roman" w:cs="Times New Roman" w:eastAsia="Times New Roman" w:hAnsi="Times New Roman"/>
          <w:sz w:val="18"/>
          <w:szCs w:val="18"/>
          <w:color w:val="auto"/>
        </w:rPr>
        <w:t>As of December 31, 2025, the total unrecognized stock-based compensation expense related to unvested stock options was $2.6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 Loss Per Share (“LPS”)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Predecessor</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attributable to common stockholders by the weighted-average number of shares of common stock outstanding for the period. Diluted net loss per common share excludes the potential impact of the Company’s convertible preferred stock, common stock warrants, and common stock options because the Company’s net losses would cause such shares to be anti-dilutive. Therefore, as the Company recorded net losses in the periods presented, basic and diluted net loss per common share are the same.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8890</wp:posOffset>
            </wp:positionV>
            <wp:extent cx="5648960" cy="146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9" w:lineRule="exact"/>
        <w:rPr>
          <w:sz w:val="20"/>
          <w:szCs w:val="20"/>
          <w:color w:val="auto"/>
        </w:rPr>
      </w:pPr>
    </w:p>
    <w:p>
      <w:pPr>
        <w:ind w:left="60" w:right="94"/>
        <w:spacing w:after="0" w:line="250" w:lineRule="auto"/>
        <w:rPr>
          <w:sz w:val="20"/>
          <w:szCs w:val="20"/>
          <w:color w:val="auto"/>
        </w:rPr>
      </w:pPr>
      <w:r>
        <w:rPr>
          <w:rFonts w:ascii="Times New Roman" w:cs="Times New Roman" w:eastAsia="Times New Roman" w:hAnsi="Times New Roman"/>
          <w:sz w:val="18"/>
          <w:szCs w:val="18"/>
          <w:color w:val="auto"/>
        </w:rPr>
        <w:t>Weighted-average shares outstanding used in computing net loss per share attributable to common stockholders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564896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48960" cy="15430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 basic and diluted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left="86"/>
        <w:spacing w:after="0"/>
        <w:rPr>
          <w:sz w:val="20"/>
          <w:szCs w:val="20"/>
          <w:color w:val="auto"/>
        </w:rPr>
      </w:pPr>
      <w:r>
        <w:rPr>
          <w:rFonts w:ascii="Times New Roman" w:cs="Times New Roman" w:eastAsia="Times New Roman" w:hAnsi="Times New Roman"/>
          <w:sz w:val="16"/>
          <w:szCs w:val="16"/>
          <w:b w:val="1"/>
          <w:bCs w:val="1"/>
          <w:color w:val="auto"/>
        </w:rPr>
        <w:t>Predecessor</w:t>
      </w:r>
    </w:p>
    <w:p>
      <w:pPr>
        <w:spacing w:after="0" w:line="32" w:lineRule="exact"/>
        <w:rPr>
          <w:sz w:val="20"/>
          <w:szCs w:val="20"/>
          <w:color w:val="auto"/>
        </w:rPr>
      </w:pPr>
    </w:p>
    <w:p>
      <w:pPr>
        <w:ind w:left="66"/>
        <w:spacing w:after="0"/>
        <w:rPr>
          <w:sz w:val="20"/>
          <w:szCs w:val="20"/>
          <w:color w:val="auto"/>
        </w:rPr>
      </w:pPr>
      <w:r>
        <w:rPr>
          <w:rFonts w:ascii="Times New Roman" w:cs="Times New Roman" w:eastAsia="Times New Roman" w:hAnsi="Times New Roman"/>
          <w:sz w:val="16"/>
          <w:szCs w:val="16"/>
          <w:b w:val="1"/>
          <w:bCs w:val="1"/>
          <w:color w:val="auto"/>
        </w:rPr>
        <w:t>January 1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643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8" w:lineRule="exact"/>
        <w:rPr>
          <w:sz w:val="20"/>
          <w:szCs w:val="20"/>
          <w:color w:val="auto"/>
        </w:rPr>
      </w:pPr>
    </w:p>
    <w:p>
      <w:pPr>
        <w:ind w:left="46"/>
        <w:spacing w:after="0"/>
        <w:rPr>
          <w:sz w:val="20"/>
          <w:szCs w:val="20"/>
          <w:color w:val="auto"/>
        </w:rPr>
      </w:pPr>
      <w:r>
        <w:rPr>
          <w:rFonts w:ascii="Times New Roman" w:cs="Times New Roman" w:eastAsia="Times New Roman" w:hAnsi="Times New Roman"/>
          <w:sz w:val="16"/>
          <w:szCs w:val="16"/>
          <w:b w:val="1"/>
          <w:bCs w:val="1"/>
          <w:color w:val="auto"/>
        </w:rPr>
        <w:t>July 30, 2024</w:t>
      </w:r>
    </w:p>
    <w:p>
      <w:pPr>
        <w:spacing w:after="0" w:line="236" w:lineRule="exact"/>
        <w:rPr>
          <w:sz w:val="20"/>
          <w:szCs w:val="20"/>
          <w:color w:val="auto"/>
        </w:rPr>
      </w:pPr>
    </w:p>
    <w:p>
      <w:pPr>
        <w:ind w:left="406" w:hanging="406"/>
        <w:spacing w:after="0"/>
        <w:tabs>
          <w:tab w:leader="none" w:pos="406"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(21,278)</w:t>
      </w:r>
    </w:p>
    <w:p>
      <w:pPr>
        <w:spacing w:after="0" w:line="345" w:lineRule="exact"/>
        <w:rPr>
          <w:sz w:val="20"/>
          <w:szCs w:val="20"/>
          <w:color w:val="auto"/>
        </w:rPr>
      </w:pPr>
    </w:p>
    <w:p>
      <w:pPr>
        <w:ind w:left="366"/>
        <w:spacing w:after="0"/>
        <w:rPr>
          <w:sz w:val="20"/>
          <w:szCs w:val="20"/>
          <w:color w:val="auto"/>
        </w:rPr>
      </w:pPr>
      <w:r>
        <w:rPr>
          <w:rFonts w:ascii="Times New Roman" w:cs="Times New Roman" w:eastAsia="Times New Roman" w:hAnsi="Times New Roman"/>
          <w:sz w:val="18"/>
          <w:szCs w:val="18"/>
          <w:color w:val="auto"/>
        </w:rPr>
        <w:t>815,854</w:t>
      </w:r>
    </w:p>
    <w:p>
      <w:pPr>
        <w:spacing w:after="0" w:line="131" w:lineRule="exact"/>
        <w:rPr>
          <w:sz w:val="20"/>
          <w:szCs w:val="20"/>
          <w:color w:val="auto"/>
        </w:rPr>
      </w:pPr>
    </w:p>
    <w:p>
      <w:pPr>
        <w:ind w:left="486" w:hanging="486"/>
        <w:spacing w:after="0"/>
        <w:tabs>
          <w:tab w:leader="none" w:pos="486"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643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7214" w:space="720"/>
            <w:col w:w="1085"/>
          </w:cols>
          <w:pgMar w:left="1440" w:top="513" w:right="1440" w:bottom="1440" w:gutter="0" w:footer="0" w:header="0"/>
          <w:type w:val="continuous"/>
        </w:sectPr>
      </w:pPr>
    </w:p>
    <w:p>
      <w:pPr>
        <w:spacing w:after="0" w:line="61"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diluted net loss per share calculations for the periods presented because the impact of including them would be anti-dilutive: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80" w:type="dxa"/>
            <w:vAlign w:val="bottom"/>
            <w:tcBorders>
              <w:bottom w:val="single" w:sz="8" w:color="CCEEFF"/>
            </w:tcBorders>
          </w:tcPr>
          <w:p>
            <w:pPr>
              <w:spacing w:after="0"/>
              <w:rPr>
                <w:sz w:val="15"/>
                <w:szCs w:val="15"/>
                <w:color w:val="auto"/>
              </w:rPr>
            </w:pPr>
          </w:p>
        </w:tc>
        <w:tc>
          <w:tcPr>
            <w:tcW w:w="430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July 30, 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4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740,409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potentially dilutive securities</w:t>
            </w:r>
          </w:p>
        </w:tc>
        <w:tc>
          <w:tcPr>
            <w:tcW w:w="43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5,472,453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300" w:type="dxa"/>
            <w:vAlign w:val="bottom"/>
            <w:vMerge w:val="restart"/>
          </w:tcPr>
          <w:p>
            <w:pPr>
              <w:jc w:val="right"/>
              <w:ind w:right="3110"/>
              <w:spacing w:after="0"/>
              <w:rPr>
                <w:sz w:val="20"/>
                <w:szCs w:val="20"/>
                <w:color w:val="auto"/>
              </w:rPr>
            </w:pPr>
            <w:r>
              <w:rPr>
                <w:rFonts w:ascii="Times New Roman" w:cs="Times New Roman" w:eastAsia="Times New Roman" w:hAnsi="Times New Roman"/>
                <w:sz w:val="18"/>
                <w:szCs w:val="18"/>
                <w:color w:val="auto"/>
              </w:rPr>
              <w:t>155</w:t>
            </w: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type w:val="continuous"/>
        </w:sectPr>
      </w:pPr>
    </w:p>
    <w:bookmarkStart w:id="155" w:name="page156"/>
    <w:bookmarkEnd w:id="1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Successor</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After the Business Combination, the Successor calculated basic LPS and diluted LPS to common stockholders in conformity with the two-class method required for companies with participating securities. The Company considered (i) the Convertible Securities Notes and (ii) the earnout shares subject to vesting conditions to be participating securities as they participate in any distributions declared by the Company. The Company’s Base Warrants and Convert Warrants are considered as non-participating securities, as the holders are not entitled to any shareholder right prior to the exercise of the Base Warrants and the Convert Warrants. As of the reporting date, none of the Base Warrants or the Convert Warrants were exercised to receive the Company’s common stock.</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Under the two-class method, undistributed earnings allocated to these participating securities were subtracted from net income in determining net income attributable to common stockholders. In periods of net loss, losses are allocated to the participating security only if the security has not only the right to participate in earnings, but also a contractual obligation to share in the Company’s losses. As the Company incurred a net loss for the period from July 31, 2024 to December 31, 2024 (Successor), the Convertible Securities Notes were not considered participating securities, and were excluded from the two-class method LPS calculation for those periods.</w:t>
      </w:r>
    </w:p>
    <w:p>
      <w:pPr>
        <w:spacing w:after="0" w:line="187"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Further, Basic LPS under the two-class method includes the impact of the Company’s PIPE Pre-funded Warrants as the PIPE Pre-funded Warrants are exercisable for only $0.01 per share (i.e., de minimis cash consideration) without an expiration date and not subject to exercise contingencies.</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discloses the Diluted LPS under the if-converted method as such diluted LPS is lower than the diluted LPS calculated under the two-class method. The Earn-out shares subject to vesting conditions are not considered in the denominator for the calculation of diluted LPS as the vesting conditions for the Earn-out shares were not met during the successor reporting period.</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earnings per share attributable to common stockholders and the participating securities for the periods presented (in thousands, except share and per share data):</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Basic LPS: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6"/>
                <w:szCs w:val="16"/>
                <w:b w:val="1"/>
                <w:bCs w:val="1"/>
                <w:color w:val="auto"/>
              </w:rPr>
              <w:t>July 31, 2024 to December 31, 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96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Convertible</w:t>
            </w:r>
          </w:p>
        </w:tc>
        <w:tc>
          <w:tcPr>
            <w:tcW w:w="100" w:type="dxa"/>
            <w:vAlign w:val="bottom"/>
          </w:tcPr>
          <w:p>
            <w:pPr>
              <w:spacing w:after="0"/>
              <w:rPr>
                <w:sz w:val="15"/>
                <w:szCs w:val="15"/>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Sponsor</w:t>
            </w:r>
          </w:p>
        </w:tc>
        <w:tc>
          <w:tcPr>
            <w:tcW w:w="0" w:type="dxa"/>
            <w:vAlign w:val="bottom"/>
          </w:tcPr>
          <w:p>
            <w:pPr>
              <w:spacing w:after="0"/>
              <w:rPr>
                <w:sz w:val="1"/>
                <w:szCs w:val="1"/>
                <w:color w:val="auto"/>
              </w:rPr>
            </w:pPr>
          </w:p>
        </w:tc>
      </w:tr>
      <w:tr>
        <w:trPr>
          <w:trHeight w:val="95"/>
        </w:trPr>
        <w:tc>
          <w:tcPr>
            <w:tcW w:w="5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thousands, except share and per share data)</w:t>
            </w:r>
          </w:p>
        </w:tc>
        <w:tc>
          <w:tcPr>
            <w:tcW w:w="100" w:type="dxa"/>
            <w:vAlign w:val="bottom"/>
          </w:tcPr>
          <w:p>
            <w:pPr>
              <w:spacing w:after="0"/>
              <w:rPr>
                <w:sz w:val="9"/>
                <w:szCs w:val="9"/>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9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Earnout</w:t>
            </w:r>
          </w:p>
        </w:tc>
        <w:tc>
          <w:tcPr>
            <w:tcW w:w="0" w:type="dxa"/>
            <w:vAlign w:val="bottom"/>
          </w:tcPr>
          <w:p>
            <w:pPr>
              <w:spacing w:after="0"/>
              <w:rPr>
                <w:sz w:val="1"/>
                <w:szCs w:val="1"/>
                <w:color w:val="auto"/>
              </w:rPr>
            </w:pPr>
          </w:p>
        </w:tc>
      </w:tr>
      <w:tr>
        <w:trPr>
          <w:trHeight w:val="104"/>
        </w:trPr>
        <w:tc>
          <w:tcPr>
            <w:tcW w:w="6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0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5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allocated to each class of participating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(49,888)</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14,772,692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issuable to Convertible Securities Notes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Sponsor Earnout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1,147,500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each class of participating securities – Basic</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6" w:name="page157"/>
    <w:bookmarkEnd w:id="1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17"/>
        </w:trPr>
        <w:tc>
          <w:tcPr>
            <w:tcW w:w="7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in thousands, except share and per share data)</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jc w:val="center"/>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0" w:type="dxa"/>
            <w:vAlign w:val="bottom"/>
          </w:tcPr>
          <w:p>
            <w:pPr>
              <w:spacing w:after="0"/>
              <w:rPr>
                <w:sz w:val="1"/>
                <w:szCs w:val="1"/>
                <w:color w:val="auto"/>
              </w:rPr>
            </w:pPr>
          </w:p>
        </w:tc>
      </w:tr>
      <w:tr>
        <w:trPr>
          <w:trHeight w:val="173"/>
        </w:trPr>
        <w:tc>
          <w:tcPr>
            <w:tcW w:w="768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09"/>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gridSpan w:val="2"/>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(25,084)</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outstanding used in computing net loss per share attributable to common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 Basic</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16,577,126</w:t>
            </w: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loss per share attributable to common stockholders and the participating securities for the periods presented (in thousands, except share and per share data):</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Diluted LPS: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17"/>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(amounts in thousands, except share and per share data)</w:t>
            </w:r>
          </w:p>
        </w:tc>
        <w:tc>
          <w:tcPr>
            <w:tcW w:w="1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135"/>
              <w:spacing w:after="0" w:line="118" w:lineRule="exact"/>
              <w:rPr>
                <w:sz w:val="20"/>
                <w:szCs w:val="20"/>
                <w:color w:val="auto"/>
              </w:rPr>
            </w:pPr>
            <w:r>
              <w:rPr>
                <w:rFonts w:ascii="Times New Roman" w:cs="Times New Roman" w:eastAsia="Times New Roman" w:hAnsi="Times New Roman"/>
                <w:sz w:val="13"/>
                <w:szCs w:val="13"/>
                <w:b w:val="1"/>
                <w:bCs w:val="1"/>
                <w:color w:val="auto"/>
              </w:rPr>
              <w:t>Year Ended</w:t>
            </w:r>
          </w:p>
        </w:tc>
        <w:tc>
          <w:tcPr>
            <w:tcW w:w="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July 31 to</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380" w:type="dxa"/>
            <w:vAlign w:val="bottom"/>
            <w:vMerge w:val="continue"/>
          </w:tcPr>
          <w:p>
            <w:pPr>
              <w:spacing w:after="0"/>
              <w:rPr>
                <w:sz w:val="15"/>
                <w:szCs w:val="15"/>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9"/>
        </w:trPr>
        <w:tc>
          <w:tcPr>
            <w:tcW w:w="6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 Basic</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(25,084)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Adjustment for fair value changes to convertible securities notes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 – Diluted</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(25,084)</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16,577,126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14,772,692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w w:val="99"/>
              </w:rPr>
              <w:t>Weighted-average effect of shares issuable to Convertible Securities Notes (if-converted</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w:t>
            </w: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16,577,126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14,772,692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shares – Diluted (if-converted method)</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diluted net loss per share calculations for the periods presented because the impact of including them would be anti-dilutive: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5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2025 Milestone Warrants</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60" w:type="dxa"/>
            <w:vAlign w:val="bottom"/>
            <w:vMerge w:val="continue"/>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18,038,829</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Warrants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7,528,727</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7,528,727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 Warrants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Earn-out Shares, subject to vesting conditions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1,147,500</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options issued in connection with the Business Combination</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2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potentially dilutive securities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28,222,643</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10,183,814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4320"/>
              <w:spacing w:after="0"/>
              <w:rPr>
                <w:sz w:val="20"/>
                <w:szCs w:val="20"/>
                <w:color w:val="auto"/>
              </w:rPr>
            </w:pPr>
            <w:r>
              <w:rPr>
                <w:rFonts w:ascii="Times New Roman" w:cs="Times New Roman" w:eastAsia="Times New Roman" w:hAnsi="Times New Roman"/>
                <w:sz w:val="18"/>
                <w:szCs w:val="18"/>
                <w:color w:val="auto"/>
              </w:rPr>
              <w:t>157</w:t>
            </w: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5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5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7" w:name="page158"/>
    <w:bookmarkEnd w:id="1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 Income Taxes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740. Under the provisions of ASC 740, management is required to evaluate whether a valuation allowance should be established against its deferred tax assets. The Company currently has a full valuation allowance against its deferred tax assets. As of each reporting date, the Company’s management considers new evidence, both positive and negative, that could impact management’s view with regard to future realization of deferred tax assets. For the year ended December 31, 2025 (Successor) there was no material change from periods from January 1, 2024 to July 30, 2024 (Predecessor) and July 31, 2024 to December 31, 2024 (Successor), in the amount of the Company’s deferred tax assets that are not considered to be more likely than not to be realized in future years.</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(Successor), the effective tax rate for the Company’s operations was 21.0%. The effective tax rate differed from the U.S. federal statutory rate primarily due to a change in the valuation allowance that offset the tax benefit on the current period pre-tax loss.</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For the periods from January 1, 2024 to July 30, 2024 (Predecessor) and July 31, 2024 to December 31, 2024 (Successor), the effective tax rate for the Company’s operations was 21.0%. The effective tax rate differed from the U.S. federal statutory rate primarily due to state income taxes, losses from the German subsidiary that is subject to different effective tax rates, stock-based compensation, fair value adjustments for convertible notes and warrant liabilities, and a change in the valuation allowance that offset the tax benefit on the current period pre-tax loss.</w:t>
      </w:r>
    </w:p>
    <w:p>
      <w:pPr>
        <w:spacing w:after="0" w:line="183"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income tax as well as income tax of foreign and state tax jurisdictions. The tax years 2020-2025 remain open to examination by the major taxing jurisdictions to which the Company is subject, except the Internal Revenue Service for which the tax years 2021-2025 remain open.</w:t>
      </w:r>
    </w:p>
    <w:p>
      <w:pPr>
        <w:spacing w:after="0" w:line="176" w:lineRule="exact"/>
        <w:rPr>
          <w:sz w:val="20"/>
          <w:szCs w:val="20"/>
          <w:color w:val="auto"/>
        </w:rPr>
      </w:pPr>
    </w:p>
    <w:p>
      <w:pPr>
        <w:ind w:left="60" w:right="619" w:firstLine="324"/>
        <w:spacing w:after="0" w:line="282" w:lineRule="auto"/>
        <w:rPr>
          <w:sz w:val="20"/>
          <w:szCs w:val="20"/>
          <w:color w:val="auto"/>
        </w:rPr>
      </w:pPr>
      <w:r>
        <w:rPr>
          <w:rFonts w:ascii="Times New Roman" w:cs="Times New Roman" w:eastAsia="Times New Roman" w:hAnsi="Times New Roman"/>
          <w:sz w:val="18"/>
          <w:szCs w:val="18"/>
          <w:color w:val="auto"/>
        </w:rPr>
        <w:t>The components of pretax loss from operations for the years ended December 31, 2025 and 2024 are as follows (dollars in thousands):</w:t>
      </w:r>
    </w:p>
    <w:p>
      <w:pPr>
        <w:spacing w:after="0" w:line="236"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840" w:type="dxa"/>
            <w:vAlign w:val="bottom"/>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4"/>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100" w:type="dxa"/>
            <w:vAlign w:val="bottom"/>
            <w:tcBorders>
              <w:top w:val="single" w:sz="8" w:color="auto"/>
              <w:right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117"/>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July 31 to</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0" w:type="dxa"/>
            <w:vAlign w:val="bottom"/>
          </w:tcPr>
          <w:p>
            <w:pPr>
              <w:spacing w:after="0"/>
              <w:rPr>
                <w:sz w:val="1"/>
                <w:szCs w:val="1"/>
                <w:color w:val="auto"/>
              </w:rPr>
            </w:pPr>
          </w:p>
        </w:tc>
      </w:tr>
      <w:tr>
        <w:trPr>
          <w:trHeight w:val="173"/>
        </w:trPr>
        <w:tc>
          <w:tcPr>
            <w:tcW w:w="44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 July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(25,239)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(76,889)</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Pretax loss from operations</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(25,322)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(76,911)</w:t>
            </w:r>
          </w:p>
        </w:tc>
        <w:tc>
          <w:tcPr>
            <w:tcW w:w="1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There was no income tax provision for the year ended December 31, 2025 and 2024. Current income taxes are based upon the year’s income taxable for federal, state and foreign tax reporting purposes. Deferred income taxes are provided for certain income and expenses which are recognized in different periods for tax and financial reporting purposes. Deferred tax assets and liabilities are computed for differences between the consolidated financial statements and tax bases of assets and liabilities that will result in taxable or deductible amounts in the future based on enacted tax laws and rates applicable to the period in which the differences are expected to affect taxable income, and include NOL carryforwards and R&amp;D tax credit carryforwards.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has elected to prospectively adopt the guidance in ASU No. 2023-09, Income Taxes (Topic 740):</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Improvements to Income Taxes Disclosures, or ASU 2023-09, effective January 1, 2025.</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8" w:name="page159"/>
    <w:bookmarkEnd w:id="1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income tax computed at the U.S. federal statutory tax rate to the total income tax benefit for the years ended December 31, 2025 and 2024 (dollars in thousands):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7"/>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4"/>
              </w:rPr>
              <w:t>Years Ended December 31</w:t>
            </w: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211"/>
        </w:trPr>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10"/>
        </w:trPr>
        <w:tc>
          <w:tcPr>
            <w:tcW w:w="3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28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Predecessor</w:t>
            </w:r>
          </w:p>
        </w:tc>
        <w:tc>
          <w:tcPr>
            <w:tcW w:w="260" w:type="dxa"/>
            <w:vAlign w:val="bottom"/>
          </w:tcPr>
          <w:p>
            <w:pPr>
              <w:spacing w:after="0"/>
              <w:rPr>
                <w:sz w:val="18"/>
                <w:szCs w:val="18"/>
                <w:color w:val="auto"/>
              </w:rPr>
            </w:pPr>
          </w:p>
        </w:tc>
      </w:tr>
      <w:tr>
        <w:trPr>
          <w:trHeight w:val="184"/>
        </w:trPr>
        <w:tc>
          <w:tcPr>
            <w:tcW w:w="3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 xml:space="preserve">July 31 to December 31 </w:t>
            </w:r>
            <w:r>
              <w:rPr>
                <w:rFonts w:ascii="Times New Roman" w:cs="Times New Roman" w:eastAsia="Times New Roman" w:hAnsi="Times New Roman"/>
                <w:sz w:val="14"/>
                <w:szCs w:val="14"/>
                <w:color w:val="auto"/>
              </w:rPr>
              <w:t>​​​</w:t>
            </w:r>
          </w:p>
        </w:tc>
        <w:tc>
          <w:tcPr>
            <w:tcW w:w="1620" w:type="dxa"/>
            <w:vAlign w:val="bottom"/>
            <w:gridSpan w:val="5"/>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January 1 to July 30</w:t>
            </w:r>
          </w:p>
        </w:tc>
      </w:tr>
      <w:tr>
        <w:trPr>
          <w:trHeight w:val="20"/>
        </w:trPr>
        <w:tc>
          <w:tcPr>
            <w:tcW w:w="3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3"/>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8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Amount</w:t>
            </w:r>
          </w:p>
        </w:tc>
        <w:tc>
          <w:tcPr>
            <w:tcW w:w="940" w:type="dxa"/>
            <w:vAlign w:val="bottom"/>
            <w:tcBorders>
              <w:right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​​​Tax Rate ​​​</w:t>
            </w:r>
          </w:p>
        </w:tc>
        <w:tc>
          <w:tcPr>
            <w:tcW w:w="1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​​​Tax Rate ​​​</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​​​Tax Rate</w:t>
            </w:r>
          </w:p>
        </w:tc>
      </w:tr>
      <w:tr>
        <w:trPr>
          <w:trHeight w:val="210"/>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at federal statutory rate</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tcBorders>
              <w:top w:val="single" w:sz="8" w:color="CCEEFF"/>
              <w:right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(16,151)</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for tax effects of:</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 income taxes net of federal benefit (*)</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tax effects (Germany)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940" w:type="dxa"/>
            <w:vAlign w:val="bottom"/>
            <w:tcBorders>
              <w:right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Permanent adjustments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40" w:type="dxa"/>
            <w:vAlign w:val="bottom"/>
          </w:tcPr>
          <w:p>
            <w:pPr>
              <w:spacing w:after="0"/>
              <w:rPr>
                <w:sz w:val="18"/>
                <w:szCs w:val="18"/>
                <w:color w:val="auto"/>
              </w:rPr>
            </w:pPr>
          </w:p>
        </w:tc>
        <w:tc>
          <w:tcPr>
            <w:tcW w:w="9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spacing w:after="0"/>
              <w:rPr>
                <w:sz w:val="18"/>
                <w:szCs w:val="18"/>
                <w:color w:val="auto"/>
              </w:rPr>
            </w:pP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FV of convertible note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(627)</w:t>
            </w:r>
          </w:p>
        </w:tc>
        <w:tc>
          <w:tcPr>
            <w:tcW w:w="9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0.8 %</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FV of warrant liability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(1,421)</w:t>
            </w:r>
          </w:p>
        </w:tc>
        <w:tc>
          <w:tcPr>
            <w:tcW w:w="9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1.8 %</w:t>
            </w:r>
          </w:p>
        </w:tc>
        <w:tc>
          <w:tcPr>
            <w:tcW w:w="180" w:type="dxa"/>
            <w:vAlign w:val="bottom"/>
          </w:tcPr>
          <w:p>
            <w:pPr>
              <w:spacing w:after="0"/>
              <w:rPr>
                <w:sz w:val="18"/>
                <w:szCs w:val="18"/>
                <w:color w:val="auto"/>
              </w:rPr>
            </w:pP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NOL true-up adjustment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tcBorders>
              <w:right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federal valuation allowance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4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w:t>
            </w:r>
          </w:p>
        </w:tc>
        <w:tc>
          <w:tcPr>
            <w:tcW w:w="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40" w:type="dxa"/>
            <w:vAlign w:val="bottom"/>
          </w:tcPr>
          <w:p>
            <w:pPr>
              <w:spacing w:after="0"/>
              <w:rPr>
                <w:sz w:val="18"/>
                <w:szCs w:val="18"/>
                <w:color w:val="auto"/>
              </w:rPr>
            </w:pPr>
          </w:p>
        </w:tc>
        <w:tc>
          <w:tcPr>
            <w:tcW w:w="940" w:type="dxa"/>
            <w:vAlign w:val="bottom"/>
            <w:tcBorders>
              <w:right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r>
      <w:tr>
        <w:trPr>
          <w:trHeight w:val="209"/>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bottom w:val="single" w:sz="8" w:color="CCEEFF"/>
              <w:right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17" w:lineRule="exact"/>
        <w:rPr>
          <w:sz w:val="20"/>
          <w:szCs w:val="20"/>
          <w:color w:val="auto"/>
        </w:rPr>
      </w:pPr>
    </w:p>
    <w:p>
      <w:pPr>
        <w:ind w:left="60" w:right="199" w:firstLine="324"/>
        <w:spacing w:after="0" w:line="282" w:lineRule="auto"/>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as of December 31, 2025 and 2024 are as follows (in thousands):</w:t>
      </w:r>
    </w:p>
    <w:p>
      <w:pPr>
        <w:spacing w:after="0" w:line="169"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4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losses</w:t>
            </w:r>
          </w:p>
        </w:tc>
        <w:tc>
          <w:tcPr>
            <w:tcW w:w="4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36,661</w:t>
            </w:r>
          </w:p>
        </w:tc>
        <w:tc>
          <w:tcPr>
            <w:tcW w:w="14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Capitalized research costs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compensation</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State taxes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(41,216)</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Right-of-use assets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Unrecognized tax benefit</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4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has established a valuation allowance as of December 31, 2025 and 2024 to fully offset the net deferred tax assets of $41.2 million and $36.9 million, respectively. Realization of the future tax benefits is dependent on the Company’s ability to generate sufficient taxable income within the carryforward period. Management assesses the available positive and negative evidence to estimate whether sufficient future taxable income will be generated to permit use of the existing deferred tax assets. A significant piece of objective negative evidence evaluated was the cumulative loss incurred over the three-year period ended December 31, 2025. Such objective evidence limits the ability to consider other subjective evidence, such as the Company’s projections for future commercialization. Management has concluded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9" w:name="page160"/>
    <w:bookmarkEnd w:id="1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that it is more likely than not that the Company will not have sufficient foreseeable taxable income to allow for the utilization of the deferred tax assets; therefore, a full valuation allowance has been established to reduce the net deferred tax assets to zero at December 31, 2025 and 2024.</w:t>
      </w:r>
    </w:p>
    <w:p>
      <w:pPr>
        <w:spacing w:after="0" w:line="95"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2025 and 2024, the Company had federal NOL carryforwards of $151.7 million and $122.9 million, respectively. $19.0 million of the federal NOL carryforwards will begin to expire from 2031. Due to the enactment of the Tax Cuts and Jobs Act, federal net operating losses generated beginning in 2018 are carried forward indefinitely. Therefore, the remaining federal NOL carry forwards of $132.7 million and $104.0 million as of December 31, 2025 and 2024, respectively, have an unlimited carryover period. As of December 31, 2025 and 2024, the Company had state NOL carryforwards of $53.4 million and $53.4 million, respectively, which will begin to expire from 2031. As of December 31, 2025 and 2024, the Company had a NOL from Adagio Medical GmbH of $245.1 thousand and $180.2 thousand, respectively. The NOLs are carried forward indefinitely. As of December 31, 2025 and 2024, the Company also had net federal R&amp;D tax credit carryforwards of $1.6 million and $1.6 million, respectively. The federal R&amp;D tax credits will begin to expire in 2038. The Company had no state R&amp;D credits.</w:t>
      </w:r>
    </w:p>
    <w:p>
      <w:pPr>
        <w:spacing w:after="0" w:line="100"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Company’s tax attribute carryforwards may be subject to a substantial annual limitation due to ownership change limitations that may have occurred or that could occur in the future, as required by Section 382 of the Internal Revenue Code of 1986, as amended (the “Code”), as well as similar state and foreign provisions. These ownership changes may limit the amount of NOL and R&amp;D credit carryforwards that can be used annually to offset future taxable income and tax, respectively. In general, an “ownership change” as defined by Section 382 of the Code results from a transaction or series of transactions over a three-year period resulting in an ownership change of more than 50% of the outstanding stock of a company by certain stockholders. The Company has not completed a study to assess whether an ownership change has occurred or whether there have been multiple ownership changes since the Company’s formation due to the complexity and cost associated with such study, and the fact that there may be additional such ownership changes in the future. Any limitation may result in expiration of a portion of the NOL carryforwards or R&amp;D tax credit carryforwards before utilization; however, such limitation, if any, would not have an impact on the Company’s financial statement due to the full valuation allowance.</w:t>
      </w:r>
    </w:p>
    <w:p>
      <w:pPr>
        <w:spacing w:after="0" w:line="95"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conducts intensive research and experimentation activities, generating R&amp;D tax credits for federal purposes under Section 41 of the Code. The Company has performed a formal study validating these credits claimed in the Company’s tax returns.</w:t>
      </w:r>
    </w:p>
    <w:p>
      <w:pPr>
        <w:spacing w:after="0" w:line="95" w:lineRule="exact"/>
        <w:rPr>
          <w:sz w:val="20"/>
          <w:szCs w:val="20"/>
          <w:color w:val="auto"/>
        </w:rPr>
      </w:pPr>
    </w:p>
    <w:p>
      <w:pPr>
        <w:ind w:left="60" w:right="559"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changes to unrecognized tax benefits as of December 31, 2025 and 2024 (in thousands):</w:t>
      </w: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center"/>
              <w:ind w:left="20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3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right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July 31 to</w:t>
            </w:r>
          </w:p>
        </w:tc>
        <w:tc>
          <w:tcPr>
            <w:tcW w:w="100" w:type="dxa"/>
            <w:vAlign w:val="bottom"/>
          </w:tcPr>
          <w:p>
            <w:pPr>
              <w:spacing w:after="0"/>
              <w:rPr>
                <w:sz w:val="10"/>
                <w:szCs w:val="10"/>
                <w:color w:val="auto"/>
              </w:rPr>
            </w:pPr>
          </w:p>
        </w:tc>
        <w:tc>
          <w:tcPr>
            <w:tcW w:w="6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January 1</w:t>
            </w:r>
          </w:p>
        </w:tc>
        <w:tc>
          <w:tcPr>
            <w:tcW w:w="0" w:type="dxa"/>
            <w:vAlign w:val="bottom"/>
          </w:tcPr>
          <w:p>
            <w:pPr>
              <w:spacing w:after="0"/>
              <w:rPr>
                <w:sz w:val="1"/>
                <w:szCs w:val="1"/>
                <w:color w:val="auto"/>
              </w:rPr>
            </w:pPr>
          </w:p>
        </w:tc>
      </w:tr>
      <w:tr>
        <w:trPr>
          <w:trHeight w:val="173"/>
        </w:trPr>
        <w:tc>
          <w:tcPr>
            <w:tcW w:w="44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Borders>
              <w:right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 July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Gross increases – tax positions during the year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4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has unrecognized tax benefits of $0.5 million of which $0.5 million will affect the effective tax rate if recognized when the Company no longer has a valuation allowance offsetting its deferred tax assets.</w:t>
      </w:r>
    </w:p>
    <w:p>
      <w:pPr>
        <w:spacing w:after="0" w:line="81"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Company does not anticipate that there will be a significant change in unrecognized tax benefits over the next 12 months.</w:t>
      </w:r>
    </w:p>
    <w:p>
      <w:pPr>
        <w:spacing w:after="0" w:line="6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is subject to tax in U.S. federal and various state jurisdictions as well as German tax jurisdictions. Since the Company formed in 2011, all filed tax returns are subject to examination. Generally, the tax years remain open for examination by the federal statute under a three-year statute of limitation; however, states generally keep their statutes open between three and four years. However, the Company’s tax years from inception are subject to examination by the United States and various state taxing authorities due to the carry forward of unused NOLs and R&amp;D credits.</w:t>
      </w:r>
    </w:p>
    <w:p>
      <w:pPr>
        <w:spacing w:after="0" w:line="10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Enacted in December 2017, the Tax Cuts and Jobs Act of 2017 (“TCJA”) amended Section 174 to require capitalization of all research and experimental (“R&amp;E”) costs incurred in tax years beginning after December 31, 2021.</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0" w:name="page161"/>
    <w:bookmarkEnd w:id="1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For tax years beginning on or after January 1, 2022, R&amp;E costs must be amortized over five years if the R&amp;E activities are performed in the U.S., or over 15 years if the activities are performed outside of the U.S., beginning with the midpoint of the tax year in which the costs were paid or incurred. During 2024, the Company capitalized $11.8 million of R&amp;E costs. The Company plans to refine the calculation for Section 174 and make an adjustment on the tax return.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17 - Related Party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Shared Services Agreement</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2025 (Successor), and during the periods from January 1, 2024 to July 30, 2024 (Predecessor), and July 31, 2024 to December 31, 2024 (Successor), the Company incurred $0.4 million, $0.9 million, and $0.4 million, respectively, for finance and accounting services and other general and administrative support services (“Shared Services Agreement”) to Fjord Ventures (“Fjord”), a company owned and operated by the Company’s former CEO. The Shared Services Agreement was terminated on August 31, 2025. Effective September 1, 2025, the Company entered into a new shared services agreement with Fjord for human resources and payroll services. The transactions are recorded as selling, general and administrative expenses on the consolidated statements of operations and comprehensive loss.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Laguna Hills Sublease (Predecessor)</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Shared Services Agreement, Legacy Adagio also sub-leased approximately 4,992 square feet of office and manufacturing space in Laguna Hills, California from Fjord. On March 31, 2024, the sub-lease with Fjord expired.</w:t>
      </w:r>
    </w:p>
    <w:p>
      <w:pPr>
        <w:spacing w:after="0" w:line="176"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During the period from January 1, 2024 to July 30, 2024 (Predecessor), Legacy Adagio incurred $25.5 thousand of lease expense under the sub-lease agreement.</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11 - Operating Leases</w:t>
      </w:r>
      <w:r>
        <w:rPr>
          <w:rFonts w:ascii="Times New Roman" w:cs="Times New Roman" w:eastAsia="Times New Roman" w:hAnsi="Times New Roman"/>
          <w:sz w:val="18"/>
          <w:szCs w:val="18"/>
          <w:color w:val="auto"/>
        </w:rPr>
        <w:t xml:space="preserve"> for further detail.</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October 2022 Convertible Notes (Predecessor)</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On October 27, 2022, Legacy Adagio issued a $0.5 million convertible promissory note to Fjordinvest, LLC (“Fjordinvest”), a company owned and operated by the Legacy Adagio’s Chief Executive Officer, Olav Bergheim. On April 4, 2023, November 28, 2023, and February 13, 2024, the October 2022 Convertible Notes were amended. Refer to </w:t>
      </w:r>
      <w:r>
        <w:rPr>
          <w:rFonts w:ascii="Times New Roman" w:cs="Times New Roman" w:eastAsia="Times New Roman" w:hAnsi="Times New Roman"/>
          <w:sz w:val="18"/>
          <w:szCs w:val="18"/>
          <w:i w:val="1"/>
          <w:iCs w:val="1"/>
          <w:color w:val="auto"/>
        </w:rPr>
        <w:t>Note 9 - Debt</w:t>
      </w:r>
      <w:r>
        <w:rPr>
          <w:rFonts w:ascii="Times New Roman" w:cs="Times New Roman" w:eastAsia="Times New Roman" w:hAnsi="Times New Roman"/>
          <w:sz w:val="18"/>
          <w:szCs w:val="18"/>
          <w:color w:val="auto"/>
        </w:rPr>
        <w:t xml:space="preserve"> for additional information regarding the October 2022 Convertible Notes.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Securities Notes (Successor)</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Business Combination and the Convertible Securities Notes agreement, the Company issued a $7.0 million Convertible Securities Notes to Perceptive PIPE Investor, the controlling party of the Company, in exchange for Perceptive PIPE Investor’s investment in Legacy Adagio in the form of the February 2024 Convertible Notes. Refer to </w:t>
      </w:r>
      <w:r>
        <w:rPr>
          <w:rFonts w:ascii="Times New Roman" w:cs="Times New Roman" w:eastAsia="Times New Roman" w:hAnsi="Times New Roman"/>
          <w:sz w:val="18"/>
          <w:szCs w:val="18"/>
          <w:i w:val="1"/>
          <w:iCs w:val="1"/>
          <w:color w:val="auto"/>
        </w:rPr>
        <w:t>Note 9 - Debt</w:t>
      </w:r>
      <w:r>
        <w:rPr>
          <w:rFonts w:ascii="Times New Roman" w:cs="Times New Roman" w:eastAsia="Times New Roman" w:hAnsi="Times New Roman"/>
          <w:sz w:val="18"/>
          <w:szCs w:val="18"/>
          <w:color w:val="auto"/>
        </w:rPr>
        <w:t xml:space="preserve"> for additional information regarding the Convertible Securities Notes.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1" w:name="page162"/>
    <w:bookmarkEnd w:id="1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PIPE Financing (Successor)</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Business Combination and the 2024 PIPE Financing, the Company issued 4,372,607 shares of the Company’s common stock and 3,540,000 Base Warrants to Perceptive PIPE Investor, the controlling party of the Company, in exchange for Perceptive PIPE Investor’s investment in Legacy Adagio in the form of Bridge Financing Notes. Refer to </w:t>
      </w:r>
      <w:r>
        <w:rPr>
          <w:rFonts w:ascii="Times New Roman" w:cs="Times New Roman" w:eastAsia="Times New Roman" w:hAnsi="Times New Roman"/>
          <w:sz w:val="18"/>
          <w:szCs w:val="18"/>
          <w:i w:val="1"/>
          <w:iCs w:val="1"/>
          <w:color w:val="auto"/>
        </w:rPr>
        <w:t>Note 9 - Debt</w:t>
      </w:r>
      <w:r>
        <w:rPr>
          <w:rFonts w:ascii="Times New Roman" w:cs="Times New Roman" w:eastAsia="Times New Roman" w:hAnsi="Times New Roman"/>
          <w:sz w:val="18"/>
          <w:szCs w:val="18"/>
          <w:color w:val="auto"/>
        </w:rPr>
        <w:t xml:space="preserve"> for additional information regarding the Convertible Securities Notes.</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Further, in connection with the 2024 PIPE Financing, the Company issued 2,250,352 shares of the Company’s common stock and 1,905,069 Base Warrants to Perceptive PIPE Investor, the controlling party of the Company, in exchange for Perceptive PIPE Investor’s additional cash investment of $15.9 million in the Company.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2025 PIPE Financing (Successor)</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2025 PIPE Financing, the Company issued 2,190,496 2025 PIPE Pre-Funded Warrants and Milestone Warrants for an aggregate purchase price of $4,250,000 to Perceptive PIPE Investor, the controlling party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2" w:name="page163"/>
    <w:bookmarkEnd w:id="1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18 – Segment Reporting</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has one reportable segment managed on a consolidated basis by the Chief Executive Officer (CEO), who is the chief operating decision maker (“CODM”). In identifying one reportable segment, the Company considered the basis of organization for the design and development and commercialization of ablation technologies for the treatment of cardiac arrhythmias.</w:t>
      </w:r>
    </w:p>
    <w:p>
      <w:pPr>
        <w:spacing w:after="0" w:line="18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accounting policies of the segment are the same as those described in the summary of significant accounting policies. The CODM assesses performance and decides how to allocate resources based on consolidated net loss as reported in the consolidated statements of operations and comprehensive loss. There are no other expense categories regularly provided to the CODM that are not already included in the consolidated statements of operations and comprehensive loss. The measure of segment assets is reported on the consolidated balance sheet as total consolidated assets.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Summary of segment net loss, including significant segment expenses were as follows: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49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7"/>
        </w:trPr>
        <w:tc>
          <w:tcPr>
            <w:tcW w:w="49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4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4900" w:type="dxa"/>
            <w:vAlign w:val="bottom"/>
          </w:tcPr>
          <w:p>
            <w:pPr>
              <w:spacing w:after="0"/>
              <w:rPr>
                <w:sz w:val="15"/>
                <w:szCs w:val="15"/>
                <w:color w:val="auto"/>
              </w:rPr>
            </w:pPr>
          </w:p>
        </w:tc>
        <w:tc>
          <w:tcPr>
            <w:tcW w:w="1180" w:type="dxa"/>
            <w:vAlign w:val="bottom"/>
            <w:gridSpan w:val="2"/>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8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Predecessor</w:t>
            </w:r>
          </w:p>
        </w:tc>
      </w:tr>
      <w:tr>
        <w:trPr>
          <w:trHeight w:val="117"/>
        </w:trPr>
        <w:tc>
          <w:tcPr>
            <w:tcW w:w="49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July 31 to</w:t>
            </w:r>
          </w:p>
        </w:tc>
        <w:tc>
          <w:tcPr>
            <w:tcW w:w="18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January 1 to July</w:t>
            </w:r>
          </w:p>
        </w:tc>
        <w:tc>
          <w:tcPr>
            <w:tcW w:w="20" w:type="dxa"/>
            <w:vAlign w:val="bottom"/>
          </w:tcPr>
          <w:p>
            <w:pPr>
              <w:spacing w:after="0"/>
              <w:rPr>
                <w:sz w:val="10"/>
                <w:szCs w:val="10"/>
                <w:color w:val="auto"/>
              </w:rPr>
            </w:pPr>
          </w:p>
        </w:tc>
      </w:tr>
      <w:tr>
        <w:trPr>
          <w:trHeight w:val="173"/>
        </w:trPr>
        <w:tc>
          <w:tcPr>
            <w:tcW w:w="49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Borders>
              <w:bottom w:val="single" w:sz="8" w:color="CCEEFF"/>
              <w:right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72"/>
              <w:spacing w:after="0"/>
              <w:rPr>
                <w:sz w:val="20"/>
                <w:szCs w:val="20"/>
                <w:color w:val="auto"/>
              </w:rPr>
            </w:pPr>
            <w:r>
              <w:rPr>
                <w:rFonts w:ascii="Times New Roman" w:cs="Times New Roman" w:eastAsia="Times New Roman" w:hAnsi="Times New Roman"/>
                <w:sz w:val="14"/>
                <w:szCs w:val="14"/>
                <w:b w:val="1"/>
                <w:bCs w:val="1"/>
                <w:color w:val="auto"/>
              </w:rPr>
              <w:t>30</w:t>
            </w:r>
          </w:p>
        </w:tc>
        <w:tc>
          <w:tcPr>
            <w:tcW w:w="20" w:type="dxa"/>
            <w:vAlign w:val="bottom"/>
          </w:tcPr>
          <w:p>
            <w:pPr>
              <w:spacing w:after="0"/>
              <w:rPr>
                <w:sz w:val="15"/>
                <w:szCs w:val="15"/>
                <w:color w:val="auto"/>
              </w:rPr>
            </w:pPr>
          </w:p>
        </w:tc>
      </w:tr>
      <w:tr>
        <w:trPr>
          <w:trHeight w:val="20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tcPr>
          <w:p>
            <w:pPr>
              <w:spacing w:after="0"/>
              <w:rPr>
                <w:sz w:val="18"/>
                <w:szCs w:val="18"/>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20" w:type="dxa"/>
            <w:vAlign w:val="bottom"/>
          </w:tcPr>
          <w:p>
            <w:pPr>
              <w:spacing w:after="0"/>
              <w:rPr>
                <w:sz w:val="18"/>
                <w:szCs w:val="18"/>
                <w:color w:val="auto"/>
              </w:rPr>
            </w:pPr>
          </w:p>
        </w:tc>
      </w:tr>
      <w:tr>
        <w:trPr>
          <w:trHeight w:val="216"/>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20" w:type="dxa"/>
            <w:vAlign w:val="bottom"/>
          </w:tcPr>
          <w:p>
            <w:pPr>
              <w:spacing w:after="0"/>
              <w:rPr>
                <w:sz w:val="18"/>
                <w:szCs w:val="18"/>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1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13,047</w:t>
            </w:r>
          </w:p>
        </w:tc>
        <w:tc>
          <w:tcPr>
            <w:tcW w:w="20" w:type="dxa"/>
            <w:vAlign w:val="bottom"/>
          </w:tcPr>
          <w:p>
            <w:pPr>
              <w:spacing w:after="0"/>
              <w:rPr>
                <w:sz w:val="18"/>
                <w:szCs w:val="18"/>
                <w:color w:val="auto"/>
              </w:rPr>
            </w:pPr>
          </w:p>
        </w:tc>
      </w:tr>
      <w:tr>
        <w:trPr>
          <w:trHeight w:val="216"/>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 Goodwill</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30,324</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 Intangible assets, net</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18,878</w:t>
            </w:r>
          </w:p>
        </w:tc>
        <w:tc>
          <w:tcPr>
            <w:tcW w:w="18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8,717</w:t>
            </w:r>
          </w:p>
        </w:tc>
        <w:tc>
          <w:tcPr>
            <w:tcW w:w="18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tcPr>
          <w:p>
            <w:pPr>
              <w:spacing w:after="0"/>
              <w:rPr>
                <w:sz w:val="18"/>
                <w:szCs w:val="18"/>
                <w:color w:val="auto"/>
              </w:rPr>
            </w:pPr>
          </w:p>
        </w:tc>
      </w:tr>
      <w:tr>
        <w:trPr>
          <w:trHeight w:val="21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(25,084)</w:t>
            </w: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(53,763)</w:t>
            </w:r>
          </w:p>
        </w:tc>
        <w:tc>
          <w:tcPr>
            <w:tcW w:w="18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(21,278)</w:t>
            </w:r>
          </w:p>
        </w:tc>
        <w:tc>
          <w:tcPr>
            <w:tcW w:w="20" w:type="dxa"/>
            <w:vAlign w:val="bottom"/>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occurring after the balance sheet date through the date these consolidated financial statements were issued and has determined that there were no subsequent events that required recognition or disclosure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3" w:name="page164"/>
    <w:bookmarkEnd w:id="1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U.S.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Company’s reports filed or submitted under the Exchange Act is accumulated and communicated to management, including our Chief Executive Officer and Chief Financial Officer, to allow timely decisions regarding required disclosure.</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detected all of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88" w:lineRule="exact"/>
        <w:rPr>
          <w:sz w:val="20"/>
          <w:szCs w:val="20"/>
          <w:color w:val="auto"/>
        </w:rPr>
      </w:pPr>
    </w:p>
    <w:p>
      <w:pPr>
        <w:jc w:val="both"/>
        <w:ind w:left="60" w:right="59" w:firstLine="405"/>
        <w:spacing w:after="0" w:line="258"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the design and operation of our disclosure controls and procedures as of December 31, 2025 and prior to the filing of this Annual Report. Based on such evaluation, our Chief Executive Officer and Chief Financial Officer have concluded that, as of December 31, 2025, our disclosure controls and procedures were effective at the reasonable assurance level.</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27" w:lineRule="exact"/>
        <w:rPr>
          <w:sz w:val="20"/>
          <w:szCs w:val="20"/>
          <w:color w:val="auto"/>
        </w:rPr>
      </w:pPr>
    </w:p>
    <w:p>
      <w:pPr>
        <w:jc w:val="both"/>
        <w:ind w:left="60" w:right="59" w:firstLine="500"/>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of the Exchange Act. Under the supervision and with the participation of our Chief Executive Officer and Chief Financial Officer and oversight of the Board of Directors, we conducted an evaluation of the effectiveness of our internal control over financial reporting based on criteria established in the framework set forth in Internal Control-Integrated Framework (2013) issued by the Committee of Sponsoring Organizations of the Treadway Commission. Based on the results of its evaluation, management concluded that our internal control over financial reporting was effective as of December 31, 2025.</w:t>
      </w:r>
    </w:p>
    <w:p>
      <w:pPr>
        <w:spacing w:after="0" w:line="189" w:lineRule="exact"/>
        <w:rPr>
          <w:sz w:val="20"/>
          <w:szCs w:val="20"/>
          <w:color w:val="auto"/>
        </w:rPr>
      </w:pPr>
    </w:p>
    <w:p>
      <w:pPr>
        <w:jc w:val="both"/>
        <w:ind w:left="60" w:right="59" w:firstLine="405"/>
        <w:spacing w:after="0" w:line="256"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recognizes that disclosure internal controls over financial reporting, no matter how well designed and operated, can provide only reasonable assurance of achieving the desired control objectives. Because of the inherent limitations in all control systems, no evaluation of controls can provide absolute assurance that all control issues and instances of fraud, if any, have been detected. Additionally, controls can be circumvented by the individual acts of some persons, by collusion of two or more people, or by management override of the controls.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period covered by this Report that materially affected, or are reasonably likely to materially affect, our internal control over financial reporting.</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4" w:name="page165"/>
    <w:bookmarkEnd w:id="1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three-months ended December 31, 2025, no director or officer of the Company adopted or terminated a “Rule 10b5-1 trading arrangement” or “non-Rule 10b5-1 trading arrangement,” as each term is defined in Item 408(a) of Regulation S-K.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2026 Annual Meeting of Stockholders to be filed with the SEC within 120 days of the fiscal year ended December 31, 2025, and is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2026 Annual Meeting of Stockholders to be filed with the SEC within 120 days of the fiscal year ended December 31, 2025, and is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2026 Annual Meeting of Stockholders to be filed with the SEC within 120 days of the fiscal year ended December 31, 2025, and is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2026 Annual Meeting of Stockholders to be filed with the SEC within 120 days of the fiscal year ended December 31, 2025, and is incorporated herein by reference.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2026 Annual Meeting of Stockholders to be filed with the SEC within 120 days of the fiscal year ended December 31, 2025,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5" w:name="page166"/>
    <w:bookmarkEnd w:id="1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The following documents are filed as a part of this report:</w:t>
      </w:r>
    </w:p>
    <w:p>
      <w:pPr>
        <w:spacing w:after="0" w:line="210" w:lineRule="exact"/>
        <w:rPr>
          <w:sz w:val="20"/>
          <w:szCs w:val="20"/>
          <w:color w:val="auto"/>
        </w:rPr>
      </w:pPr>
    </w:p>
    <w:p>
      <w:pPr>
        <w:ind w:left="820" w:right="79"/>
        <w:spacing w:after="0" w:line="284"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 Consolidated Financial Statements filed as part of this report are listed under Item 8. Financial Statements and Supplementary Data.</w:t>
      </w:r>
    </w:p>
    <w:p>
      <w:pPr>
        <w:spacing w:after="0" w:line="144" w:lineRule="exact"/>
        <w:rPr>
          <w:rFonts w:ascii="Times New Roman" w:cs="Times New Roman" w:eastAsia="Times New Roman" w:hAnsi="Times New Roman"/>
          <w:sz w:val="18"/>
          <w:szCs w:val="18"/>
          <w:color w:val="auto"/>
        </w:rPr>
      </w:pPr>
    </w:p>
    <w:p>
      <w:pPr>
        <w:ind w:left="1000" w:hanging="180"/>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 Not Applicable.</w:t>
      </w:r>
    </w:p>
    <w:p>
      <w:pPr>
        <w:spacing w:after="0" w:line="211" w:lineRule="exact"/>
        <w:rPr>
          <w:rFonts w:ascii="Times New Roman" w:cs="Times New Roman" w:eastAsia="Times New Roman" w:hAnsi="Times New Roman"/>
          <w:sz w:val="18"/>
          <w:szCs w:val="18"/>
          <w:color w:val="auto"/>
        </w:rPr>
      </w:pPr>
    </w:p>
    <w:p>
      <w:pPr>
        <w:ind w:left="1000" w:hanging="180"/>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 See Item 15(b) below.</w:t>
      </w:r>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 Exhibits: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Annual Report on Form 10-K.</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92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No.</w:t>
            </w:r>
          </w:p>
        </w:tc>
        <w:tc>
          <w:tcPr>
            <w:tcW w:w="31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4820" w:type="dxa"/>
            <w:vAlign w:val="bottom"/>
            <w:gridSpan w:val="24"/>
          </w:tcPr>
          <w:p>
            <w:pPr>
              <w:ind w:left="120"/>
              <w:spacing w:after="0"/>
              <w:rPr>
                <w:sz w:val="20"/>
                <w:szCs w:val="20"/>
                <w:color w:val="auto"/>
              </w:rPr>
            </w:pPr>
            <w:r>
              <w:rPr>
                <w:rFonts w:ascii="Times New Roman" w:cs="Times New Roman" w:eastAsia="Times New Roman" w:hAnsi="Times New Roman"/>
                <w:sz w:val="17"/>
                <w:szCs w:val="17"/>
                <w:b w:val="1"/>
                <w:bCs w:val="1"/>
                <w:color w:val="auto"/>
              </w:rPr>
              <w:t>Description of Exhibit</w:t>
            </w:r>
          </w:p>
        </w:tc>
        <w:tc>
          <w:tcPr>
            <w:tcW w:w="0" w:type="dxa"/>
            <w:vAlign w:val="bottom"/>
          </w:tcPr>
          <w:p>
            <w:pPr>
              <w:spacing w:after="0"/>
              <w:rPr>
                <w:sz w:val="1"/>
                <w:szCs w:val="1"/>
                <w:color w:val="auto"/>
              </w:rPr>
            </w:pPr>
          </w:p>
        </w:tc>
      </w:tr>
      <w:tr>
        <w:trPr>
          <w:trHeight w:val="359"/>
        </w:trPr>
        <w:tc>
          <w:tcPr>
            <w:tcW w:w="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2.1</w:t>
            </w:r>
          </w:p>
        </w:tc>
        <w:tc>
          <w:tcPr>
            <w:tcW w:w="180" w:type="dxa"/>
            <w:vAlign w:val="bottom"/>
          </w:tcPr>
          <w:p>
            <w:pPr>
              <w:spacing w:after="0"/>
              <w:rPr>
                <w:sz w:val="24"/>
                <w:szCs w:val="24"/>
                <w:color w:val="auto"/>
              </w:rPr>
            </w:pPr>
          </w:p>
        </w:tc>
        <w:tc>
          <w:tcPr>
            <w:tcW w:w="7380" w:type="dxa"/>
            <w:vAlign w:val="bottom"/>
            <w:tcBorders>
              <w:top w:val="single" w:sz="8" w:color="auto"/>
              <w:bottom w:val="single" w:sz="8" w:color="0000EE"/>
            </w:tcBorders>
            <w:gridSpan w:val="14"/>
          </w:tcPr>
          <w:p>
            <w:pPr>
              <w:spacing w:after="0"/>
              <w:rPr>
                <w:rFonts w:ascii="Times New Roman" w:cs="Times New Roman" w:eastAsia="Times New Roman" w:hAnsi="Times New Roman"/>
                <w:sz w:val="17"/>
                <w:szCs w:val="17"/>
                <w:color w:val="0000EE"/>
                <w:w w:val="99"/>
              </w:rPr>
            </w:pPr>
            <w:hyperlink r:id="rId186">
              <w:r>
                <w:rPr>
                  <w:rFonts w:ascii="Times New Roman" w:cs="Times New Roman" w:eastAsia="Times New Roman" w:hAnsi="Times New Roman"/>
                  <w:sz w:val="17"/>
                  <w:szCs w:val="17"/>
                  <w:color w:val="0000EE"/>
                  <w:w w:val="99"/>
                </w:rPr>
                <w:t>Business Combination Agreement, dated as 1of February 13, 2024, by and among Aja HoldCo, Inc., ARYA</w:t>
              </w:r>
            </w:hyperlink>
          </w:p>
        </w:tc>
        <w:tc>
          <w:tcPr>
            <w:tcW w:w="420" w:type="dxa"/>
            <w:vAlign w:val="bottom"/>
            <w:tcBorders>
              <w:top w:val="single" w:sz="8" w:color="auto"/>
            </w:tcBorders>
            <w:gridSpan w:val="11"/>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0" w:type="dxa"/>
            <w:vAlign w:val="bottom"/>
            <w:gridSpan w:val="25"/>
          </w:tcPr>
          <w:p>
            <w:pPr>
              <w:spacing w:after="0" w:line="183" w:lineRule="exact"/>
              <w:rPr>
                <w:rFonts w:ascii="Times New Roman" w:cs="Times New Roman" w:eastAsia="Times New Roman" w:hAnsi="Times New Roman"/>
                <w:sz w:val="17"/>
                <w:szCs w:val="17"/>
                <w:color w:val="0000EE"/>
              </w:rPr>
            </w:pPr>
            <w:hyperlink r:id="rId186">
              <w:r>
                <w:rPr>
                  <w:rFonts w:ascii="Times New Roman" w:cs="Times New Roman" w:eastAsia="Times New Roman" w:hAnsi="Times New Roman"/>
                  <w:sz w:val="17"/>
                  <w:szCs w:val="17"/>
                  <w:color w:val="0000EE"/>
                </w:rPr>
                <w:t>Sciences Acquisition Corp IV, Aja Merger Sub 1, Aja Merger Sub 2, Inc. and Adagio Medical, Inc. (incorporated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2.2</w:t>
            </w:r>
          </w:p>
        </w:tc>
        <w:tc>
          <w:tcPr>
            <w:tcW w:w="180" w:type="dxa"/>
            <w:vAlign w:val="bottom"/>
          </w:tcPr>
          <w:p>
            <w:pPr>
              <w:spacing w:after="0"/>
              <w:rPr>
                <w:sz w:val="15"/>
                <w:szCs w:val="15"/>
                <w:color w:val="auto"/>
              </w:rPr>
            </w:pPr>
          </w:p>
        </w:tc>
        <w:tc>
          <w:tcPr>
            <w:tcW w:w="7800" w:type="dxa"/>
            <w:vAlign w:val="bottom"/>
            <w:tcBorders>
              <w:bottom w:val="single" w:sz="8" w:color="0000EE"/>
            </w:tcBorders>
            <w:gridSpan w:val="25"/>
          </w:tcPr>
          <w:p>
            <w:pPr>
              <w:spacing w:after="0" w:line="183" w:lineRule="exact"/>
              <w:rPr>
                <w:rFonts w:ascii="Times New Roman" w:cs="Times New Roman" w:eastAsia="Times New Roman" w:hAnsi="Times New Roman"/>
                <w:sz w:val="17"/>
                <w:szCs w:val="17"/>
                <w:color w:val="0000EE"/>
              </w:rPr>
            </w:pPr>
            <w:hyperlink r:id="rId186">
              <w:r>
                <w:rPr>
                  <w:rFonts w:ascii="Times New Roman" w:cs="Times New Roman" w:eastAsia="Times New Roman" w:hAnsi="Times New Roman"/>
                  <w:sz w:val="17"/>
                  <w:szCs w:val="17"/>
                  <w:color w:val="0000EE"/>
                </w:rPr>
                <w:t>by reference to Exhibit 2.1 to the Company’s Current Report on Form 8-K filed with the SEC on August 6, 2024).</w:t>
              </w:r>
            </w:hyperlink>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800" w:type="dxa"/>
            <w:vAlign w:val="bottom"/>
            <w:gridSpan w:val="25"/>
          </w:tcPr>
          <w:p>
            <w:pPr>
              <w:spacing w:after="0" w:line="183" w:lineRule="exact"/>
              <w:rPr>
                <w:rFonts w:ascii="Times New Roman" w:cs="Times New Roman" w:eastAsia="Times New Roman" w:hAnsi="Times New Roman"/>
                <w:sz w:val="17"/>
                <w:szCs w:val="17"/>
                <w:color w:val="0000EE"/>
              </w:rPr>
            </w:pPr>
            <w:hyperlink r:id="rId187">
              <w:r>
                <w:rPr>
                  <w:rFonts w:ascii="Times New Roman" w:cs="Times New Roman" w:eastAsia="Times New Roman" w:hAnsi="Times New Roman"/>
                  <w:sz w:val="17"/>
                  <w:szCs w:val="17"/>
                  <w:color w:val="0000EE"/>
                </w:rPr>
                <w:t>Consent and Amendment No. 1 to the Business Combination Agreement, dated as of June 25, 2024, by and</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700" w:type="dxa"/>
            <w:vAlign w:val="bottom"/>
            <w:tcBorders>
              <w:bottom w:val="single" w:sz="8" w:color="0000EE"/>
            </w:tcBorders>
            <w:gridSpan w:val="22"/>
          </w:tcPr>
          <w:p>
            <w:pPr>
              <w:spacing w:after="0" w:line="183" w:lineRule="exact"/>
              <w:rPr>
                <w:rFonts w:ascii="Times New Roman" w:cs="Times New Roman" w:eastAsia="Times New Roman" w:hAnsi="Times New Roman"/>
                <w:sz w:val="17"/>
                <w:szCs w:val="17"/>
                <w:color w:val="0000EE"/>
              </w:rPr>
            </w:pPr>
            <w:hyperlink r:id="rId187">
              <w:r>
                <w:rPr>
                  <w:rFonts w:ascii="Times New Roman" w:cs="Times New Roman" w:eastAsia="Times New Roman" w:hAnsi="Times New Roman"/>
                  <w:sz w:val="17"/>
                  <w:szCs w:val="17"/>
                  <w:color w:val="0000EE"/>
                </w:rPr>
                <w:t>among ARYA Sciences Acquisition Corp IV and Adagio Medical, Inc. (incorporated by reference to Exhibit 2.2</w:t>
              </w:r>
            </w:hyperlink>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180" w:type="dxa"/>
            <w:vAlign w:val="bottom"/>
          </w:tcPr>
          <w:p>
            <w:pPr>
              <w:spacing w:after="0"/>
              <w:rPr>
                <w:sz w:val="15"/>
                <w:szCs w:val="15"/>
                <w:color w:val="auto"/>
              </w:rPr>
            </w:pPr>
          </w:p>
        </w:tc>
        <w:tc>
          <w:tcPr>
            <w:tcW w:w="5940" w:type="dxa"/>
            <w:vAlign w:val="bottom"/>
            <w:tcBorders>
              <w:bottom w:val="single" w:sz="8" w:color="0000EE"/>
            </w:tcBorders>
            <w:gridSpan w:val="10"/>
          </w:tcPr>
          <w:p>
            <w:pPr>
              <w:spacing w:after="0" w:line="183" w:lineRule="exact"/>
              <w:rPr>
                <w:rFonts w:ascii="Times New Roman" w:cs="Times New Roman" w:eastAsia="Times New Roman" w:hAnsi="Times New Roman"/>
                <w:sz w:val="17"/>
                <w:szCs w:val="17"/>
                <w:color w:val="0000EE"/>
              </w:rPr>
            </w:pPr>
            <w:hyperlink r:id="rId187">
              <w:r>
                <w:rPr>
                  <w:rFonts w:ascii="Times New Roman" w:cs="Times New Roman" w:eastAsia="Times New Roman" w:hAnsi="Times New Roman"/>
                  <w:sz w:val="17"/>
                  <w:szCs w:val="17"/>
                  <w:color w:val="0000EE"/>
                </w:rPr>
                <w:t>to the Company’s Current Report on Form 8-K filed with the SEC on August 6, 2024).</w:t>
              </w:r>
            </w:hyperlink>
          </w:p>
        </w:tc>
        <w:tc>
          <w:tcPr>
            <w:tcW w:w="186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80" w:type="dxa"/>
            <w:vAlign w:val="bottom"/>
            <w:tcBorders>
              <w:bottom w:val="single" w:sz="8" w:color="0000EE"/>
            </w:tcBorders>
            <w:gridSpan w:val="21"/>
          </w:tcPr>
          <w:p>
            <w:pPr>
              <w:spacing w:after="0" w:line="183" w:lineRule="exact"/>
              <w:rPr>
                <w:rFonts w:ascii="Times New Roman" w:cs="Times New Roman" w:eastAsia="Times New Roman" w:hAnsi="Times New Roman"/>
                <w:sz w:val="17"/>
                <w:szCs w:val="17"/>
                <w:color w:val="0000EE"/>
              </w:rPr>
            </w:pPr>
            <w:hyperlink r:id="rId188">
              <w:r>
                <w:rPr>
                  <w:rFonts w:ascii="Times New Roman" w:cs="Times New Roman" w:eastAsia="Times New Roman" w:hAnsi="Times New Roman"/>
                  <w:sz w:val="17"/>
                  <w:szCs w:val="17"/>
                  <w:color w:val="0000EE"/>
                </w:rPr>
                <w:t>Amended and Restated Certificate of Incorporation of the Company (incorporated by reference to Exhibit 3.1 to</w:t>
              </w:r>
            </w:hyperlink>
          </w:p>
        </w:tc>
        <w:tc>
          <w:tcPr>
            <w:tcW w:w="1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180" w:type="dxa"/>
            <w:vAlign w:val="bottom"/>
          </w:tcPr>
          <w:p>
            <w:pPr>
              <w:spacing w:after="0"/>
              <w:rPr>
                <w:sz w:val="15"/>
                <w:szCs w:val="15"/>
                <w:color w:val="auto"/>
              </w:rPr>
            </w:pPr>
          </w:p>
        </w:tc>
        <w:tc>
          <w:tcPr>
            <w:tcW w:w="5760" w:type="dxa"/>
            <w:vAlign w:val="bottom"/>
            <w:tcBorders>
              <w:bottom w:val="single" w:sz="8" w:color="0000EE"/>
            </w:tcBorders>
            <w:gridSpan w:val="9"/>
          </w:tcPr>
          <w:p>
            <w:pPr>
              <w:spacing w:after="0" w:line="183" w:lineRule="exact"/>
              <w:rPr>
                <w:rFonts w:ascii="Times New Roman" w:cs="Times New Roman" w:eastAsia="Times New Roman" w:hAnsi="Times New Roman"/>
                <w:sz w:val="17"/>
                <w:szCs w:val="17"/>
                <w:color w:val="0000EE"/>
              </w:rPr>
            </w:pPr>
            <w:hyperlink r:id="rId188">
              <w:r>
                <w:rPr>
                  <w:rFonts w:ascii="Times New Roman" w:cs="Times New Roman" w:eastAsia="Times New Roman" w:hAnsi="Times New Roman"/>
                  <w:sz w:val="17"/>
                  <w:szCs w:val="17"/>
                  <w:color w:val="0000EE"/>
                </w:rPr>
                <w:t>the Company’s Current Report on Form 8-K filed with the SEC on August 6, 2024).</w:t>
              </w:r>
            </w:hyperlink>
          </w:p>
        </w:tc>
        <w:tc>
          <w:tcPr>
            <w:tcW w:w="2040" w:type="dxa"/>
            <w:vAlign w:val="bottom"/>
            <w:gridSpan w:val="1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800" w:type="dxa"/>
            <w:vAlign w:val="bottom"/>
            <w:gridSpan w:val="25"/>
          </w:tcPr>
          <w:p>
            <w:pPr>
              <w:spacing w:after="0" w:line="183" w:lineRule="exact"/>
              <w:rPr>
                <w:rFonts w:ascii="Times New Roman" w:cs="Times New Roman" w:eastAsia="Times New Roman" w:hAnsi="Times New Roman"/>
                <w:sz w:val="17"/>
                <w:szCs w:val="17"/>
                <w:color w:val="0000EE"/>
              </w:rPr>
            </w:pPr>
            <w:hyperlink r:id="rId189">
              <w:r>
                <w:rPr>
                  <w:rFonts w:ascii="Times New Roman" w:cs="Times New Roman" w:eastAsia="Times New Roman" w:hAnsi="Times New Roman"/>
                  <w:sz w:val="17"/>
                  <w:szCs w:val="17"/>
                  <w:color w:val="0000EE"/>
                </w:rPr>
                <w:t>Amended and Restated By-Laws of the Company (incorporated by reference to Exhibit 3.2 to the Company’s</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4.1</w:t>
            </w:r>
          </w:p>
        </w:tc>
        <w:tc>
          <w:tcPr>
            <w:tcW w:w="180" w:type="dxa"/>
            <w:vAlign w:val="bottom"/>
          </w:tcPr>
          <w:p>
            <w:pPr>
              <w:spacing w:after="0"/>
              <w:rPr>
                <w:sz w:val="15"/>
                <w:szCs w:val="15"/>
                <w:color w:val="auto"/>
              </w:rPr>
            </w:pPr>
          </w:p>
        </w:tc>
        <w:tc>
          <w:tcPr>
            <w:tcW w:w="7480" w:type="dxa"/>
            <w:vAlign w:val="bottom"/>
            <w:tcBorders>
              <w:top w:val="single" w:sz="8" w:color="0000EE"/>
            </w:tcBorders>
            <w:gridSpan w:val="16"/>
          </w:tcPr>
          <w:p>
            <w:pPr>
              <w:spacing w:after="0" w:line="183" w:lineRule="exact"/>
              <w:rPr>
                <w:rFonts w:ascii="Times New Roman" w:cs="Times New Roman" w:eastAsia="Times New Roman" w:hAnsi="Times New Roman"/>
                <w:sz w:val="17"/>
                <w:szCs w:val="17"/>
                <w:color w:val="0000EE"/>
              </w:rPr>
            </w:pPr>
            <w:hyperlink r:id="rId189">
              <w:r>
                <w:rPr>
                  <w:rFonts w:ascii="Times New Roman" w:cs="Times New Roman" w:eastAsia="Times New Roman" w:hAnsi="Times New Roman"/>
                  <w:sz w:val="17"/>
                  <w:szCs w:val="17"/>
                  <w:color w:val="0000EE"/>
                </w:rPr>
                <w:t>Current Report on Form 8-K filed with the SEC on August 6, 2024).</w:t>
              </w:r>
            </w:hyperlink>
          </w:p>
        </w:tc>
        <w:tc>
          <w:tcPr>
            <w:tcW w:w="32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700" w:type="dxa"/>
            <w:vAlign w:val="bottom"/>
            <w:tcBorders>
              <w:bottom w:val="single" w:sz="8" w:color="0000EE"/>
            </w:tcBorders>
            <w:gridSpan w:val="22"/>
          </w:tcPr>
          <w:p>
            <w:pPr>
              <w:spacing w:after="0" w:line="183" w:lineRule="exact"/>
              <w:rPr>
                <w:rFonts w:ascii="Times New Roman" w:cs="Times New Roman" w:eastAsia="Times New Roman" w:hAnsi="Times New Roman"/>
                <w:sz w:val="17"/>
                <w:szCs w:val="17"/>
                <w:color w:val="0000EE"/>
              </w:rPr>
            </w:pPr>
            <w:hyperlink r:id="rId190">
              <w:r>
                <w:rPr>
                  <w:rFonts w:ascii="Times New Roman" w:cs="Times New Roman" w:eastAsia="Times New Roman" w:hAnsi="Times New Roman"/>
                  <w:sz w:val="17"/>
                  <w:szCs w:val="17"/>
                  <w:color w:val="0000EE"/>
                </w:rPr>
                <w:t>Form of Base Warrant Agreement (incorporated by reference to Exhibit 4.1 to the Company’s Current Report on</w:t>
              </w:r>
            </w:hyperlink>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4.2</w:t>
            </w:r>
          </w:p>
        </w:tc>
        <w:tc>
          <w:tcPr>
            <w:tcW w:w="180" w:type="dxa"/>
            <w:vAlign w:val="bottom"/>
          </w:tcPr>
          <w:p>
            <w:pPr>
              <w:spacing w:after="0"/>
              <w:rPr>
                <w:sz w:val="15"/>
                <w:szCs w:val="15"/>
                <w:color w:val="auto"/>
              </w:rPr>
            </w:pPr>
          </w:p>
        </w:tc>
        <w:tc>
          <w:tcPr>
            <w:tcW w:w="3400" w:type="dxa"/>
            <w:vAlign w:val="bottom"/>
            <w:tcBorders>
              <w:bottom w:val="single" w:sz="8" w:color="0000EE"/>
            </w:tcBorders>
            <w:gridSpan w:val="3"/>
          </w:tcPr>
          <w:p>
            <w:pPr>
              <w:spacing w:after="0" w:line="183" w:lineRule="exact"/>
              <w:rPr>
                <w:rFonts w:ascii="Times New Roman" w:cs="Times New Roman" w:eastAsia="Times New Roman" w:hAnsi="Times New Roman"/>
                <w:sz w:val="17"/>
                <w:szCs w:val="17"/>
                <w:color w:val="0000EE"/>
              </w:rPr>
            </w:pPr>
            <w:hyperlink r:id="rId190">
              <w:r>
                <w:rPr>
                  <w:rFonts w:ascii="Times New Roman" w:cs="Times New Roman" w:eastAsia="Times New Roman" w:hAnsi="Times New Roman"/>
                  <w:sz w:val="17"/>
                  <w:szCs w:val="17"/>
                  <w:color w:val="0000EE"/>
                </w:rPr>
                <w:t>Form 8-K filed with the SEC on August 6, 2024).</w:t>
              </w:r>
            </w:hyperlink>
          </w:p>
        </w:tc>
        <w:tc>
          <w:tcPr>
            <w:tcW w:w="4400" w:type="dxa"/>
            <w:vAlign w:val="bottom"/>
            <w:gridSpan w:val="2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440" w:type="dxa"/>
            <w:vAlign w:val="bottom"/>
            <w:tcBorders>
              <w:bottom w:val="single" w:sz="8" w:color="0000EE"/>
            </w:tcBorders>
            <w:gridSpan w:val="15"/>
          </w:tcPr>
          <w:p>
            <w:pPr>
              <w:spacing w:after="0" w:line="183" w:lineRule="exact"/>
              <w:rPr>
                <w:rFonts w:ascii="Times New Roman" w:cs="Times New Roman" w:eastAsia="Times New Roman" w:hAnsi="Times New Roman"/>
                <w:sz w:val="17"/>
                <w:szCs w:val="17"/>
                <w:color w:val="0000EE"/>
              </w:rPr>
            </w:pPr>
            <w:hyperlink r:id="rId191">
              <w:r>
                <w:rPr>
                  <w:rFonts w:ascii="Times New Roman" w:cs="Times New Roman" w:eastAsia="Times New Roman" w:hAnsi="Times New Roman"/>
                  <w:sz w:val="17"/>
                  <w:szCs w:val="17"/>
                  <w:color w:val="0000EE"/>
                </w:rPr>
                <w:t>Form of Pre-Funded Warrant Agreement (incorporated by reference to Exhibit 4.2 to the Company’s Current</w:t>
              </w:r>
            </w:hyperlink>
          </w:p>
        </w:tc>
        <w:tc>
          <w:tcPr>
            <w:tcW w:w="36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4.3</w:t>
            </w:r>
          </w:p>
        </w:tc>
        <w:tc>
          <w:tcPr>
            <w:tcW w:w="180" w:type="dxa"/>
            <w:vAlign w:val="bottom"/>
          </w:tcPr>
          <w:p>
            <w:pPr>
              <w:spacing w:after="0"/>
              <w:rPr>
                <w:sz w:val="15"/>
                <w:szCs w:val="15"/>
                <w:color w:val="auto"/>
              </w:rPr>
            </w:pPr>
          </w:p>
        </w:tc>
        <w:tc>
          <w:tcPr>
            <w:tcW w:w="4120" w:type="dxa"/>
            <w:vAlign w:val="bottom"/>
            <w:tcBorders>
              <w:bottom w:val="single" w:sz="8" w:color="0000EE"/>
            </w:tcBorders>
            <w:gridSpan w:val="5"/>
          </w:tcPr>
          <w:p>
            <w:pPr>
              <w:spacing w:after="0" w:line="183" w:lineRule="exact"/>
              <w:rPr>
                <w:rFonts w:ascii="Times New Roman" w:cs="Times New Roman" w:eastAsia="Times New Roman" w:hAnsi="Times New Roman"/>
                <w:sz w:val="17"/>
                <w:szCs w:val="17"/>
                <w:color w:val="0000EE"/>
              </w:rPr>
            </w:pPr>
            <w:hyperlink r:id="rId191">
              <w:r>
                <w:rPr>
                  <w:rFonts w:ascii="Times New Roman" w:cs="Times New Roman" w:eastAsia="Times New Roman" w:hAnsi="Times New Roman"/>
                  <w:sz w:val="17"/>
                  <w:szCs w:val="17"/>
                  <w:color w:val="0000EE"/>
                </w:rPr>
                <w:t>Report on Form 8-K filed with the SEC on August 6, 2024).</w:t>
              </w:r>
            </w:hyperlink>
          </w:p>
        </w:tc>
        <w:tc>
          <w:tcPr>
            <w:tcW w:w="368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800" w:type="dxa"/>
            <w:vAlign w:val="bottom"/>
            <w:gridSpan w:val="25"/>
          </w:tcPr>
          <w:p>
            <w:pPr>
              <w:spacing w:after="0" w:line="183" w:lineRule="exact"/>
              <w:rPr>
                <w:rFonts w:ascii="Times New Roman" w:cs="Times New Roman" w:eastAsia="Times New Roman" w:hAnsi="Times New Roman"/>
                <w:sz w:val="17"/>
                <w:szCs w:val="17"/>
                <w:color w:val="0000EE"/>
              </w:rPr>
            </w:pPr>
            <w:hyperlink r:id="rId192">
              <w:r>
                <w:rPr>
                  <w:rFonts w:ascii="Times New Roman" w:cs="Times New Roman" w:eastAsia="Times New Roman" w:hAnsi="Times New Roman"/>
                  <w:sz w:val="17"/>
                  <w:szCs w:val="17"/>
                  <w:color w:val="0000EE"/>
                </w:rPr>
                <w:t>Form of Convertible Note (incorporated by reference to Exhibit 10.12 to the Company’s Current Report on Form</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4.4</w:t>
            </w:r>
          </w:p>
        </w:tc>
        <w:tc>
          <w:tcPr>
            <w:tcW w:w="180" w:type="dxa"/>
            <w:vAlign w:val="bottom"/>
          </w:tcPr>
          <w:p>
            <w:pPr>
              <w:spacing w:after="0"/>
              <w:rPr>
                <w:sz w:val="15"/>
                <w:szCs w:val="15"/>
                <w:color w:val="auto"/>
              </w:rPr>
            </w:pPr>
          </w:p>
        </w:tc>
        <w:tc>
          <w:tcPr>
            <w:tcW w:w="2980" w:type="dxa"/>
            <w:vAlign w:val="bottom"/>
            <w:tcBorders>
              <w:top w:val="single" w:sz="8" w:color="0000EE"/>
              <w:bottom w:val="single" w:sz="8" w:color="0000EE"/>
            </w:tcBorders>
          </w:tcPr>
          <w:p>
            <w:pPr>
              <w:spacing w:after="0" w:line="183" w:lineRule="exact"/>
              <w:rPr>
                <w:rFonts w:ascii="Times New Roman" w:cs="Times New Roman" w:eastAsia="Times New Roman" w:hAnsi="Times New Roman"/>
                <w:sz w:val="17"/>
                <w:szCs w:val="17"/>
                <w:color w:val="0000EE"/>
              </w:rPr>
            </w:pPr>
            <w:hyperlink r:id="rId192">
              <w:r>
                <w:rPr>
                  <w:rFonts w:ascii="Times New Roman" w:cs="Times New Roman" w:eastAsia="Times New Roman" w:hAnsi="Times New Roman"/>
                  <w:sz w:val="17"/>
                  <w:szCs w:val="17"/>
                  <w:color w:val="0000EE"/>
                </w:rPr>
                <w:t>8 K filed with the SEC on August 6, 2024).</w:t>
              </w:r>
            </w:hyperlink>
          </w:p>
        </w:tc>
        <w:tc>
          <w:tcPr>
            <w:tcW w:w="1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1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700" w:type="dxa"/>
            <w:vAlign w:val="bottom"/>
            <w:tcBorders>
              <w:bottom w:val="single" w:sz="8" w:color="0000EE"/>
            </w:tcBorders>
            <w:gridSpan w:val="22"/>
          </w:tcPr>
          <w:p>
            <w:pPr>
              <w:spacing w:after="0" w:line="183" w:lineRule="exact"/>
              <w:rPr>
                <w:rFonts w:ascii="Times New Roman" w:cs="Times New Roman" w:eastAsia="Times New Roman" w:hAnsi="Times New Roman"/>
                <w:sz w:val="17"/>
                <w:szCs w:val="17"/>
                <w:color w:val="0000EE"/>
              </w:rPr>
            </w:pPr>
            <w:hyperlink r:id="rId193">
              <w:r>
                <w:rPr>
                  <w:rFonts w:ascii="Times New Roman" w:cs="Times New Roman" w:eastAsia="Times New Roman" w:hAnsi="Times New Roman"/>
                  <w:sz w:val="17"/>
                  <w:szCs w:val="17"/>
                  <w:color w:val="0000EE"/>
                </w:rPr>
                <w:t>Form of Convert Warrant Agreement (incorporated by reference to Exhibit 4.3 to the Company’s Current Report</w:t>
              </w:r>
            </w:hyperlink>
          </w:p>
        </w:tc>
        <w:tc>
          <w:tcPr>
            <w:tcW w:w="10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4.5</w:t>
            </w:r>
          </w:p>
        </w:tc>
        <w:tc>
          <w:tcPr>
            <w:tcW w:w="180" w:type="dxa"/>
            <w:vAlign w:val="bottom"/>
          </w:tcPr>
          <w:p>
            <w:pPr>
              <w:spacing w:after="0"/>
              <w:rPr>
                <w:sz w:val="15"/>
                <w:szCs w:val="15"/>
                <w:color w:val="auto"/>
              </w:rPr>
            </w:pPr>
          </w:p>
        </w:tc>
        <w:tc>
          <w:tcPr>
            <w:tcW w:w="3620" w:type="dxa"/>
            <w:vAlign w:val="bottom"/>
            <w:tcBorders>
              <w:bottom w:val="single" w:sz="8" w:color="0000EE"/>
            </w:tcBorders>
            <w:gridSpan w:val="4"/>
          </w:tcPr>
          <w:p>
            <w:pPr>
              <w:spacing w:after="0" w:line="183" w:lineRule="exact"/>
              <w:rPr>
                <w:rFonts w:ascii="Times New Roman" w:cs="Times New Roman" w:eastAsia="Times New Roman" w:hAnsi="Times New Roman"/>
                <w:sz w:val="17"/>
                <w:szCs w:val="17"/>
                <w:color w:val="0000EE"/>
              </w:rPr>
            </w:pPr>
            <w:hyperlink r:id="rId193">
              <w:r>
                <w:rPr>
                  <w:rFonts w:ascii="Times New Roman" w:cs="Times New Roman" w:eastAsia="Times New Roman" w:hAnsi="Times New Roman"/>
                  <w:sz w:val="17"/>
                  <w:szCs w:val="17"/>
                  <w:color w:val="0000EE"/>
                </w:rPr>
                <w:t>on Form 8-K filed with the SEC on August 6, 2024).</w:t>
              </w:r>
            </w:hyperlink>
          </w:p>
        </w:tc>
        <w:tc>
          <w:tcPr>
            <w:tcW w:w="4180" w:type="dxa"/>
            <w:vAlign w:val="bottom"/>
            <w:gridSpan w:val="2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800" w:type="dxa"/>
            <w:vAlign w:val="bottom"/>
            <w:gridSpan w:val="25"/>
          </w:tcPr>
          <w:p>
            <w:pPr>
              <w:spacing w:after="0" w:line="183" w:lineRule="exact"/>
              <w:rPr>
                <w:rFonts w:ascii="Times New Roman" w:cs="Times New Roman" w:eastAsia="Times New Roman" w:hAnsi="Times New Roman"/>
                <w:sz w:val="17"/>
                <w:szCs w:val="17"/>
                <w:color w:val="0000EE"/>
              </w:rPr>
            </w:pPr>
            <w:hyperlink r:id="rId194">
              <w:r>
                <w:rPr>
                  <w:rFonts w:ascii="Times New Roman" w:cs="Times New Roman" w:eastAsia="Times New Roman" w:hAnsi="Times New Roman"/>
                  <w:sz w:val="17"/>
                  <w:szCs w:val="17"/>
                  <w:color w:val="0000EE"/>
                </w:rPr>
                <w:t>Specimen Common Stock Certificate of New Adagio (incorporated by reference to Exhibit 4.4 to the Company’s</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4.6</w:t>
            </w:r>
          </w:p>
        </w:tc>
        <w:tc>
          <w:tcPr>
            <w:tcW w:w="180" w:type="dxa"/>
            <w:vAlign w:val="bottom"/>
          </w:tcPr>
          <w:p>
            <w:pPr>
              <w:spacing w:after="0"/>
              <w:rPr>
                <w:sz w:val="15"/>
                <w:szCs w:val="15"/>
                <w:color w:val="auto"/>
              </w:rPr>
            </w:pPr>
          </w:p>
        </w:tc>
        <w:tc>
          <w:tcPr>
            <w:tcW w:w="7740" w:type="dxa"/>
            <w:vAlign w:val="bottom"/>
            <w:tcBorders>
              <w:top w:val="single" w:sz="8" w:color="0000EE"/>
            </w:tcBorders>
            <w:gridSpan w:val="23"/>
          </w:tcPr>
          <w:p>
            <w:pPr>
              <w:spacing w:after="0" w:line="183" w:lineRule="exact"/>
              <w:rPr>
                <w:rFonts w:ascii="Times New Roman" w:cs="Times New Roman" w:eastAsia="Times New Roman" w:hAnsi="Times New Roman"/>
                <w:sz w:val="17"/>
                <w:szCs w:val="17"/>
                <w:color w:val="0000EE"/>
              </w:rPr>
            </w:pPr>
            <w:hyperlink r:id="rId194">
              <w:r>
                <w:rPr>
                  <w:rFonts w:ascii="Times New Roman" w:cs="Times New Roman" w:eastAsia="Times New Roman" w:hAnsi="Times New Roman"/>
                  <w:sz w:val="17"/>
                  <w:szCs w:val="17"/>
                  <w:color w:val="0000EE"/>
                </w:rPr>
                <w:t>Current Report on Form 8-K filed with the SEC on August 6, 2024).</w:t>
              </w:r>
            </w:hyperlink>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440" w:type="dxa"/>
            <w:vAlign w:val="bottom"/>
            <w:tcBorders>
              <w:bottom w:val="single" w:sz="8" w:color="0000EE"/>
            </w:tcBorders>
            <w:gridSpan w:val="15"/>
          </w:tcPr>
          <w:p>
            <w:pPr>
              <w:spacing w:after="0" w:line="183" w:lineRule="exact"/>
              <w:rPr>
                <w:rFonts w:ascii="Times New Roman" w:cs="Times New Roman" w:eastAsia="Times New Roman" w:hAnsi="Times New Roman"/>
                <w:sz w:val="17"/>
                <w:szCs w:val="17"/>
                <w:color w:val="0000EE"/>
              </w:rPr>
            </w:pPr>
            <w:hyperlink r:id="rId195">
              <w:r>
                <w:rPr>
                  <w:rFonts w:ascii="Times New Roman" w:cs="Times New Roman" w:eastAsia="Times New Roman" w:hAnsi="Times New Roman"/>
                  <w:sz w:val="17"/>
                  <w:szCs w:val="17"/>
                  <w:color w:val="0000EE"/>
                </w:rPr>
                <w:t>Form of Pre-Funded Warrant Agreement (incorporated by reference to Exhibit 4.1 to the Company’s Current</w:t>
              </w:r>
            </w:hyperlink>
          </w:p>
        </w:tc>
        <w:tc>
          <w:tcPr>
            <w:tcW w:w="36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4.7</w:t>
            </w:r>
          </w:p>
        </w:tc>
        <w:tc>
          <w:tcPr>
            <w:tcW w:w="180" w:type="dxa"/>
            <w:vAlign w:val="bottom"/>
          </w:tcPr>
          <w:p>
            <w:pPr>
              <w:spacing w:after="0"/>
              <w:rPr>
                <w:sz w:val="15"/>
                <w:szCs w:val="15"/>
                <w:color w:val="auto"/>
              </w:rPr>
            </w:pPr>
          </w:p>
        </w:tc>
        <w:tc>
          <w:tcPr>
            <w:tcW w:w="7800" w:type="dxa"/>
            <w:vAlign w:val="bottom"/>
            <w:gridSpan w:val="25"/>
          </w:tcPr>
          <w:p>
            <w:pPr>
              <w:spacing w:after="0" w:line="183" w:lineRule="exact"/>
              <w:rPr>
                <w:rFonts w:ascii="Times New Roman" w:cs="Times New Roman" w:eastAsia="Times New Roman" w:hAnsi="Times New Roman"/>
                <w:sz w:val="17"/>
                <w:szCs w:val="17"/>
                <w:color w:val="0000EE"/>
              </w:rPr>
            </w:pPr>
            <w:hyperlink r:id="rId195">
              <w:r>
                <w:rPr>
                  <w:rFonts w:ascii="Times New Roman" w:cs="Times New Roman" w:eastAsia="Times New Roman" w:hAnsi="Times New Roman"/>
                  <w:sz w:val="17"/>
                  <w:szCs w:val="17"/>
                  <w:color w:val="0000EE"/>
                </w:rPr>
                <w:t>Report on Form 8-K filed with the SEC on October 15, 2025).</w:t>
              </w:r>
            </w:hyperlink>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60" w:type="dxa"/>
            <w:vAlign w:val="bottom"/>
            <w:tcBorders>
              <w:bottom w:val="single" w:sz="8" w:color="0000EE"/>
            </w:tcBorders>
            <w:gridSpan w:val="20"/>
          </w:tcPr>
          <w:p>
            <w:pPr>
              <w:spacing w:after="0" w:line="183" w:lineRule="exact"/>
              <w:rPr>
                <w:rFonts w:ascii="Times New Roman" w:cs="Times New Roman" w:eastAsia="Times New Roman" w:hAnsi="Times New Roman"/>
                <w:sz w:val="17"/>
                <w:szCs w:val="17"/>
                <w:color w:val="0000EE"/>
              </w:rPr>
            </w:pPr>
            <w:hyperlink r:id="rId196">
              <w:r>
                <w:rPr>
                  <w:rFonts w:ascii="Times New Roman" w:cs="Times New Roman" w:eastAsia="Times New Roman" w:hAnsi="Times New Roman"/>
                  <w:sz w:val="17"/>
                  <w:szCs w:val="17"/>
                  <w:color w:val="0000EE"/>
                </w:rPr>
                <w:t>Form of Milestone Warrant (incorporated by reference to Exhibit 4.2 to the Company’s Current Report on Form</w:t>
              </w:r>
            </w:hyperlink>
          </w:p>
        </w:tc>
        <w:tc>
          <w:tcPr>
            <w:tcW w:w="14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10.1</w:t>
            </w:r>
          </w:p>
        </w:tc>
        <w:tc>
          <w:tcPr>
            <w:tcW w:w="180" w:type="dxa"/>
            <w:vAlign w:val="bottom"/>
          </w:tcPr>
          <w:p>
            <w:pPr>
              <w:spacing w:after="0"/>
              <w:rPr>
                <w:sz w:val="15"/>
                <w:szCs w:val="15"/>
                <w:color w:val="auto"/>
              </w:rPr>
            </w:pPr>
          </w:p>
        </w:tc>
        <w:tc>
          <w:tcPr>
            <w:tcW w:w="7800" w:type="dxa"/>
            <w:vAlign w:val="bottom"/>
            <w:gridSpan w:val="25"/>
          </w:tcPr>
          <w:p>
            <w:pPr>
              <w:spacing w:after="0" w:line="183" w:lineRule="exact"/>
              <w:rPr>
                <w:rFonts w:ascii="Times New Roman" w:cs="Times New Roman" w:eastAsia="Times New Roman" w:hAnsi="Times New Roman"/>
                <w:sz w:val="17"/>
                <w:szCs w:val="17"/>
                <w:color w:val="0000EE"/>
              </w:rPr>
            </w:pPr>
            <w:hyperlink r:id="rId196">
              <w:r>
                <w:rPr>
                  <w:rFonts w:ascii="Times New Roman" w:cs="Times New Roman" w:eastAsia="Times New Roman" w:hAnsi="Times New Roman"/>
                  <w:sz w:val="17"/>
                  <w:szCs w:val="17"/>
                  <w:color w:val="0000EE"/>
                </w:rPr>
                <w:t>8-K filed with the SEC on October 15, 2025).</w:t>
              </w:r>
            </w:hyperlink>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80" w:type="dxa"/>
            <w:vAlign w:val="bottom"/>
            <w:tcBorders>
              <w:bottom w:val="single" w:sz="8" w:color="0000EE"/>
            </w:tcBorders>
            <w:gridSpan w:val="11"/>
          </w:tcPr>
          <w:p>
            <w:pPr>
              <w:spacing w:after="0" w:line="183" w:lineRule="exact"/>
              <w:rPr>
                <w:rFonts w:ascii="Times New Roman" w:cs="Times New Roman" w:eastAsia="Times New Roman" w:hAnsi="Times New Roman"/>
                <w:sz w:val="17"/>
                <w:szCs w:val="17"/>
                <w:color w:val="0000EE"/>
              </w:rPr>
            </w:pPr>
            <w:hyperlink r:id="rId197">
              <w:r>
                <w:rPr>
                  <w:rFonts w:ascii="Times New Roman" w:cs="Times New Roman" w:eastAsia="Times New Roman" w:hAnsi="Times New Roman"/>
                  <w:sz w:val="17"/>
                  <w:szCs w:val="17"/>
                  <w:color w:val="0000EE"/>
                </w:rPr>
                <w:t>Form of Convertible Security Subscription Agreement (incorporated by reference to Exhibit 10.1 to the</w:t>
              </w:r>
            </w:hyperlink>
          </w:p>
        </w:tc>
        <w:tc>
          <w:tcPr>
            <w:tcW w:w="72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180" w:type="dxa"/>
            <w:vAlign w:val="bottom"/>
          </w:tcPr>
          <w:p>
            <w:pPr>
              <w:spacing w:after="0"/>
              <w:rPr>
                <w:sz w:val="15"/>
                <w:szCs w:val="15"/>
                <w:color w:val="auto"/>
              </w:rPr>
            </w:pPr>
          </w:p>
        </w:tc>
        <w:tc>
          <w:tcPr>
            <w:tcW w:w="7800" w:type="dxa"/>
            <w:vAlign w:val="bottom"/>
            <w:gridSpan w:val="25"/>
          </w:tcPr>
          <w:p>
            <w:pPr>
              <w:spacing w:after="0" w:line="183" w:lineRule="exact"/>
              <w:rPr>
                <w:rFonts w:ascii="Times New Roman" w:cs="Times New Roman" w:eastAsia="Times New Roman" w:hAnsi="Times New Roman"/>
                <w:sz w:val="17"/>
                <w:szCs w:val="17"/>
                <w:color w:val="0000EE"/>
              </w:rPr>
            </w:pPr>
            <w:hyperlink r:id="rId197">
              <w:r>
                <w:rPr>
                  <w:rFonts w:ascii="Times New Roman" w:cs="Times New Roman" w:eastAsia="Times New Roman" w:hAnsi="Times New Roman"/>
                  <w:sz w:val="17"/>
                  <w:szCs w:val="17"/>
                  <w:color w:val="0000EE"/>
                </w:rPr>
                <w:t>Company’s Current Report on Form 8-K filed with the SEC on August 6, 2024).</w:t>
              </w:r>
            </w:hyperlink>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500" w:type="dxa"/>
            <w:vAlign w:val="bottom"/>
            <w:gridSpan w:val="8"/>
            <w:shd w:val="clear" w:color="auto" w:fill="0000EE"/>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540" w:type="dxa"/>
            <w:vAlign w:val="bottom"/>
            <w:tcBorders>
              <w:bottom w:val="single" w:sz="8" w:color="0000EE"/>
            </w:tcBorders>
            <w:gridSpan w:val="17"/>
          </w:tcPr>
          <w:p>
            <w:pPr>
              <w:spacing w:after="0" w:line="183" w:lineRule="exact"/>
              <w:rPr>
                <w:rFonts w:ascii="Times New Roman" w:cs="Times New Roman" w:eastAsia="Times New Roman" w:hAnsi="Times New Roman"/>
                <w:sz w:val="17"/>
                <w:szCs w:val="17"/>
                <w:color w:val="0000EE"/>
                <w:w w:val="99"/>
              </w:rPr>
            </w:pPr>
            <w:hyperlink r:id="rId198">
              <w:r>
                <w:rPr>
                  <w:rFonts w:ascii="Times New Roman" w:cs="Times New Roman" w:eastAsia="Times New Roman" w:hAnsi="Times New Roman"/>
                  <w:sz w:val="17"/>
                  <w:szCs w:val="17"/>
                  <w:color w:val="0000EE"/>
                  <w:w w:val="99"/>
                </w:rPr>
                <w:t>Investor Rights Agreement, dated as of February 13, 2024, by and among ARYA, ListCo, the Perceptive PIPE</w:t>
              </w:r>
            </w:hyperlink>
          </w:p>
        </w:tc>
        <w:tc>
          <w:tcPr>
            <w:tcW w:w="2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0" w:type="dxa"/>
            <w:vAlign w:val="bottom"/>
            <w:gridSpan w:val="25"/>
          </w:tcPr>
          <w:p>
            <w:pPr>
              <w:spacing w:after="0" w:line="183" w:lineRule="exact"/>
              <w:rPr>
                <w:rFonts w:ascii="Times New Roman" w:cs="Times New Roman" w:eastAsia="Times New Roman" w:hAnsi="Times New Roman"/>
                <w:sz w:val="17"/>
                <w:szCs w:val="17"/>
                <w:color w:val="0000EE"/>
              </w:rPr>
            </w:pPr>
            <w:hyperlink r:id="rId198">
              <w:r>
                <w:rPr>
                  <w:rFonts w:ascii="Times New Roman" w:cs="Times New Roman" w:eastAsia="Times New Roman" w:hAnsi="Times New Roman"/>
                  <w:sz w:val="17"/>
                  <w:szCs w:val="17"/>
                  <w:color w:val="0000EE"/>
                </w:rPr>
                <w:t>Investor, the Sponsor and the other parties thereto (incorporated by reference to Exhibit 10.2 to the Company’s</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10.3</w:t>
            </w:r>
          </w:p>
        </w:tc>
        <w:tc>
          <w:tcPr>
            <w:tcW w:w="180" w:type="dxa"/>
            <w:vAlign w:val="bottom"/>
          </w:tcPr>
          <w:p>
            <w:pPr>
              <w:spacing w:after="0"/>
              <w:rPr>
                <w:sz w:val="15"/>
                <w:szCs w:val="15"/>
                <w:color w:val="auto"/>
              </w:rPr>
            </w:pPr>
          </w:p>
        </w:tc>
        <w:tc>
          <w:tcPr>
            <w:tcW w:w="7560" w:type="dxa"/>
            <w:vAlign w:val="bottom"/>
            <w:tcBorders>
              <w:top w:val="single" w:sz="8" w:color="0000EE"/>
            </w:tcBorders>
            <w:gridSpan w:val="18"/>
          </w:tcPr>
          <w:p>
            <w:pPr>
              <w:spacing w:after="0" w:line="183" w:lineRule="exact"/>
              <w:rPr>
                <w:rFonts w:ascii="Times New Roman" w:cs="Times New Roman" w:eastAsia="Times New Roman" w:hAnsi="Times New Roman"/>
                <w:sz w:val="17"/>
                <w:szCs w:val="17"/>
                <w:color w:val="0000EE"/>
              </w:rPr>
            </w:pPr>
            <w:hyperlink r:id="rId198">
              <w:r>
                <w:rPr>
                  <w:rFonts w:ascii="Times New Roman" w:cs="Times New Roman" w:eastAsia="Times New Roman" w:hAnsi="Times New Roman"/>
                  <w:sz w:val="17"/>
                  <w:szCs w:val="17"/>
                  <w:color w:val="0000EE"/>
                </w:rPr>
                <w:t>Current Report on Form 8-K filed with the SEC on August 6, 2024).</w:t>
              </w:r>
            </w:hyperlink>
          </w:p>
        </w:tc>
        <w:tc>
          <w:tcPr>
            <w:tcW w:w="24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80" w:type="dxa"/>
            <w:vAlign w:val="bottom"/>
            <w:gridSpan w:val="7"/>
            <w:shd w:val="clear" w:color="auto" w:fill="0000EE"/>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40" w:type="dxa"/>
            <w:vAlign w:val="bottom"/>
            <w:tcBorders>
              <w:bottom w:val="single" w:sz="8" w:color="0000EE"/>
            </w:tcBorders>
            <w:gridSpan w:val="19"/>
          </w:tcPr>
          <w:p>
            <w:pPr>
              <w:spacing w:after="0" w:line="183" w:lineRule="exact"/>
              <w:rPr>
                <w:rFonts w:ascii="Times New Roman" w:cs="Times New Roman" w:eastAsia="Times New Roman" w:hAnsi="Times New Roman"/>
                <w:sz w:val="17"/>
                <w:szCs w:val="17"/>
                <w:color w:val="0000EE"/>
                <w:w w:val="99"/>
              </w:rPr>
            </w:pPr>
            <w:hyperlink r:id="rId199">
              <w:r>
                <w:rPr>
                  <w:rFonts w:ascii="Times New Roman" w:cs="Times New Roman" w:eastAsia="Times New Roman" w:hAnsi="Times New Roman"/>
                  <w:sz w:val="17"/>
                  <w:szCs w:val="17"/>
                  <w:color w:val="0000EE"/>
                  <w:w w:val="99"/>
                </w:rPr>
                <w:t>Sponsor Letter Agreement, dated February 13, 2024, by and between ARYA Sciences Acquisition Corp, ARYA</w:t>
              </w:r>
            </w:hyperlink>
          </w:p>
        </w:tc>
        <w:tc>
          <w:tcPr>
            <w:tcW w:w="1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0" w:type="dxa"/>
            <w:vAlign w:val="bottom"/>
            <w:gridSpan w:val="25"/>
          </w:tcPr>
          <w:p>
            <w:pPr>
              <w:spacing w:after="0" w:line="183" w:lineRule="exact"/>
              <w:rPr>
                <w:rFonts w:ascii="Times New Roman" w:cs="Times New Roman" w:eastAsia="Times New Roman" w:hAnsi="Times New Roman"/>
                <w:sz w:val="17"/>
                <w:szCs w:val="17"/>
                <w:color w:val="0000EE"/>
              </w:rPr>
            </w:pPr>
            <w:hyperlink r:id="rId199">
              <w:r>
                <w:rPr>
                  <w:rFonts w:ascii="Times New Roman" w:cs="Times New Roman" w:eastAsia="Times New Roman" w:hAnsi="Times New Roman"/>
                  <w:sz w:val="17"/>
                  <w:szCs w:val="17"/>
                  <w:color w:val="0000EE"/>
                </w:rPr>
                <w:t>Sciences Holdings IV, Todd Wider, Michael Henderson, Leslie Trigg, Joseph Edelman, Adam Stone, Michael</w:t>
              </w:r>
            </w:hyperlink>
          </w:p>
        </w:tc>
        <w:tc>
          <w:tcPr>
            <w:tcW w:w="0" w:type="dxa"/>
            <w:vAlign w:val="bottom"/>
          </w:tcPr>
          <w:p>
            <w:pPr>
              <w:spacing w:after="0"/>
              <w:rPr>
                <w:sz w:val="1"/>
                <w:szCs w:val="1"/>
                <w:color w:val="auto"/>
              </w:rPr>
            </w:pPr>
          </w:p>
        </w:tc>
      </w:tr>
      <w:tr>
        <w:trPr>
          <w:trHeight w:val="182"/>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80" w:type="dxa"/>
            <w:vAlign w:val="bottom"/>
            <w:tcBorders>
              <w:top w:val="single" w:sz="8" w:color="0000EE"/>
            </w:tcBorders>
            <w:gridSpan w:val="16"/>
          </w:tcPr>
          <w:p>
            <w:pPr>
              <w:spacing w:after="0" w:line="183" w:lineRule="exact"/>
              <w:rPr>
                <w:rFonts w:ascii="Times New Roman" w:cs="Times New Roman" w:eastAsia="Times New Roman" w:hAnsi="Times New Roman"/>
                <w:sz w:val="17"/>
                <w:szCs w:val="17"/>
                <w:color w:val="0000EE"/>
              </w:rPr>
            </w:pPr>
            <w:hyperlink r:id="rId199">
              <w:r>
                <w:rPr>
                  <w:rFonts w:ascii="Times New Roman" w:cs="Times New Roman" w:eastAsia="Times New Roman" w:hAnsi="Times New Roman"/>
                  <w:sz w:val="17"/>
                  <w:szCs w:val="17"/>
                  <w:color w:val="0000EE"/>
                </w:rPr>
                <w:t>Altman, Konstantin Poukalov and Adagio Medical, Inc. (incorporated by reference to Exhibit 10.3 to the</w:t>
              </w:r>
            </w:hyperlink>
          </w:p>
        </w:tc>
        <w:tc>
          <w:tcPr>
            <w:tcW w:w="32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80" w:type="dxa"/>
            <w:vAlign w:val="bottom"/>
          </w:tcPr>
          <w:p>
            <w:pPr>
              <w:spacing w:after="0"/>
              <w:rPr>
                <w:sz w:val="15"/>
                <w:szCs w:val="15"/>
                <w:color w:val="auto"/>
              </w:rPr>
            </w:pPr>
          </w:p>
        </w:tc>
        <w:tc>
          <w:tcPr>
            <w:tcW w:w="7160" w:type="dxa"/>
            <w:vAlign w:val="bottom"/>
            <w:tcBorders>
              <w:top w:val="single" w:sz="8" w:color="0000EE"/>
            </w:tcBorders>
            <w:gridSpan w:val="12"/>
          </w:tcPr>
          <w:p>
            <w:pPr>
              <w:spacing w:after="0" w:line="183" w:lineRule="exact"/>
              <w:rPr>
                <w:rFonts w:ascii="Times New Roman" w:cs="Times New Roman" w:eastAsia="Times New Roman" w:hAnsi="Times New Roman"/>
                <w:sz w:val="17"/>
                <w:szCs w:val="17"/>
                <w:color w:val="0000EE"/>
              </w:rPr>
            </w:pPr>
            <w:hyperlink r:id="rId199">
              <w:r>
                <w:rPr>
                  <w:rFonts w:ascii="Times New Roman" w:cs="Times New Roman" w:eastAsia="Times New Roman" w:hAnsi="Times New Roman"/>
                  <w:sz w:val="17"/>
                  <w:szCs w:val="17"/>
                  <w:color w:val="0000EE"/>
                </w:rPr>
                <w:t>Company’s Current Report on Form 8-K filed with the SEC on August 6, 2024).</w:t>
              </w:r>
            </w:hyperlink>
          </w:p>
        </w:tc>
        <w:tc>
          <w:tcPr>
            <w:tcW w:w="64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500" w:type="dxa"/>
            <w:vAlign w:val="bottom"/>
            <w:gridSpan w:val="8"/>
            <w:shd w:val="clear" w:color="auto" w:fill="0000EE"/>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800" w:type="dxa"/>
            <w:vAlign w:val="bottom"/>
            <w:gridSpan w:val="25"/>
          </w:tcPr>
          <w:p>
            <w:pPr>
              <w:spacing w:after="0" w:line="183" w:lineRule="exact"/>
              <w:rPr>
                <w:rFonts w:ascii="Times New Roman" w:cs="Times New Roman" w:eastAsia="Times New Roman" w:hAnsi="Times New Roman"/>
                <w:sz w:val="17"/>
                <w:szCs w:val="17"/>
                <w:color w:val="0000EE"/>
              </w:rPr>
            </w:pPr>
            <w:hyperlink r:id="rId200">
              <w:r>
                <w:rPr>
                  <w:rFonts w:ascii="Times New Roman" w:cs="Times New Roman" w:eastAsia="Times New Roman" w:hAnsi="Times New Roman"/>
                  <w:sz w:val="17"/>
                  <w:szCs w:val="17"/>
                  <w:color w:val="0000EE"/>
                </w:rPr>
                <w:t>Form of New Adagio 2024 Equity Incentive Plan (incorporated by reference to Exhibit 10.5 to the Company’s</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10.5+</w:t>
            </w:r>
          </w:p>
        </w:tc>
        <w:tc>
          <w:tcPr>
            <w:tcW w:w="180" w:type="dxa"/>
            <w:vAlign w:val="bottom"/>
          </w:tcPr>
          <w:p>
            <w:pPr>
              <w:spacing w:after="0"/>
              <w:rPr>
                <w:sz w:val="15"/>
                <w:szCs w:val="15"/>
                <w:color w:val="auto"/>
              </w:rPr>
            </w:pPr>
          </w:p>
        </w:tc>
        <w:tc>
          <w:tcPr>
            <w:tcW w:w="7540" w:type="dxa"/>
            <w:vAlign w:val="bottom"/>
            <w:tcBorders>
              <w:top w:val="single" w:sz="8" w:color="0000EE"/>
            </w:tcBorders>
            <w:gridSpan w:val="17"/>
          </w:tcPr>
          <w:p>
            <w:pPr>
              <w:spacing w:after="0" w:line="183" w:lineRule="exact"/>
              <w:rPr>
                <w:rFonts w:ascii="Times New Roman" w:cs="Times New Roman" w:eastAsia="Times New Roman" w:hAnsi="Times New Roman"/>
                <w:sz w:val="17"/>
                <w:szCs w:val="17"/>
                <w:color w:val="0000EE"/>
              </w:rPr>
            </w:pPr>
            <w:hyperlink r:id="rId200">
              <w:r>
                <w:rPr>
                  <w:rFonts w:ascii="Times New Roman" w:cs="Times New Roman" w:eastAsia="Times New Roman" w:hAnsi="Times New Roman"/>
                  <w:sz w:val="17"/>
                  <w:szCs w:val="17"/>
                  <w:color w:val="0000EE"/>
                </w:rPr>
                <w:t>Current Report on Form 8-K filed with the SEC on August 6, 2024).</w:t>
              </w:r>
            </w:hyperlink>
          </w:p>
        </w:tc>
        <w:tc>
          <w:tcPr>
            <w:tcW w:w="2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80" w:type="dxa"/>
            <w:vAlign w:val="bottom"/>
            <w:gridSpan w:val="7"/>
            <w:shd w:val="clear" w:color="auto" w:fill="0000EE"/>
          </w:tcPr>
          <w:p>
            <w:pPr>
              <w:spacing w:after="0" w:line="20" w:lineRule="exact"/>
              <w:rPr>
                <w:sz w:val="1"/>
                <w:szCs w:val="1"/>
                <w:color w:val="auto"/>
              </w:rPr>
            </w:pPr>
          </w:p>
        </w:tc>
        <w:tc>
          <w:tcPr>
            <w:tcW w:w="310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800" w:type="dxa"/>
            <w:vAlign w:val="bottom"/>
            <w:gridSpan w:val="25"/>
          </w:tcPr>
          <w:p>
            <w:pPr>
              <w:spacing w:after="0" w:line="183" w:lineRule="exact"/>
              <w:rPr>
                <w:rFonts w:ascii="Times New Roman" w:cs="Times New Roman" w:eastAsia="Times New Roman" w:hAnsi="Times New Roman"/>
                <w:sz w:val="17"/>
                <w:szCs w:val="17"/>
                <w:color w:val="0000EE"/>
              </w:rPr>
            </w:pPr>
            <w:hyperlink r:id="rId201">
              <w:r>
                <w:rPr>
                  <w:rFonts w:ascii="Times New Roman" w:cs="Times New Roman" w:eastAsia="Times New Roman" w:hAnsi="Times New Roman"/>
                  <w:sz w:val="17"/>
                  <w:szCs w:val="17"/>
                  <w:color w:val="0000EE"/>
                </w:rPr>
                <w:t>Form of New Adagio 2024 Key Employee Equity Incentive Plan (incorporated by reference to Exhibit 10.6 to the</w:t>
              </w:r>
            </w:hyperlink>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780" w:type="dxa"/>
            <w:vAlign w:val="bottom"/>
            <w:tcBorders>
              <w:top w:val="single" w:sz="8" w:color="0000EE"/>
            </w:tcBorders>
            <w:gridSpan w:val="24"/>
          </w:tcPr>
          <w:p>
            <w:pPr>
              <w:spacing w:after="0" w:line="183" w:lineRule="exact"/>
              <w:rPr>
                <w:rFonts w:ascii="Times New Roman" w:cs="Times New Roman" w:eastAsia="Times New Roman" w:hAnsi="Times New Roman"/>
                <w:sz w:val="17"/>
                <w:szCs w:val="17"/>
                <w:color w:val="0000EE"/>
              </w:rPr>
            </w:pPr>
            <w:hyperlink r:id="rId201">
              <w:r>
                <w:rPr>
                  <w:rFonts w:ascii="Times New Roman" w:cs="Times New Roman" w:eastAsia="Times New Roman" w:hAnsi="Times New Roman"/>
                  <w:sz w:val="17"/>
                  <w:szCs w:val="17"/>
                  <w:color w:val="0000EE"/>
                </w:rPr>
                <w:t>Company’s Current Report on Form 8-K filed with the SEC on August 6, 2024).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6" w:name="page167"/>
    <w:bookmarkEnd w:id="1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10.6+</w:t>
            </w:r>
          </w:p>
        </w:tc>
        <w:tc>
          <w:tcPr>
            <w:tcW w:w="738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rPr>
            </w:pPr>
            <w:hyperlink r:id="rId203">
              <w:r>
                <w:rPr>
                  <w:rFonts w:ascii="Times New Roman" w:cs="Times New Roman" w:eastAsia="Times New Roman" w:hAnsi="Times New Roman"/>
                  <w:sz w:val="17"/>
                  <w:szCs w:val="17"/>
                  <w:color w:val="0000EE"/>
                </w:rPr>
                <w:t>Form of New Adagio 2024 Employee Stock Purchase Plan (incorporated by reference to Exhibit 10.7 to the</w:t>
              </w:r>
            </w:hyperlink>
          </w:p>
        </w:tc>
        <w:tc>
          <w:tcPr>
            <w:tcW w:w="4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10.7</w:t>
            </w:r>
          </w:p>
        </w:tc>
        <w:tc>
          <w:tcPr>
            <w:tcW w:w="7780" w:type="dxa"/>
            <w:vAlign w:val="bottom"/>
            <w:gridSpan w:val="25"/>
          </w:tcPr>
          <w:p>
            <w:pPr>
              <w:spacing w:after="0" w:line="183" w:lineRule="exact"/>
              <w:rPr>
                <w:rFonts w:ascii="Times New Roman" w:cs="Times New Roman" w:eastAsia="Times New Roman" w:hAnsi="Times New Roman"/>
                <w:sz w:val="17"/>
                <w:szCs w:val="17"/>
                <w:color w:val="0000EE"/>
              </w:rPr>
            </w:pPr>
            <w:hyperlink r:id="rId203">
              <w:r>
                <w:rPr>
                  <w:rFonts w:ascii="Times New Roman" w:cs="Times New Roman" w:eastAsia="Times New Roman" w:hAnsi="Times New Roman"/>
                  <w:sz w:val="17"/>
                  <w:szCs w:val="17"/>
                  <w:color w:val="0000EE"/>
                </w:rPr>
                <w:t>Company’s Current Report on Form 8-K filed with the SEC on August 6, 2024).</w:t>
              </w:r>
            </w:hyperlink>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7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7760" w:type="dxa"/>
            <w:vAlign w:val="bottom"/>
            <w:tcBorders>
              <w:bottom w:val="single" w:sz="8" w:color="0000EE"/>
            </w:tcBorders>
            <w:gridSpan w:val="24"/>
          </w:tcPr>
          <w:p>
            <w:pPr>
              <w:spacing w:after="0" w:line="183" w:lineRule="exact"/>
              <w:rPr>
                <w:rFonts w:ascii="Times New Roman" w:cs="Times New Roman" w:eastAsia="Times New Roman" w:hAnsi="Times New Roman"/>
                <w:sz w:val="17"/>
                <w:szCs w:val="17"/>
                <w:color w:val="0000EE"/>
              </w:rPr>
            </w:pPr>
            <w:hyperlink r:id="rId204">
              <w:r>
                <w:rPr>
                  <w:rFonts w:ascii="Times New Roman" w:cs="Times New Roman" w:eastAsia="Times New Roman" w:hAnsi="Times New Roman"/>
                  <w:sz w:val="17"/>
                  <w:szCs w:val="17"/>
                  <w:color w:val="0000EE"/>
                </w:rPr>
                <w:t>Form of New Adagio Indemnity Agreement (incorporated by reference to Exhibit 10.8 to the Company’s Current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10.8</w:t>
            </w:r>
          </w:p>
        </w:tc>
        <w:tc>
          <w:tcPr>
            <w:tcW w:w="4120" w:type="dxa"/>
            <w:vAlign w:val="bottom"/>
            <w:tcBorders>
              <w:bottom w:val="single" w:sz="8" w:color="0000EE"/>
            </w:tcBorders>
            <w:gridSpan w:val="6"/>
          </w:tcPr>
          <w:p>
            <w:pPr>
              <w:spacing w:after="0" w:line="183" w:lineRule="exact"/>
              <w:rPr>
                <w:rFonts w:ascii="Times New Roman" w:cs="Times New Roman" w:eastAsia="Times New Roman" w:hAnsi="Times New Roman"/>
                <w:sz w:val="17"/>
                <w:szCs w:val="17"/>
                <w:color w:val="0000EE"/>
              </w:rPr>
            </w:pPr>
            <w:hyperlink r:id="rId204">
              <w:r>
                <w:rPr>
                  <w:rFonts w:ascii="Times New Roman" w:cs="Times New Roman" w:eastAsia="Times New Roman" w:hAnsi="Times New Roman"/>
                  <w:sz w:val="17"/>
                  <w:szCs w:val="17"/>
                  <w:color w:val="0000EE"/>
                </w:rPr>
                <w:t>Report on Form 8-K filed with the SEC on August 6, 2024).</w:t>
              </w:r>
            </w:hyperlink>
          </w:p>
        </w:tc>
        <w:tc>
          <w:tcPr>
            <w:tcW w:w="3660" w:type="dxa"/>
            <w:vAlign w:val="bottom"/>
            <w:gridSpan w:val="1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7780" w:type="dxa"/>
            <w:vAlign w:val="bottom"/>
            <w:gridSpan w:val="25"/>
          </w:tcPr>
          <w:p>
            <w:pPr>
              <w:spacing w:after="0" w:line="183" w:lineRule="exact"/>
              <w:rPr>
                <w:rFonts w:ascii="Times New Roman" w:cs="Times New Roman" w:eastAsia="Times New Roman" w:hAnsi="Times New Roman"/>
                <w:sz w:val="17"/>
                <w:szCs w:val="17"/>
                <w:color w:val="0000EE"/>
              </w:rPr>
            </w:pPr>
            <w:hyperlink r:id="rId205">
              <w:r>
                <w:rPr>
                  <w:rFonts w:ascii="Times New Roman" w:cs="Times New Roman" w:eastAsia="Times New Roman" w:hAnsi="Times New Roman"/>
                  <w:sz w:val="17"/>
                  <w:szCs w:val="17"/>
                  <w:color w:val="0000EE"/>
                </w:rPr>
                <w:t>Convert Guaranty, dated as of July 31, 2024, by and among Adagio and the other parties thereto (incorporated by</w:t>
              </w:r>
            </w:hyperlink>
          </w:p>
        </w:tc>
        <w:tc>
          <w:tcPr>
            <w:tcW w:w="0" w:type="dxa"/>
            <w:vAlign w:val="bottom"/>
          </w:tcPr>
          <w:p>
            <w:pPr>
              <w:spacing w:after="0"/>
              <w:rPr>
                <w:sz w:val="1"/>
                <w:szCs w:val="1"/>
                <w:color w:val="auto"/>
              </w:rPr>
            </w:pPr>
          </w:p>
        </w:tc>
      </w:tr>
      <w:tr>
        <w:trPr>
          <w:trHeight w:val="183"/>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10.9</w:t>
            </w:r>
          </w:p>
        </w:tc>
        <w:tc>
          <w:tcPr>
            <w:tcW w:w="7680" w:type="dxa"/>
            <w:vAlign w:val="bottom"/>
            <w:tcBorders>
              <w:top w:val="single" w:sz="8" w:color="0000EE"/>
              <w:bottom w:val="single" w:sz="8" w:color="0000EE"/>
            </w:tcBorders>
            <w:gridSpan w:val="21"/>
          </w:tcPr>
          <w:p>
            <w:pPr>
              <w:spacing w:after="0" w:line="183" w:lineRule="exact"/>
              <w:rPr>
                <w:rFonts w:ascii="Times New Roman" w:cs="Times New Roman" w:eastAsia="Times New Roman" w:hAnsi="Times New Roman"/>
                <w:sz w:val="17"/>
                <w:szCs w:val="17"/>
                <w:color w:val="0000EE"/>
              </w:rPr>
            </w:pPr>
            <w:hyperlink r:id="rId205">
              <w:r>
                <w:rPr>
                  <w:rFonts w:ascii="Times New Roman" w:cs="Times New Roman" w:eastAsia="Times New Roman" w:hAnsi="Times New Roman"/>
                  <w:sz w:val="17"/>
                  <w:szCs w:val="17"/>
                  <w:color w:val="0000EE"/>
                </w:rPr>
                <w:t>reference to Exhibit 10.9 to the Company’s Current Report on Form 8-K filed with the SEC on August 6, 2024).</w:t>
              </w:r>
            </w:hyperlink>
          </w:p>
        </w:tc>
        <w:tc>
          <w:tcPr>
            <w:tcW w:w="60" w:type="dxa"/>
            <w:vAlign w:val="bottom"/>
            <w:tcBorders>
              <w:top w:val="single" w:sz="8" w:color="0000EE"/>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7780" w:type="dxa"/>
            <w:vAlign w:val="bottom"/>
            <w:gridSpan w:val="25"/>
          </w:tcPr>
          <w:p>
            <w:pPr>
              <w:spacing w:after="0" w:line="183" w:lineRule="exact"/>
              <w:rPr>
                <w:rFonts w:ascii="Times New Roman" w:cs="Times New Roman" w:eastAsia="Times New Roman" w:hAnsi="Times New Roman"/>
                <w:sz w:val="17"/>
                <w:szCs w:val="17"/>
                <w:color w:val="0000EE"/>
              </w:rPr>
            </w:pPr>
            <w:hyperlink r:id="rId206">
              <w:r>
                <w:rPr>
                  <w:rFonts w:ascii="Times New Roman" w:cs="Times New Roman" w:eastAsia="Times New Roman" w:hAnsi="Times New Roman"/>
                  <w:sz w:val="17"/>
                  <w:szCs w:val="17"/>
                  <w:color w:val="0000EE"/>
                </w:rPr>
                <w:t>Convert Security Document, dated as of July 31, 2024, by and among New Adagio, Adagio and the other parties</w:t>
              </w:r>
            </w:hyperlink>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7700" w:type="dxa"/>
            <w:vAlign w:val="bottom"/>
            <w:tcBorders>
              <w:top w:val="single" w:sz="8" w:color="0000EE"/>
              <w:bottom w:val="single" w:sz="8" w:color="0000EE"/>
            </w:tcBorders>
            <w:gridSpan w:val="22"/>
          </w:tcPr>
          <w:p>
            <w:pPr>
              <w:spacing w:after="0" w:line="183" w:lineRule="exact"/>
              <w:rPr>
                <w:rFonts w:ascii="Times New Roman" w:cs="Times New Roman" w:eastAsia="Times New Roman" w:hAnsi="Times New Roman"/>
                <w:sz w:val="17"/>
                <w:szCs w:val="17"/>
                <w:color w:val="0000EE"/>
              </w:rPr>
            </w:pPr>
            <w:hyperlink r:id="rId206">
              <w:r>
                <w:rPr>
                  <w:rFonts w:ascii="Times New Roman" w:cs="Times New Roman" w:eastAsia="Times New Roman" w:hAnsi="Times New Roman"/>
                  <w:sz w:val="17"/>
                  <w:szCs w:val="17"/>
                  <w:color w:val="0000EE"/>
                </w:rPr>
                <w:t>thereto (incorporated by reference to Exhibit 10.10 to the Company’s Current Report on Form 8-K filed with the</w:t>
              </w:r>
            </w:hyperlink>
          </w:p>
        </w:tc>
        <w:tc>
          <w:tcPr>
            <w:tcW w:w="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10.10</w:t>
            </w:r>
          </w:p>
        </w:tc>
        <w:tc>
          <w:tcPr>
            <w:tcW w:w="7780" w:type="dxa"/>
            <w:vAlign w:val="bottom"/>
            <w:gridSpan w:val="25"/>
          </w:tcPr>
          <w:p>
            <w:pPr>
              <w:spacing w:after="0" w:line="183" w:lineRule="exact"/>
              <w:rPr>
                <w:rFonts w:ascii="Times New Roman" w:cs="Times New Roman" w:eastAsia="Times New Roman" w:hAnsi="Times New Roman"/>
                <w:sz w:val="17"/>
                <w:szCs w:val="17"/>
                <w:color w:val="0000EE"/>
              </w:rPr>
            </w:pPr>
            <w:hyperlink r:id="rId206">
              <w:r>
                <w:rPr>
                  <w:rFonts w:ascii="Times New Roman" w:cs="Times New Roman" w:eastAsia="Times New Roman" w:hAnsi="Times New Roman"/>
                  <w:sz w:val="17"/>
                  <w:szCs w:val="17"/>
                  <w:color w:val="0000EE"/>
                </w:rPr>
                <w:t>SEC on August 6, 2024).</w:t>
              </w:r>
            </w:hyperlink>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7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7620" w:type="dxa"/>
            <w:vAlign w:val="bottom"/>
            <w:tcBorders>
              <w:bottom w:val="single" w:sz="8" w:color="0000EE"/>
            </w:tcBorders>
            <w:gridSpan w:val="19"/>
          </w:tcPr>
          <w:p>
            <w:pPr>
              <w:spacing w:after="0" w:line="183" w:lineRule="exact"/>
              <w:rPr>
                <w:rFonts w:ascii="Times New Roman" w:cs="Times New Roman" w:eastAsia="Times New Roman" w:hAnsi="Times New Roman"/>
                <w:sz w:val="17"/>
                <w:szCs w:val="17"/>
                <w:color w:val="0000EE"/>
              </w:rPr>
            </w:pPr>
            <w:hyperlink r:id="rId207">
              <w:r>
                <w:rPr>
                  <w:rFonts w:ascii="Times New Roman" w:cs="Times New Roman" w:eastAsia="Times New Roman" w:hAnsi="Times New Roman"/>
                  <w:sz w:val="17"/>
                  <w:szCs w:val="17"/>
                  <w:color w:val="0000EE"/>
                </w:rPr>
                <w:t>Registration Rights Agreement dated as of July 31, 2024, by and among New Adagio, Perceptive Life Sciences</w:t>
              </w:r>
            </w:hyperlink>
          </w:p>
        </w:tc>
        <w:tc>
          <w:tcPr>
            <w:tcW w:w="1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7440" w:type="dxa"/>
            <w:vAlign w:val="bottom"/>
            <w:tcBorders>
              <w:bottom w:val="single" w:sz="8" w:color="0000EE"/>
            </w:tcBorders>
            <w:gridSpan w:val="16"/>
          </w:tcPr>
          <w:p>
            <w:pPr>
              <w:spacing w:after="0" w:line="183" w:lineRule="exact"/>
              <w:rPr>
                <w:rFonts w:ascii="Times New Roman" w:cs="Times New Roman" w:eastAsia="Times New Roman" w:hAnsi="Times New Roman"/>
                <w:sz w:val="17"/>
                <w:szCs w:val="17"/>
                <w:color w:val="0000EE"/>
              </w:rPr>
            </w:pPr>
            <w:hyperlink r:id="rId207">
              <w:r>
                <w:rPr>
                  <w:rFonts w:ascii="Times New Roman" w:cs="Times New Roman" w:eastAsia="Times New Roman" w:hAnsi="Times New Roman"/>
                  <w:sz w:val="17"/>
                  <w:szCs w:val="17"/>
                  <w:color w:val="0000EE"/>
                </w:rPr>
                <w:t>Master Fund, Ltd. and the other parties thereto (incorporated by reference to Exhibit 10.11 to the Company’s</w:t>
              </w:r>
            </w:hyperlink>
          </w:p>
        </w:tc>
        <w:tc>
          <w:tcPr>
            <w:tcW w:w="34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10.11</w:t>
            </w:r>
          </w:p>
        </w:tc>
        <w:tc>
          <w:tcPr>
            <w:tcW w:w="7780" w:type="dxa"/>
            <w:vAlign w:val="bottom"/>
            <w:gridSpan w:val="25"/>
          </w:tcPr>
          <w:p>
            <w:pPr>
              <w:spacing w:after="0" w:line="183" w:lineRule="exact"/>
              <w:rPr>
                <w:rFonts w:ascii="Times New Roman" w:cs="Times New Roman" w:eastAsia="Times New Roman" w:hAnsi="Times New Roman"/>
                <w:sz w:val="17"/>
                <w:szCs w:val="17"/>
                <w:color w:val="0000EE"/>
              </w:rPr>
            </w:pPr>
            <w:hyperlink r:id="rId207">
              <w:r>
                <w:rPr>
                  <w:rFonts w:ascii="Times New Roman" w:cs="Times New Roman" w:eastAsia="Times New Roman" w:hAnsi="Times New Roman"/>
                  <w:sz w:val="17"/>
                  <w:szCs w:val="17"/>
                  <w:color w:val="0000EE"/>
                </w:rPr>
                <w:t>Current Report on Form 8-K filed with the SEC on August 6, 2024).</w:t>
              </w:r>
            </w:hyperlink>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7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7520" w:type="dxa"/>
            <w:vAlign w:val="bottom"/>
            <w:tcBorders>
              <w:bottom w:val="single" w:sz="8" w:color="0000EE"/>
            </w:tcBorders>
            <w:gridSpan w:val="17"/>
          </w:tcPr>
          <w:p>
            <w:pPr>
              <w:spacing w:after="0" w:line="183" w:lineRule="exact"/>
              <w:rPr>
                <w:rFonts w:ascii="Times New Roman" w:cs="Times New Roman" w:eastAsia="Times New Roman" w:hAnsi="Times New Roman"/>
                <w:sz w:val="17"/>
                <w:szCs w:val="17"/>
                <w:color w:val="0000EE"/>
              </w:rPr>
            </w:pPr>
            <w:hyperlink r:id="rId208">
              <w:r>
                <w:rPr>
                  <w:rFonts w:ascii="Times New Roman" w:cs="Times New Roman" w:eastAsia="Times New Roman" w:hAnsi="Times New Roman"/>
                  <w:sz w:val="17"/>
                  <w:szCs w:val="17"/>
                  <w:color w:val="0000EE"/>
                </w:rPr>
                <w:t>Form of Registration Rights Agreement, dated October 14, 2025, by and among the Company and each of the</w:t>
              </w:r>
            </w:hyperlink>
          </w:p>
        </w:tc>
        <w:tc>
          <w:tcPr>
            <w:tcW w:w="26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7700" w:type="dxa"/>
            <w:vAlign w:val="bottom"/>
            <w:tcBorders>
              <w:bottom w:val="single" w:sz="8" w:color="0000EE"/>
            </w:tcBorders>
            <w:gridSpan w:val="22"/>
          </w:tcPr>
          <w:p>
            <w:pPr>
              <w:spacing w:after="0" w:line="183" w:lineRule="exact"/>
              <w:rPr>
                <w:rFonts w:ascii="Times New Roman" w:cs="Times New Roman" w:eastAsia="Times New Roman" w:hAnsi="Times New Roman"/>
                <w:sz w:val="17"/>
                <w:szCs w:val="17"/>
                <w:color w:val="0000EE"/>
              </w:rPr>
            </w:pPr>
            <w:hyperlink r:id="rId208">
              <w:r>
                <w:rPr>
                  <w:rFonts w:ascii="Times New Roman" w:cs="Times New Roman" w:eastAsia="Times New Roman" w:hAnsi="Times New Roman"/>
                  <w:sz w:val="17"/>
                  <w:szCs w:val="17"/>
                  <w:color w:val="0000EE"/>
                </w:rPr>
                <w:t>several purchasers signatory thereto (incorporated by reference to Exhibit 10.2 to the Company’s Current Report</w:t>
              </w:r>
            </w:hyperlink>
          </w:p>
        </w:tc>
        <w:tc>
          <w:tcPr>
            <w:tcW w:w="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10.12+</w:t>
            </w:r>
          </w:p>
        </w:tc>
        <w:tc>
          <w:tcPr>
            <w:tcW w:w="3760" w:type="dxa"/>
            <w:vAlign w:val="bottom"/>
            <w:tcBorders>
              <w:bottom w:val="single" w:sz="8" w:color="0000EE"/>
            </w:tcBorders>
            <w:gridSpan w:val="5"/>
          </w:tcPr>
          <w:p>
            <w:pPr>
              <w:spacing w:after="0" w:line="183" w:lineRule="exact"/>
              <w:rPr>
                <w:rFonts w:ascii="Times New Roman" w:cs="Times New Roman" w:eastAsia="Times New Roman" w:hAnsi="Times New Roman"/>
                <w:sz w:val="17"/>
                <w:szCs w:val="17"/>
                <w:color w:val="0000EE"/>
              </w:rPr>
            </w:pPr>
            <w:hyperlink r:id="rId208">
              <w:r>
                <w:rPr>
                  <w:rFonts w:ascii="Times New Roman" w:cs="Times New Roman" w:eastAsia="Times New Roman" w:hAnsi="Times New Roman"/>
                  <w:sz w:val="17"/>
                  <w:szCs w:val="17"/>
                  <w:color w:val="0000EE"/>
                </w:rPr>
                <w:t>on Form 8-K filed with the SEC on October 15, 2025).</w:t>
              </w:r>
            </w:hyperlink>
          </w:p>
        </w:tc>
        <w:tc>
          <w:tcPr>
            <w:tcW w:w="402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7780" w:type="dxa"/>
            <w:vAlign w:val="bottom"/>
            <w:gridSpan w:val="25"/>
          </w:tcPr>
          <w:p>
            <w:pPr>
              <w:spacing w:after="0" w:line="183" w:lineRule="exact"/>
              <w:rPr>
                <w:rFonts w:ascii="Times New Roman" w:cs="Times New Roman" w:eastAsia="Times New Roman" w:hAnsi="Times New Roman"/>
                <w:sz w:val="17"/>
                <w:szCs w:val="17"/>
                <w:color w:val="0000EE"/>
              </w:rPr>
            </w:pPr>
            <w:hyperlink r:id="rId209">
              <w:r>
                <w:rPr>
                  <w:rFonts w:ascii="Times New Roman" w:cs="Times New Roman" w:eastAsia="Times New Roman" w:hAnsi="Times New Roman"/>
                  <w:sz w:val="17"/>
                  <w:szCs w:val="17"/>
                  <w:color w:val="0000EE"/>
                </w:rPr>
                <w:t>Offer Letter, dated December 12, 2024, by and between the Company and Todd Usen (incorporated by reference</w:t>
              </w:r>
            </w:hyperlink>
          </w:p>
        </w:tc>
        <w:tc>
          <w:tcPr>
            <w:tcW w:w="0" w:type="dxa"/>
            <w:vAlign w:val="bottom"/>
          </w:tcPr>
          <w:p>
            <w:pPr>
              <w:spacing w:after="0"/>
              <w:rPr>
                <w:sz w:val="1"/>
                <w:szCs w:val="1"/>
                <w:color w:val="auto"/>
              </w:rPr>
            </w:pPr>
          </w:p>
        </w:tc>
      </w:tr>
      <w:tr>
        <w:trPr>
          <w:trHeight w:val="183"/>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10.13+</w:t>
            </w:r>
          </w:p>
        </w:tc>
        <w:tc>
          <w:tcPr>
            <w:tcW w:w="7700" w:type="dxa"/>
            <w:vAlign w:val="bottom"/>
            <w:tcBorders>
              <w:top w:val="single" w:sz="8" w:color="0000EE"/>
            </w:tcBorders>
            <w:gridSpan w:val="22"/>
          </w:tcPr>
          <w:p>
            <w:pPr>
              <w:spacing w:after="0" w:line="183" w:lineRule="exact"/>
              <w:rPr>
                <w:rFonts w:ascii="Times New Roman" w:cs="Times New Roman" w:eastAsia="Times New Roman" w:hAnsi="Times New Roman"/>
                <w:sz w:val="17"/>
                <w:szCs w:val="17"/>
                <w:color w:val="0000EE"/>
              </w:rPr>
            </w:pPr>
            <w:hyperlink r:id="rId209">
              <w:r>
                <w:rPr>
                  <w:rFonts w:ascii="Times New Roman" w:cs="Times New Roman" w:eastAsia="Times New Roman" w:hAnsi="Times New Roman"/>
                  <w:sz w:val="17"/>
                  <w:szCs w:val="17"/>
                  <w:color w:val="0000EE"/>
                </w:rPr>
                <w:t>to Exhibit 10.2 to the Company’s Current Report on Form 8-K filed with the SEC on December 11, 2024).</w:t>
              </w:r>
            </w:hyperlink>
          </w:p>
        </w:tc>
        <w:tc>
          <w:tcPr>
            <w:tcW w:w="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7280" w:type="dxa"/>
            <w:vAlign w:val="bottom"/>
            <w:tcBorders>
              <w:top w:val="single" w:sz="8" w:color="0000EE"/>
            </w:tcBorders>
            <w:gridSpan w:val="14"/>
          </w:tcPr>
          <w:p>
            <w:pPr>
              <w:spacing w:after="0" w:line="183" w:lineRule="exact"/>
              <w:rPr>
                <w:rFonts w:ascii="Times New Roman" w:cs="Times New Roman" w:eastAsia="Times New Roman" w:hAnsi="Times New Roman"/>
                <w:sz w:val="17"/>
                <w:szCs w:val="17"/>
                <w:color w:val="0000EE"/>
              </w:rPr>
            </w:pPr>
            <w:hyperlink r:id="rId210">
              <w:r>
                <w:rPr>
                  <w:rFonts w:ascii="Times New Roman" w:cs="Times New Roman" w:eastAsia="Times New Roman" w:hAnsi="Times New Roman"/>
                  <w:sz w:val="17"/>
                  <w:szCs w:val="17"/>
                  <w:color w:val="0000EE"/>
                </w:rPr>
                <w:t>Amended and Restated Offer Letter, dated September 3, 2025, between the Company and Deborah Kaster</w:t>
              </w:r>
            </w:hyperlink>
          </w:p>
        </w:tc>
        <w:tc>
          <w:tcPr>
            <w:tcW w:w="50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7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20" w:type="dxa"/>
            <w:vAlign w:val="bottom"/>
            <w:gridSpan w:val="4"/>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tcPr>
          <w:p>
            <w:pPr>
              <w:spacing w:after="0"/>
              <w:rPr>
                <w:sz w:val="15"/>
                <w:szCs w:val="15"/>
                <w:color w:val="auto"/>
              </w:rPr>
            </w:pPr>
          </w:p>
        </w:tc>
        <w:tc>
          <w:tcPr>
            <w:tcW w:w="7780" w:type="dxa"/>
            <w:vAlign w:val="bottom"/>
            <w:gridSpan w:val="25"/>
          </w:tcPr>
          <w:p>
            <w:pPr>
              <w:spacing w:after="0" w:line="183" w:lineRule="exact"/>
              <w:rPr>
                <w:rFonts w:ascii="Times New Roman" w:cs="Times New Roman" w:eastAsia="Times New Roman" w:hAnsi="Times New Roman"/>
                <w:sz w:val="17"/>
                <w:szCs w:val="17"/>
                <w:color w:val="0000EE"/>
              </w:rPr>
            </w:pPr>
            <w:hyperlink r:id="rId210">
              <w:r>
                <w:rPr>
                  <w:rFonts w:ascii="Times New Roman" w:cs="Times New Roman" w:eastAsia="Times New Roman" w:hAnsi="Times New Roman"/>
                  <w:sz w:val="17"/>
                  <w:szCs w:val="17"/>
                  <w:color w:val="0000EE"/>
                </w:rPr>
                <w:t>(incorporated by reference to Exhibit 10.1 to the Company’s Quarterly Report on Form 10-Q filed with the SEC</w:t>
              </w:r>
            </w:hyperlink>
          </w:p>
        </w:tc>
        <w:tc>
          <w:tcPr>
            <w:tcW w:w="0" w:type="dxa"/>
            <w:vAlign w:val="bottom"/>
          </w:tcPr>
          <w:p>
            <w:pPr>
              <w:spacing w:after="0"/>
              <w:rPr>
                <w:sz w:val="1"/>
                <w:szCs w:val="1"/>
                <w:color w:val="auto"/>
              </w:rPr>
            </w:pPr>
          </w:p>
        </w:tc>
      </w:tr>
      <w:tr>
        <w:trPr>
          <w:trHeight w:val="183"/>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10.14</w:t>
            </w:r>
          </w:p>
        </w:tc>
        <w:tc>
          <w:tcPr>
            <w:tcW w:w="1720" w:type="dxa"/>
            <w:vAlign w:val="bottom"/>
            <w:tcBorders>
              <w:top w:val="single" w:sz="8" w:color="0000EE"/>
              <w:bottom w:val="single" w:sz="8" w:color="0000EE"/>
            </w:tcBorders>
          </w:tcPr>
          <w:p>
            <w:pPr>
              <w:spacing w:after="0" w:line="183" w:lineRule="exact"/>
              <w:rPr>
                <w:rFonts w:ascii="Times New Roman" w:cs="Times New Roman" w:eastAsia="Times New Roman" w:hAnsi="Times New Roman"/>
                <w:sz w:val="17"/>
                <w:szCs w:val="17"/>
                <w:color w:val="0000EE"/>
              </w:rPr>
            </w:pPr>
            <w:hyperlink r:id="rId210">
              <w:r>
                <w:rPr>
                  <w:rFonts w:ascii="Times New Roman" w:cs="Times New Roman" w:eastAsia="Times New Roman" w:hAnsi="Times New Roman"/>
                  <w:sz w:val="17"/>
                  <w:szCs w:val="17"/>
                  <w:color w:val="0000EE"/>
                </w:rPr>
                <w:t>on November 12, 2025).</w:t>
              </w:r>
            </w:hyperlink>
          </w:p>
        </w:tc>
        <w:tc>
          <w:tcPr>
            <w:tcW w:w="5940" w:type="dxa"/>
            <w:vAlign w:val="bottom"/>
            <w:tcBorders>
              <w:top w:val="single" w:sz="8" w:color="0000EE"/>
            </w:tcBorders>
            <w:gridSpan w:val="19"/>
          </w:tcPr>
          <w:p>
            <w:pPr>
              <w:spacing w:after="0"/>
              <w:rPr>
                <w:sz w:val="15"/>
                <w:szCs w:val="15"/>
                <w:color w:val="auto"/>
              </w:rPr>
            </w:pPr>
          </w:p>
        </w:tc>
        <w:tc>
          <w:tcPr>
            <w:tcW w:w="1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7760" w:type="dxa"/>
            <w:vAlign w:val="bottom"/>
            <w:tcBorders>
              <w:bottom w:val="single" w:sz="8" w:color="0000EE"/>
            </w:tcBorders>
            <w:gridSpan w:val="24"/>
          </w:tcPr>
          <w:p>
            <w:pPr>
              <w:spacing w:after="0" w:line="183" w:lineRule="exact"/>
              <w:rPr>
                <w:rFonts w:ascii="Times New Roman" w:cs="Times New Roman" w:eastAsia="Times New Roman" w:hAnsi="Times New Roman"/>
                <w:sz w:val="17"/>
                <w:szCs w:val="17"/>
                <w:color w:val="0000EE"/>
              </w:rPr>
            </w:pPr>
            <w:hyperlink r:id="rId211">
              <w:r>
                <w:rPr>
                  <w:rFonts w:ascii="Times New Roman" w:cs="Times New Roman" w:eastAsia="Times New Roman" w:hAnsi="Times New Roman"/>
                  <w:sz w:val="17"/>
                  <w:szCs w:val="17"/>
                  <w:color w:val="0000EE"/>
                </w:rPr>
                <w:t>Tenth Amendment to the Facilities and Services Agreement, dated August 1, 2024, between Fjord Ventures, LLC</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7780" w:type="dxa"/>
            <w:vAlign w:val="bottom"/>
            <w:gridSpan w:val="25"/>
          </w:tcPr>
          <w:p>
            <w:pPr>
              <w:spacing w:after="0" w:line="183" w:lineRule="exact"/>
              <w:rPr>
                <w:rFonts w:ascii="Times New Roman" w:cs="Times New Roman" w:eastAsia="Times New Roman" w:hAnsi="Times New Roman"/>
                <w:sz w:val="17"/>
                <w:szCs w:val="17"/>
                <w:color w:val="0000EE"/>
              </w:rPr>
            </w:pPr>
            <w:hyperlink r:id="rId211">
              <w:r>
                <w:rPr>
                  <w:rFonts w:ascii="Times New Roman" w:cs="Times New Roman" w:eastAsia="Times New Roman" w:hAnsi="Times New Roman"/>
                  <w:sz w:val="17"/>
                  <w:szCs w:val="17"/>
                  <w:color w:val="0000EE"/>
                </w:rPr>
                <w:t>and Legacy Adagio (incorporated by reference to Exhibit 10.24 to the Company’s Annual Report on Form 10-K</w:t>
              </w:r>
            </w:hyperlink>
          </w:p>
        </w:tc>
        <w:tc>
          <w:tcPr>
            <w:tcW w:w="0" w:type="dxa"/>
            <w:vAlign w:val="bottom"/>
          </w:tcPr>
          <w:p>
            <w:pPr>
              <w:spacing w:after="0"/>
              <w:rPr>
                <w:sz w:val="1"/>
                <w:szCs w:val="1"/>
                <w:color w:val="auto"/>
              </w:rPr>
            </w:pPr>
          </w:p>
        </w:tc>
      </w:tr>
      <w:tr>
        <w:trPr>
          <w:trHeight w:val="183"/>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19.1</w:t>
            </w:r>
          </w:p>
        </w:tc>
        <w:tc>
          <w:tcPr>
            <w:tcW w:w="2720" w:type="dxa"/>
            <w:vAlign w:val="bottom"/>
            <w:tcBorders>
              <w:top w:val="single" w:sz="8" w:color="0000EE"/>
              <w:bottom w:val="single" w:sz="8" w:color="0000EE"/>
            </w:tcBorders>
            <w:gridSpan w:val="2"/>
          </w:tcPr>
          <w:p>
            <w:pPr>
              <w:spacing w:after="0" w:line="183" w:lineRule="exact"/>
              <w:rPr>
                <w:rFonts w:ascii="Times New Roman" w:cs="Times New Roman" w:eastAsia="Times New Roman" w:hAnsi="Times New Roman"/>
                <w:sz w:val="17"/>
                <w:szCs w:val="17"/>
                <w:color w:val="0000EE"/>
              </w:rPr>
            </w:pPr>
            <w:hyperlink r:id="rId211">
              <w:r>
                <w:rPr>
                  <w:rFonts w:ascii="Times New Roman" w:cs="Times New Roman" w:eastAsia="Times New Roman" w:hAnsi="Times New Roman"/>
                  <w:sz w:val="17"/>
                  <w:szCs w:val="17"/>
                  <w:color w:val="0000EE"/>
                </w:rPr>
                <w:t>filed with the SEC on March 27, 2025).</w:t>
              </w:r>
            </w:hyperlink>
          </w:p>
        </w:tc>
        <w:tc>
          <w:tcPr>
            <w:tcW w:w="4940" w:type="dxa"/>
            <w:vAlign w:val="bottom"/>
            <w:tcBorders>
              <w:top w:val="single" w:sz="8" w:color="0000EE"/>
            </w:tcBorders>
            <w:gridSpan w:val="18"/>
          </w:tcPr>
          <w:p>
            <w:pPr>
              <w:spacing w:after="0"/>
              <w:rPr>
                <w:sz w:val="15"/>
                <w:szCs w:val="15"/>
                <w:color w:val="auto"/>
              </w:rPr>
            </w:pPr>
          </w:p>
        </w:tc>
        <w:tc>
          <w:tcPr>
            <w:tcW w:w="1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7780" w:type="dxa"/>
            <w:vAlign w:val="bottom"/>
            <w:tcBorders>
              <w:bottom w:val="single" w:sz="8" w:color="0000EE"/>
            </w:tcBorders>
            <w:gridSpan w:val="25"/>
          </w:tcPr>
          <w:p>
            <w:pPr>
              <w:spacing w:after="0" w:line="183" w:lineRule="exact"/>
              <w:rPr>
                <w:rFonts w:ascii="Times New Roman" w:cs="Times New Roman" w:eastAsia="Times New Roman" w:hAnsi="Times New Roman"/>
                <w:sz w:val="17"/>
                <w:szCs w:val="17"/>
                <w:color w:val="0000EE"/>
              </w:rPr>
            </w:pPr>
            <w:hyperlink r:id="rId212">
              <w:r>
                <w:rPr>
                  <w:rFonts w:ascii="Times New Roman" w:cs="Times New Roman" w:eastAsia="Times New Roman" w:hAnsi="Times New Roman"/>
                  <w:sz w:val="17"/>
                  <w:szCs w:val="17"/>
                  <w:color w:val="0000EE"/>
                </w:rPr>
                <w:t>Insider Trading Policy (incorporated by reference to Exhibit 19.1 to the Company’s Annual Report on Form 10-K</w:t>
              </w:r>
            </w:hyperlink>
          </w:p>
        </w:tc>
        <w:tc>
          <w:tcPr>
            <w:tcW w:w="0" w:type="dxa"/>
            <w:vAlign w:val="bottom"/>
          </w:tcPr>
          <w:p>
            <w:pPr>
              <w:spacing w:after="0"/>
              <w:rPr>
                <w:sz w:val="1"/>
                <w:szCs w:val="1"/>
                <w:color w:val="auto"/>
              </w:rPr>
            </w:pPr>
          </w:p>
        </w:tc>
      </w:tr>
      <w:tr>
        <w:trPr>
          <w:trHeight w:val="183"/>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24.1*</w:t>
            </w:r>
          </w:p>
        </w:tc>
        <w:tc>
          <w:tcPr>
            <w:tcW w:w="2720" w:type="dxa"/>
            <w:vAlign w:val="bottom"/>
            <w:tcBorders>
              <w:bottom w:val="single" w:sz="8" w:color="0000EE"/>
            </w:tcBorders>
            <w:gridSpan w:val="2"/>
          </w:tcPr>
          <w:p>
            <w:pPr>
              <w:spacing w:after="0" w:line="183" w:lineRule="exact"/>
              <w:rPr>
                <w:rFonts w:ascii="Times New Roman" w:cs="Times New Roman" w:eastAsia="Times New Roman" w:hAnsi="Times New Roman"/>
                <w:sz w:val="17"/>
                <w:szCs w:val="17"/>
                <w:color w:val="0000EE"/>
              </w:rPr>
            </w:pPr>
            <w:hyperlink r:id="rId212">
              <w:r>
                <w:rPr>
                  <w:rFonts w:ascii="Times New Roman" w:cs="Times New Roman" w:eastAsia="Times New Roman" w:hAnsi="Times New Roman"/>
                  <w:sz w:val="17"/>
                  <w:szCs w:val="17"/>
                  <w:color w:val="0000EE"/>
                </w:rPr>
                <w:t>filed with the SEC on March 27, 2025).</w:t>
              </w:r>
            </w:hyperlink>
          </w:p>
        </w:tc>
        <w:tc>
          <w:tcPr>
            <w:tcW w:w="506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7780" w:type="dxa"/>
            <w:vAlign w:val="bottom"/>
            <w:gridSpan w:val="25"/>
          </w:tcPr>
          <w:p>
            <w:pPr>
              <w:spacing w:after="0" w:line="183" w:lineRule="exact"/>
              <w:rPr>
                <w:sz w:val="20"/>
                <w:szCs w:val="20"/>
                <w:color w:val="auto"/>
              </w:rPr>
            </w:pPr>
            <w:r>
              <w:rPr>
                <w:rFonts w:ascii="Times New Roman" w:cs="Times New Roman" w:eastAsia="Times New Roman" w:hAnsi="Times New Roman"/>
                <w:sz w:val="17"/>
                <w:szCs w:val="17"/>
                <w:color w:val="0000EE"/>
              </w:rPr>
              <w:t>Power of Attorney (included on signature page)</w:t>
            </w:r>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31.1*</w:t>
            </w:r>
          </w:p>
        </w:tc>
        <w:tc>
          <w:tcPr>
            <w:tcW w:w="274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6940" w:type="dxa"/>
            <w:vAlign w:val="bottom"/>
            <w:tcBorders>
              <w:bottom w:val="single" w:sz="8" w:color="0000EE"/>
            </w:tcBorders>
            <w:gridSpan w:val="12"/>
          </w:tcPr>
          <w:p>
            <w:pPr>
              <w:spacing w:after="0" w:line="183" w:lineRule="exact"/>
              <w:rPr>
                <w:sz w:val="20"/>
                <w:szCs w:val="20"/>
                <w:color w:val="auto"/>
              </w:rPr>
            </w:pPr>
            <w:r>
              <w:rPr>
                <w:rFonts w:ascii="Times New Roman" w:cs="Times New Roman" w:eastAsia="Times New Roman" w:hAnsi="Times New Roman"/>
                <w:sz w:val="17"/>
                <w:szCs w:val="17"/>
                <w:color w:val="0000EE"/>
              </w:rPr>
              <w:t>Certification of Principal Executive Officer Pursuant to Securities Exchange Act Rules 13a-14(a) and</w:t>
            </w:r>
          </w:p>
        </w:tc>
        <w:tc>
          <w:tcPr>
            <w:tcW w:w="84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31.2*</w:t>
            </w:r>
          </w:p>
        </w:tc>
        <w:tc>
          <w:tcPr>
            <w:tcW w:w="7780" w:type="dxa"/>
            <w:vAlign w:val="bottom"/>
            <w:gridSpan w:val="25"/>
          </w:tcPr>
          <w:p>
            <w:pPr>
              <w:spacing w:after="0" w:line="183" w:lineRule="exact"/>
              <w:rPr>
                <w:sz w:val="20"/>
                <w:szCs w:val="20"/>
                <w:color w:val="auto"/>
              </w:rPr>
            </w:pPr>
            <w:r>
              <w:rPr>
                <w:rFonts w:ascii="Times New Roman" w:cs="Times New Roman" w:eastAsia="Times New Roman" w:hAnsi="Times New Roman"/>
                <w:sz w:val="17"/>
                <w:szCs w:val="17"/>
                <w:color w:val="0000EE"/>
              </w:rPr>
              <w:t>15(d)-14(a), as adopted Pursuant to Section 302 of the Sarbanes-Oxley Act of 2002.</w:t>
            </w: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7780" w:type="dxa"/>
            <w:vAlign w:val="bottom"/>
            <w:gridSpan w:val="25"/>
          </w:tcPr>
          <w:p>
            <w:pPr>
              <w:spacing w:after="0" w:line="183" w:lineRule="exact"/>
              <w:rPr>
                <w:sz w:val="20"/>
                <w:szCs w:val="20"/>
                <w:color w:val="auto"/>
              </w:rPr>
            </w:pPr>
            <w:r>
              <w:rPr>
                <w:rFonts w:ascii="Times New Roman" w:cs="Times New Roman" w:eastAsia="Times New Roman" w:hAnsi="Times New Roman"/>
                <w:sz w:val="17"/>
                <w:szCs w:val="17"/>
                <w:color w:val="0000EE"/>
              </w:rPr>
              <w:t>Certification of Principal Financial Officer Pursuant to Securities Exchange Act Rules 13a-14(a) and 15(d)-14(a),</w:t>
            </w:r>
          </w:p>
        </w:tc>
        <w:tc>
          <w:tcPr>
            <w:tcW w:w="0" w:type="dxa"/>
            <w:vAlign w:val="bottom"/>
          </w:tcPr>
          <w:p>
            <w:pPr>
              <w:spacing w:after="0"/>
              <w:rPr>
                <w:sz w:val="1"/>
                <w:szCs w:val="1"/>
                <w:color w:val="auto"/>
              </w:rPr>
            </w:pPr>
          </w:p>
        </w:tc>
      </w:tr>
      <w:tr>
        <w:trPr>
          <w:trHeight w:val="183"/>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32.1**</w:t>
            </w:r>
          </w:p>
        </w:tc>
        <w:tc>
          <w:tcPr>
            <w:tcW w:w="4880" w:type="dxa"/>
            <w:vAlign w:val="bottom"/>
            <w:tcBorders>
              <w:top w:val="single" w:sz="8" w:color="0000EE"/>
              <w:bottom w:val="single" w:sz="8" w:color="0000EE"/>
            </w:tcBorders>
            <w:gridSpan w:val="8"/>
          </w:tcPr>
          <w:p>
            <w:pPr>
              <w:spacing w:after="0" w:line="183" w:lineRule="exact"/>
              <w:rPr>
                <w:sz w:val="20"/>
                <w:szCs w:val="20"/>
                <w:color w:val="auto"/>
              </w:rPr>
            </w:pPr>
            <w:r>
              <w:rPr>
                <w:rFonts w:ascii="Times New Roman" w:cs="Times New Roman" w:eastAsia="Times New Roman" w:hAnsi="Times New Roman"/>
                <w:sz w:val="17"/>
                <w:szCs w:val="17"/>
                <w:color w:val="0000EE"/>
              </w:rPr>
              <w:t>as adopted Pursuant to Section 302 of the Sarbanes-Oxley Act of 2002.</w:t>
            </w:r>
          </w:p>
        </w:tc>
        <w:tc>
          <w:tcPr>
            <w:tcW w:w="2880" w:type="dxa"/>
            <w:vAlign w:val="bottom"/>
            <w:tcBorders>
              <w:top w:val="single" w:sz="8" w:color="0000EE"/>
            </w:tcBorders>
            <w:gridSpan w:val="16"/>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7780" w:type="dxa"/>
            <w:vAlign w:val="bottom"/>
            <w:gridSpan w:val="25"/>
          </w:tcPr>
          <w:p>
            <w:pPr>
              <w:spacing w:after="0" w:line="183" w:lineRule="exact"/>
              <w:rPr>
                <w:sz w:val="20"/>
                <w:szCs w:val="20"/>
                <w:color w:val="auto"/>
              </w:rPr>
            </w:pPr>
            <w:r>
              <w:rPr>
                <w:rFonts w:ascii="Times New Roman" w:cs="Times New Roman" w:eastAsia="Times New Roman" w:hAnsi="Times New Roman"/>
                <w:sz w:val="17"/>
                <w:szCs w:val="17"/>
                <w:color w:val="0000EE"/>
              </w:rPr>
              <w:t>Certification of Principal Executive Officer Pursuant to 18 U.S.C. Section 1350, as adopted Pursuant to Section</w:t>
            </w:r>
          </w:p>
        </w:tc>
        <w:tc>
          <w:tcPr>
            <w:tcW w:w="0" w:type="dxa"/>
            <w:vAlign w:val="bottom"/>
          </w:tcPr>
          <w:p>
            <w:pPr>
              <w:spacing w:after="0"/>
              <w:rPr>
                <w:sz w:val="1"/>
                <w:szCs w:val="1"/>
                <w:color w:val="auto"/>
              </w:rPr>
            </w:pPr>
          </w:p>
        </w:tc>
      </w:tr>
      <w:tr>
        <w:trPr>
          <w:trHeight w:val="183"/>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32.2**</w:t>
            </w:r>
          </w:p>
        </w:tc>
        <w:tc>
          <w:tcPr>
            <w:tcW w:w="2740" w:type="dxa"/>
            <w:vAlign w:val="bottom"/>
            <w:tcBorders>
              <w:top w:val="single" w:sz="8" w:color="0000EE"/>
              <w:bottom w:val="single" w:sz="8" w:color="0000EE"/>
            </w:tcBorders>
            <w:gridSpan w:val="3"/>
          </w:tcPr>
          <w:p>
            <w:pPr>
              <w:spacing w:after="0" w:line="183" w:lineRule="exact"/>
              <w:rPr>
                <w:sz w:val="20"/>
                <w:szCs w:val="20"/>
                <w:color w:val="auto"/>
              </w:rPr>
            </w:pPr>
            <w:r>
              <w:rPr>
                <w:rFonts w:ascii="Times New Roman" w:cs="Times New Roman" w:eastAsia="Times New Roman" w:hAnsi="Times New Roman"/>
                <w:sz w:val="17"/>
                <w:szCs w:val="17"/>
                <w:color w:val="0000EE"/>
              </w:rPr>
              <w:t>906 of the Sarbanes-Oxley Act of 2002.</w:t>
            </w:r>
          </w:p>
        </w:tc>
        <w:tc>
          <w:tcPr>
            <w:tcW w:w="4880" w:type="dxa"/>
            <w:vAlign w:val="bottom"/>
            <w:tcBorders>
              <w:top w:val="single" w:sz="8" w:color="0000EE"/>
            </w:tcBorders>
            <w:gridSpan w:val="16"/>
          </w:tcPr>
          <w:p>
            <w:pPr>
              <w:spacing w:after="0"/>
              <w:rPr>
                <w:sz w:val="15"/>
                <w:szCs w:val="15"/>
                <w:color w:val="auto"/>
              </w:rPr>
            </w:pPr>
          </w:p>
        </w:tc>
        <w:tc>
          <w:tcPr>
            <w:tcW w:w="16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7580" w:type="dxa"/>
            <w:vAlign w:val="bottom"/>
            <w:tcBorders>
              <w:bottom w:val="single" w:sz="8" w:color="0000EE"/>
            </w:tcBorders>
            <w:gridSpan w:val="18"/>
          </w:tcPr>
          <w:p>
            <w:pPr>
              <w:spacing w:after="0" w:line="183" w:lineRule="exact"/>
              <w:rPr>
                <w:sz w:val="20"/>
                <w:szCs w:val="20"/>
                <w:color w:val="auto"/>
              </w:rPr>
            </w:pPr>
            <w:r>
              <w:rPr>
                <w:rFonts w:ascii="Times New Roman" w:cs="Times New Roman" w:eastAsia="Times New Roman" w:hAnsi="Times New Roman"/>
                <w:sz w:val="17"/>
                <w:szCs w:val="17"/>
                <w:color w:val="0000EE"/>
              </w:rPr>
              <w:t>Certification of Principal Financial Officer Pursuant to 18 U.S.C. Section 1350, as adopted Pursuant to Section</w:t>
            </w:r>
          </w:p>
        </w:tc>
        <w:tc>
          <w:tcPr>
            <w:tcW w:w="20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97.1</w:t>
            </w:r>
          </w:p>
        </w:tc>
        <w:tc>
          <w:tcPr>
            <w:tcW w:w="2740" w:type="dxa"/>
            <w:vAlign w:val="bottom"/>
            <w:tcBorders>
              <w:bottom w:val="single" w:sz="8" w:color="0000EE"/>
            </w:tcBorders>
            <w:gridSpan w:val="3"/>
          </w:tcPr>
          <w:p>
            <w:pPr>
              <w:spacing w:after="0" w:line="183" w:lineRule="exact"/>
              <w:rPr>
                <w:sz w:val="20"/>
                <w:szCs w:val="20"/>
                <w:color w:val="auto"/>
              </w:rPr>
            </w:pPr>
            <w:r>
              <w:rPr>
                <w:rFonts w:ascii="Times New Roman" w:cs="Times New Roman" w:eastAsia="Times New Roman" w:hAnsi="Times New Roman"/>
                <w:sz w:val="17"/>
                <w:szCs w:val="17"/>
                <w:color w:val="0000EE"/>
              </w:rPr>
              <w:t>906 of the Sarbanes-Oxley Act of 2002.</w:t>
            </w:r>
          </w:p>
        </w:tc>
        <w:tc>
          <w:tcPr>
            <w:tcW w:w="5040" w:type="dxa"/>
            <w:vAlign w:val="bottom"/>
            <w:gridSpan w:val="2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vMerge w:val="continue"/>
          </w:tcPr>
          <w:p>
            <w:pPr>
              <w:spacing w:after="0"/>
              <w:rPr>
                <w:sz w:val="15"/>
                <w:szCs w:val="15"/>
                <w:color w:val="auto"/>
              </w:rPr>
            </w:pPr>
          </w:p>
        </w:tc>
        <w:tc>
          <w:tcPr>
            <w:tcW w:w="7780" w:type="dxa"/>
            <w:vAlign w:val="bottom"/>
            <w:tcBorders>
              <w:bottom w:val="single" w:sz="8" w:color="0000EE"/>
            </w:tcBorders>
            <w:gridSpan w:val="25"/>
          </w:tcPr>
          <w:p>
            <w:pPr>
              <w:spacing w:after="0" w:line="183" w:lineRule="exact"/>
              <w:rPr>
                <w:rFonts w:ascii="Times New Roman" w:cs="Times New Roman" w:eastAsia="Times New Roman" w:hAnsi="Times New Roman"/>
                <w:sz w:val="17"/>
                <w:szCs w:val="17"/>
                <w:color w:val="0000EE"/>
              </w:rPr>
            </w:pPr>
            <w:hyperlink r:id="rId213">
              <w:r>
                <w:rPr>
                  <w:rFonts w:ascii="Times New Roman" w:cs="Times New Roman" w:eastAsia="Times New Roman" w:hAnsi="Times New Roman"/>
                  <w:sz w:val="17"/>
                  <w:szCs w:val="17"/>
                  <w:color w:val="0000EE"/>
                </w:rPr>
                <w:t>Policy Relating to Recovery of Erroneously Awarded Compensation (incorporated by reference to Exhibit 97.1 to</w:t>
              </w:r>
            </w:hyperlink>
          </w:p>
        </w:tc>
        <w:tc>
          <w:tcPr>
            <w:tcW w:w="0" w:type="dxa"/>
            <w:vAlign w:val="bottom"/>
          </w:tcPr>
          <w:p>
            <w:pPr>
              <w:spacing w:after="0"/>
              <w:rPr>
                <w:sz w:val="1"/>
                <w:szCs w:val="1"/>
                <w:color w:val="auto"/>
              </w:rPr>
            </w:pPr>
          </w:p>
        </w:tc>
      </w:tr>
      <w:tr>
        <w:trPr>
          <w:trHeight w:val="183"/>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101.INS*</w:t>
            </w:r>
          </w:p>
        </w:tc>
        <w:tc>
          <w:tcPr>
            <w:tcW w:w="5860" w:type="dxa"/>
            <w:vAlign w:val="bottom"/>
            <w:tcBorders>
              <w:bottom w:val="single" w:sz="8" w:color="0000EE"/>
            </w:tcBorders>
            <w:gridSpan w:val="11"/>
          </w:tcPr>
          <w:p>
            <w:pPr>
              <w:spacing w:after="0" w:line="183" w:lineRule="exact"/>
              <w:rPr>
                <w:rFonts w:ascii="Times New Roman" w:cs="Times New Roman" w:eastAsia="Times New Roman" w:hAnsi="Times New Roman"/>
                <w:sz w:val="17"/>
                <w:szCs w:val="17"/>
                <w:color w:val="0000EE"/>
              </w:rPr>
            </w:pPr>
            <w:hyperlink r:id="rId213">
              <w:r>
                <w:rPr>
                  <w:rFonts w:ascii="Times New Roman" w:cs="Times New Roman" w:eastAsia="Times New Roman" w:hAnsi="Times New Roman"/>
                  <w:sz w:val="17"/>
                  <w:szCs w:val="17"/>
                  <w:color w:val="0000EE"/>
                </w:rPr>
                <w:t>the Company’s Annual Report on Form 10-K filed with the SEC on March 27, 2025).</w:t>
              </w:r>
            </w:hyperlink>
          </w:p>
        </w:tc>
        <w:tc>
          <w:tcPr>
            <w:tcW w:w="1920" w:type="dxa"/>
            <w:vAlign w:val="bottom"/>
            <w:gridSpan w:val="14"/>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080" w:type="dxa"/>
            <w:vAlign w:val="bottom"/>
            <w:vMerge w:val="continue"/>
          </w:tcPr>
          <w:p>
            <w:pPr>
              <w:spacing w:after="0"/>
              <w:rPr>
                <w:sz w:val="17"/>
                <w:szCs w:val="17"/>
                <w:color w:val="auto"/>
              </w:rPr>
            </w:pPr>
          </w:p>
        </w:tc>
        <w:tc>
          <w:tcPr>
            <w:tcW w:w="778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778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778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778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778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Inline XBRL Taxonomy Extension Labels Linkbase Document</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778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203"/>
        </w:trPr>
        <w:tc>
          <w:tcPr>
            <w:tcW w:w="108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778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Inline XBRL for the cover page of this Annual Report on Form 10-K, included in the Exhibit 101 Inline XBRL</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778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Document Set.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52705</wp:posOffset>
            </wp:positionV>
            <wp:extent cx="141414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12" w:lineRule="exact"/>
        <w:rPr>
          <w:sz w:val="20"/>
          <w:szCs w:val="20"/>
          <w:color w:val="auto"/>
        </w:rPr>
      </w:pPr>
    </w:p>
    <w:p>
      <w:pPr>
        <w:ind w:left="380" w:hanging="330"/>
        <w:spacing w:after="0"/>
        <w:tabs>
          <w:tab w:leader="none" w:pos="3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0"/>
        <w:spacing w:after="0"/>
        <w:tabs>
          <w:tab w:leader="none" w:pos="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9" w:lineRule="exact"/>
        <w:rPr>
          <w:sz w:val="20"/>
          <w:szCs w:val="20"/>
          <w:color w:val="auto"/>
        </w:rPr>
      </w:pPr>
    </w:p>
    <w:p>
      <w:pPr>
        <w:ind w:left="380" w:hanging="330"/>
        <w:spacing w:after="0"/>
        <w:tabs>
          <w:tab w:leader="none" w:pos="3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7" w:name="page168"/>
    <w:bookmarkEnd w:id="1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6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pacing w:after="0" w:line="378" w:lineRule="exact"/>
        <w:rPr>
          <w:sz w:val="20"/>
          <w:szCs w:val="20"/>
          <w:color w:val="auto"/>
        </w:rPr>
      </w:pPr>
    </w:p>
    <w:p>
      <w:pPr>
        <w:ind w:left="100"/>
        <w:spacing w:after="0"/>
        <w:tabs>
          <w:tab w:leader="none" w:pos="4720" w:val="left"/>
          <w:tab w:leader="none" w:pos="5260" w:val="left"/>
        </w:tabs>
        <w:rPr>
          <w:sz w:val="20"/>
          <w:szCs w:val="20"/>
          <w:color w:val="auto"/>
        </w:rPr>
      </w:pPr>
      <w:r>
        <w:rPr>
          <w:rFonts w:ascii="Times New Roman" w:cs="Times New Roman" w:eastAsia="Times New Roman" w:hAnsi="Times New Roman"/>
          <w:sz w:val="18"/>
          <w:szCs w:val="18"/>
          <w:color w:val="auto"/>
        </w:rPr>
        <w:t>Date: March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Todd Usen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60325</wp:posOffset>
            </wp:positionV>
            <wp:extent cx="23577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9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Todd Usen</w:t>
      </w:r>
    </w:p>
    <w:p>
      <w:pPr>
        <w:spacing w:after="0" w:line="6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06"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Todd Usen and Deborah Kaster, jointly and severally, as his or her true and lawful attorneys-in-fact and agents, with full power of substitution and resubstitution, for him or her and in his or her name, place and stead, in any and all capacities, to sign this Annual Report on Form 10-K of Adagio Medical Holdings, Inc.,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her or their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8" w:name="page169"/>
    <w:bookmarkEnd w:id="1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47625</wp:posOffset>
            </wp:positionV>
            <wp:extent cx="18427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36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7"/>
          <w:szCs w:val="17"/>
          <w:color w:val="auto"/>
        </w:rPr>
        <w:t>Todd Usen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50165</wp:posOffset>
            </wp:positionV>
            <wp:extent cx="18427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1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Todd Usen</w:t>
      </w:r>
    </w:p>
    <w:p>
      <w:pPr>
        <w:spacing w:after="0" w:line="36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7"/>
          <w:szCs w:val="17"/>
          <w:color w:val="auto"/>
        </w:rPr>
        <w:t>Deborah Kaster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50165</wp:posOffset>
            </wp:positionV>
            <wp:extent cx="18427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1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Deborah Kaster</w:t>
      </w: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7"/>
          <w:szCs w:val="17"/>
          <w:color w:val="auto"/>
        </w:rPr>
        <w:t>James L.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50165</wp:posOffset>
            </wp:positionV>
            <wp:extent cx="18427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1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James L. Cox</w:t>
      </w:r>
    </w:p>
    <w:p>
      <w:pPr>
        <w:spacing w:after="0" w:line="3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7"/>
          <w:szCs w:val="17"/>
          <w:color w:val="auto"/>
        </w:rPr>
        <w:t>Orly Mishan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50165</wp:posOffset>
            </wp:positionV>
            <wp:extent cx="18427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1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Orly Mishan</w:t>
      </w:r>
    </w:p>
    <w:p>
      <w:pPr>
        <w:spacing w:after="0" w:line="360" w:lineRule="exact"/>
        <w:rPr>
          <w:sz w:val="20"/>
          <w:szCs w:val="20"/>
          <w:color w:val="auto"/>
        </w:rPr>
      </w:pPr>
    </w:p>
    <w:p>
      <w:pPr>
        <w:ind w:left="100" w:right="180"/>
        <w:spacing w:after="0" w:line="478" w:lineRule="auto"/>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7"/>
          <w:szCs w:val="17"/>
          <w:color w:val="auto"/>
        </w:rPr>
        <w:t>Keyvan Mirsaeedi-Farahani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Keyvan Mirsaeedi-Farahani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-319405</wp:posOffset>
            </wp:positionV>
            <wp:extent cx="18427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1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7"/>
          <w:szCs w:val="17"/>
          <w:color w:val="auto"/>
        </w:rPr>
        <w:t>Timothy 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50165</wp:posOffset>
            </wp:positionV>
            <wp:extent cx="18427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1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Timothy Moran</w:t>
      </w:r>
    </w:p>
    <w:p>
      <w:pPr>
        <w:spacing w:after="0" w:line="3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 xml:space="preserve">/s/ </w:t>
      </w:r>
      <w:r>
        <w:rPr>
          <w:rFonts w:ascii="Times New Roman" w:cs="Times New Roman" w:eastAsia="Times New Roman" w:hAnsi="Times New Roman"/>
          <w:sz w:val="17"/>
          <w:szCs w:val="17"/>
          <w:color w:val="auto"/>
        </w:rPr>
        <w:t>Sandra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50165</wp:posOffset>
            </wp:positionV>
            <wp:extent cx="18427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13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Sandra Gardiner</w:t>
      </w:r>
    </w:p>
    <w:p>
      <w:pPr>
        <w:spacing w:after="0" w:line="200" w:lineRule="exact"/>
        <w:rPr>
          <w:sz w:val="20"/>
          <w:szCs w:val="20"/>
          <w:color w:val="auto"/>
        </w:rPr>
      </w:pPr>
    </w:p>
    <w:p>
      <w:pPr>
        <w:spacing w:after="0" w:line="2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Sean Salmon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43180</wp:posOffset>
            </wp:positionV>
            <wp:extent cx="18427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1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Sean Salmon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6"/>
          <w:szCs w:val="16"/>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47625</wp:posOffset>
            </wp:positionV>
            <wp:extent cx="24860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Chief Executive Officer and Director</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6" w:lineRule="exact"/>
        <w:rPr>
          <w:sz w:val="20"/>
          <w:szCs w:val="20"/>
          <w:color w:val="auto"/>
        </w:rPr>
      </w:pPr>
    </w:p>
    <w:p>
      <w:pPr>
        <w:ind w:left="60" w:right="600"/>
        <w:spacing w:after="0" w:line="288" w:lineRule="auto"/>
        <w:rPr>
          <w:sz w:val="20"/>
          <w:szCs w:val="20"/>
          <w:color w:val="auto"/>
        </w:rPr>
      </w:pPr>
      <w:r>
        <w:rPr>
          <w:rFonts w:ascii="Times New Roman" w:cs="Times New Roman" w:eastAsia="Times New Roman" w:hAnsi="Times New Roman"/>
          <w:sz w:val="16"/>
          <w:szCs w:val="16"/>
          <w:i w:val="1"/>
          <w:iCs w:val="1"/>
          <w:color w:val="auto"/>
        </w:rPr>
        <w:t>(Principal Financial Officer and Principal Accounting Officer)</w:t>
      </w:r>
    </w:p>
    <w:p>
      <w:pPr>
        <w:spacing w:after="0" w:line="3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47625</wp:posOffset>
            </wp:positionV>
            <wp:extent cx="10369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34290</wp:posOffset>
            </wp:positionV>
            <wp:extent cx="10369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34290</wp:posOffset>
            </wp:positionV>
            <wp:extent cx="10369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0">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34290</wp:posOffset>
            </wp:positionV>
            <wp:extent cx="103695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1">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34290</wp:posOffset>
            </wp:positionV>
            <wp:extent cx="10369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2">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34290</wp:posOffset>
            </wp:positionV>
            <wp:extent cx="10369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3">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34290</wp:posOffset>
            </wp:positionV>
            <wp:extent cx="10369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4">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34290</wp:posOffset>
            </wp:positionV>
            <wp:extent cx="10369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5">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17145</wp:posOffset>
            </wp:positionV>
            <wp:extent cx="10369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6">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510" w:lineRule="exact"/>
        <w:rPr>
          <w:sz w:val="20"/>
          <w:szCs w:val="20"/>
          <w:color w:val="auto"/>
        </w:rPr>
      </w:pPr>
    </w:p>
    <w:p>
      <w:pPr>
        <w:sectPr>
          <w:pgSz w:w="11900" w:h="16838" w:orient="portrait"/>
          <w:cols w:equalWidth="0" w:num="3">
            <w:col w:w="2500" w:space="720"/>
            <w:col w:w="3420" w:space="720"/>
            <w:col w:w="165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9" w:name="page170"/>
    <w:bookmarkEnd w:id="169"/>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PRINCIPAL EXECUTIVE OFFICER PURSUANT TO</w:t>
      </w:r>
    </w:p>
    <w:p>
      <w:pPr>
        <w:spacing w:after="0" w:line="26" w:lineRule="exact"/>
        <w:rPr>
          <w:sz w:val="20"/>
          <w:szCs w:val="20"/>
          <w:color w:val="auto"/>
        </w:rPr>
      </w:pPr>
    </w:p>
    <w:p>
      <w:pPr>
        <w:ind w:left="1000" w:right="1000" w:firstLine="70"/>
        <w:spacing w:after="0" w:line="271" w:lineRule="auto"/>
        <w:rPr>
          <w:sz w:val="20"/>
          <w:szCs w:val="20"/>
          <w:color w:val="auto"/>
        </w:rPr>
      </w:pPr>
      <w:r>
        <w:rPr>
          <w:rFonts w:ascii="Times New Roman" w:cs="Times New Roman" w:eastAsia="Times New Roman" w:hAnsi="Times New Roman"/>
          <w:sz w:val="19"/>
          <w:szCs w:val="19"/>
          <w:b w:val="1"/>
          <w:bCs w:val="1"/>
          <w:color w:val="auto"/>
        </w:rPr>
        <w:t>RULES 13a-14(a) AND 15d-14(a) UNDER THE SECURITIES EXCHANGE ACT OF 1934, AS ADOPTED PURSUANT TO SECTION 302 OF THE SARBANES-OXLEY ACT OF 2002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Todd Usen, certify that:</w:t>
      </w:r>
    </w:p>
    <w:p>
      <w:pPr>
        <w:spacing w:after="0" w:line="216" w:lineRule="exact"/>
        <w:rPr>
          <w:sz w:val="20"/>
          <w:szCs w:val="20"/>
          <w:color w:val="auto"/>
        </w:rPr>
      </w:pPr>
    </w:p>
    <w:p>
      <w:pPr>
        <w:ind w:left="660" w:right="160" w:hanging="652"/>
        <w:spacing w:after="0" w:line="269" w:lineRule="auto"/>
        <w:tabs>
          <w:tab w:leader="none" w:pos="66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for the fiscal year ended December 31, 2025 of Adagio Medical Holdings, Inc. (formerly known as “Aja Holdco, Inc.”);</w:t>
      </w:r>
    </w:p>
    <w:p>
      <w:pPr>
        <w:spacing w:after="0" w:line="159" w:lineRule="exact"/>
        <w:rPr>
          <w:rFonts w:ascii="Times New Roman" w:cs="Times New Roman" w:eastAsia="Times New Roman" w:hAnsi="Times New Roman"/>
          <w:sz w:val="20"/>
          <w:szCs w:val="20"/>
          <w:color w:val="auto"/>
        </w:rPr>
      </w:pPr>
    </w:p>
    <w:p>
      <w:pPr>
        <w:ind w:left="660" w:right="20" w:hanging="652"/>
        <w:spacing w:after="0" w:line="254" w:lineRule="auto"/>
        <w:tabs>
          <w:tab w:leader="none" w:pos="66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ind w:left="660" w:right="320" w:hanging="652"/>
        <w:spacing w:after="0" w:line="254" w:lineRule="auto"/>
        <w:tabs>
          <w:tab w:leader="none" w:pos="66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59" w:lineRule="exact"/>
        <w:rPr>
          <w:rFonts w:ascii="Times New Roman" w:cs="Times New Roman" w:eastAsia="Times New Roman" w:hAnsi="Times New Roman"/>
          <w:sz w:val="20"/>
          <w:szCs w:val="20"/>
          <w:color w:val="auto"/>
        </w:rPr>
      </w:pPr>
    </w:p>
    <w:p>
      <w:pPr>
        <w:ind w:left="1300" w:right="60" w:hanging="644"/>
        <w:spacing w:after="0" w:line="249" w:lineRule="auto"/>
        <w:tabs>
          <w:tab w:leader="none" w:pos="130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[Omitted pursuant to Exchange Act Rules 13a-14(a) and 15d-15(a)];</w:t>
      </w:r>
    </w:p>
    <w:p>
      <w:pPr>
        <w:spacing w:after="0" w:line="215" w:lineRule="exact"/>
        <w:rPr>
          <w:rFonts w:ascii="Times New Roman" w:cs="Times New Roman" w:eastAsia="Times New Roman" w:hAnsi="Times New Roman"/>
          <w:sz w:val="20"/>
          <w:szCs w:val="20"/>
          <w:color w:val="auto"/>
        </w:rPr>
      </w:pPr>
    </w:p>
    <w:p>
      <w:pPr>
        <w:jc w:val="both"/>
        <w:ind w:left="1300" w:right="20" w:hanging="644"/>
        <w:spacing w:after="0" w:line="254" w:lineRule="auto"/>
        <w:tabs>
          <w:tab w:leader="none" w:pos="130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ind w:left="1300" w:hanging="644"/>
        <w:spacing w:after="0" w:line="249" w:lineRule="auto"/>
        <w:tabs>
          <w:tab w:leader="none" w:pos="130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20"/>
          <w:szCs w:val="20"/>
          <w:color w:val="auto"/>
        </w:rPr>
      </w:pPr>
    </w:p>
    <w:p>
      <w:pPr>
        <w:jc w:val="both"/>
        <w:ind w:left="660" w:right="100" w:hanging="652"/>
        <w:spacing w:after="0" w:line="254" w:lineRule="auto"/>
        <w:tabs>
          <w:tab w:leader="none" w:pos="66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Times New Roman" w:cs="Times New Roman" w:eastAsia="Times New Roman" w:hAnsi="Times New Roman"/>
          <w:sz w:val="20"/>
          <w:szCs w:val="20"/>
          <w:color w:val="auto"/>
        </w:rPr>
      </w:pPr>
    </w:p>
    <w:p>
      <w:pPr>
        <w:ind w:left="1300" w:right="140" w:hanging="644"/>
        <w:spacing w:after="0" w:line="254" w:lineRule="auto"/>
        <w:tabs>
          <w:tab w:leader="none" w:pos="130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1300" w:right="280" w:hanging="644"/>
        <w:spacing w:after="0" w:line="269" w:lineRule="auto"/>
        <w:tabs>
          <w:tab w:leader="none" w:pos="1300"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26, 2026</w:t>
            </w:r>
          </w:p>
        </w:tc>
        <w:tc>
          <w:tcPr>
            <w:tcW w:w="67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By:/s/ Todd Usen</w:t>
            </w:r>
          </w:p>
        </w:tc>
      </w:tr>
      <w:tr>
        <w:trPr>
          <w:trHeight w:val="191"/>
        </w:trPr>
        <w:tc>
          <w:tcPr>
            <w:tcW w:w="3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Todd Usen</w:t>
            </w:r>
          </w:p>
        </w:tc>
      </w:tr>
      <w:tr>
        <w:trPr>
          <w:trHeight w:val="234"/>
        </w:trPr>
        <w:tc>
          <w:tcPr>
            <w:tcW w:w="3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992"/>
        </w:trPr>
        <w:tc>
          <w:tcPr>
            <w:tcW w:w="3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PRINCIPAL FINANCIAL OFFICER PURSUANT TO</w:t>
      </w:r>
    </w:p>
    <w:p>
      <w:pPr>
        <w:spacing w:after="0" w:line="26" w:lineRule="exact"/>
        <w:rPr>
          <w:sz w:val="20"/>
          <w:szCs w:val="20"/>
          <w:color w:val="auto"/>
        </w:rPr>
      </w:pPr>
    </w:p>
    <w:p>
      <w:pPr>
        <w:ind w:left="1000" w:right="1000" w:firstLine="70"/>
        <w:spacing w:after="0" w:line="271" w:lineRule="auto"/>
        <w:rPr>
          <w:sz w:val="20"/>
          <w:szCs w:val="20"/>
          <w:color w:val="auto"/>
        </w:rPr>
      </w:pPr>
      <w:r>
        <w:rPr>
          <w:rFonts w:ascii="Times New Roman" w:cs="Times New Roman" w:eastAsia="Times New Roman" w:hAnsi="Times New Roman"/>
          <w:sz w:val="19"/>
          <w:szCs w:val="19"/>
          <w:b w:val="1"/>
          <w:bCs w:val="1"/>
          <w:color w:val="auto"/>
        </w:rPr>
        <w:t>RULES 13a-14(a) AND 15d-14(a) UNDER THE SECURITIES EXCHANGE ACT OF 1934, AS ADOPTED PURSUANT TO SECTION 302 OF THE SARBANES-OXLEY ACT OF 2002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Deborah Kaster, certify that:</w:t>
      </w:r>
    </w:p>
    <w:p>
      <w:pPr>
        <w:spacing w:after="0" w:line="216" w:lineRule="exact"/>
        <w:rPr>
          <w:sz w:val="20"/>
          <w:szCs w:val="20"/>
          <w:color w:val="auto"/>
        </w:rPr>
      </w:pPr>
    </w:p>
    <w:p>
      <w:pPr>
        <w:ind w:left="660" w:right="60" w:hanging="652"/>
        <w:spacing w:after="0" w:line="269" w:lineRule="auto"/>
        <w:tabs>
          <w:tab w:leader="none" w:pos="6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10-K for the annual year ended December 31, 2025 of Adagio Medical Holdings, Inc. (formerly known as “Aja Holdco, Inc.”);</w:t>
      </w:r>
    </w:p>
    <w:p>
      <w:pPr>
        <w:spacing w:after="0" w:line="159" w:lineRule="exact"/>
        <w:rPr>
          <w:rFonts w:ascii="Times New Roman" w:cs="Times New Roman" w:eastAsia="Times New Roman" w:hAnsi="Times New Roman"/>
          <w:sz w:val="20"/>
          <w:szCs w:val="20"/>
          <w:color w:val="auto"/>
        </w:rPr>
      </w:pPr>
    </w:p>
    <w:p>
      <w:pPr>
        <w:ind w:left="660" w:right="20" w:hanging="652"/>
        <w:spacing w:after="0" w:line="254" w:lineRule="auto"/>
        <w:tabs>
          <w:tab w:leader="none" w:pos="6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ind w:left="660" w:right="320" w:hanging="652"/>
        <w:spacing w:after="0" w:line="254" w:lineRule="auto"/>
        <w:tabs>
          <w:tab w:leader="none" w:pos="6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20"/>
          <w:szCs w:val="20"/>
          <w:color w:val="auto"/>
        </w:rPr>
      </w:pPr>
    </w:p>
    <w:p>
      <w:pPr>
        <w:ind w:left="660" w:hanging="652"/>
        <w:spacing w:after="0" w:line="269" w:lineRule="auto"/>
        <w:tabs>
          <w:tab w:leader="none" w:pos="6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59" w:lineRule="exact"/>
        <w:rPr>
          <w:rFonts w:ascii="Times New Roman" w:cs="Times New Roman" w:eastAsia="Times New Roman" w:hAnsi="Times New Roman"/>
          <w:sz w:val="20"/>
          <w:szCs w:val="20"/>
          <w:color w:val="auto"/>
        </w:rPr>
      </w:pPr>
    </w:p>
    <w:p>
      <w:pPr>
        <w:ind w:left="1300" w:right="60" w:hanging="644"/>
        <w:spacing w:after="0" w:line="249" w:lineRule="auto"/>
        <w:tabs>
          <w:tab w:leader="none" w:pos="130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[Omitted pursuant to Exchange Act Rules 13a-14(a) and 15d-15(a)];</w:t>
      </w:r>
    </w:p>
    <w:p>
      <w:pPr>
        <w:spacing w:after="0" w:line="215" w:lineRule="exact"/>
        <w:rPr>
          <w:rFonts w:ascii="Times New Roman" w:cs="Times New Roman" w:eastAsia="Times New Roman" w:hAnsi="Times New Roman"/>
          <w:sz w:val="20"/>
          <w:szCs w:val="20"/>
          <w:color w:val="auto"/>
        </w:rPr>
      </w:pPr>
    </w:p>
    <w:p>
      <w:pPr>
        <w:jc w:val="both"/>
        <w:ind w:left="1300" w:right="20" w:hanging="644"/>
        <w:spacing w:after="0" w:line="254" w:lineRule="auto"/>
        <w:tabs>
          <w:tab w:leader="none" w:pos="130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ind w:left="1300" w:hanging="644"/>
        <w:spacing w:after="0" w:line="249" w:lineRule="auto"/>
        <w:tabs>
          <w:tab w:leader="none" w:pos="130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20"/>
          <w:szCs w:val="20"/>
          <w:color w:val="auto"/>
        </w:rPr>
      </w:pPr>
    </w:p>
    <w:p>
      <w:pPr>
        <w:jc w:val="both"/>
        <w:ind w:left="660" w:right="100" w:hanging="652"/>
        <w:spacing w:after="0" w:line="254" w:lineRule="auto"/>
        <w:tabs>
          <w:tab w:leader="none" w:pos="66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Times New Roman" w:cs="Times New Roman" w:eastAsia="Times New Roman" w:hAnsi="Times New Roman"/>
          <w:sz w:val="20"/>
          <w:szCs w:val="20"/>
          <w:color w:val="auto"/>
        </w:rPr>
      </w:pPr>
    </w:p>
    <w:p>
      <w:pPr>
        <w:ind w:left="1300" w:right="140" w:hanging="644"/>
        <w:spacing w:after="0" w:line="254" w:lineRule="auto"/>
        <w:tabs>
          <w:tab w:leader="none" w:pos="130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1300" w:right="280" w:hanging="644"/>
        <w:spacing w:after="0" w:line="269" w:lineRule="auto"/>
        <w:tabs>
          <w:tab w:leader="none" w:pos="130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26, 2026</w:t>
            </w:r>
          </w:p>
        </w:tc>
        <w:tc>
          <w:tcPr>
            <w:tcW w:w="67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By:/s/ Deborah Kaster</w:t>
            </w:r>
          </w:p>
        </w:tc>
      </w:tr>
      <w:tr>
        <w:trPr>
          <w:trHeight w:val="191"/>
        </w:trPr>
        <w:tc>
          <w:tcPr>
            <w:tcW w:w="3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Deborah Kaster</w:t>
            </w:r>
          </w:p>
        </w:tc>
      </w:tr>
      <w:tr>
        <w:trPr>
          <w:trHeight w:val="216"/>
        </w:trPr>
        <w:tc>
          <w:tcPr>
            <w:tcW w:w="3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776"/>
        </w:trPr>
        <w:tc>
          <w:tcPr>
            <w:tcW w:w="3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15"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20"/>
          <w:szCs w:val="20"/>
          <w:b w:val="1"/>
          <w:bCs w:val="1"/>
          <w:color w:val="auto"/>
        </w:rPr>
        <w:t>CERTIFICATION OF PRINCIPAL EXECUTIVE OFFICER PURSUANT TO 18 U.S.C. SECTION 1350, AS ADOPTED PURSUANT TO SECTION 906 OF THE SARBANES-OXLEY ACT OF 2002</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on Form 10-K of Adagio Medical Holdings, Inc. (formerly known as “Aja Holdco, Inc.”) (the “Company”) for the fiscal year ended December 31, 2025 as filed with the Securities and Exchange Commission on the date hereof (the “Annual Report”), I, Todd Usen, Chief Executive Officer of the Company, hereby certify, pursuant to 18 U.S.C. § 1350, as adopted pursuant to § 906 of the Sarbanes-Oxley Act of 2002, that to my knowledge:</w:t>
      </w:r>
    </w:p>
    <w:p>
      <w:pPr>
        <w:spacing w:after="0" w:line="180" w:lineRule="exact"/>
        <w:rPr>
          <w:sz w:val="20"/>
          <w:szCs w:val="20"/>
          <w:color w:val="auto"/>
        </w:rPr>
      </w:pPr>
    </w:p>
    <w:p>
      <w:pPr>
        <w:ind w:left="660" w:right="40" w:hanging="652"/>
        <w:spacing w:after="0" w:line="269" w:lineRule="auto"/>
        <w:tabs>
          <w:tab w:leader="none" w:pos="6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Report fully complies with the requirements of Section 13(a) or 15(d) of the Securities Exchange Act of 1934, as amended; and</w:t>
      </w:r>
    </w:p>
    <w:p>
      <w:pPr>
        <w:spacing w:after="0" w:line="159" w:lineRule="exact"/>
        <w:rPr>
          <w:rFonts w:ascii="Times New Roman" w:cs="Times New Roman" w:eastAsia="Times New Roman" w:hAnsi="Times New Roman"/>
          <w:sz w:val="20"/>
          <w:szCs w:val="20"/>
          <w:color w:val="auto"/>
        </w:rPr>
      </w:pPr>
    </w:p>
    <w:p>
      <w:pPr>
        <w:ind w:left="660" w:right="160" w:hanging="652"/>
        <w:spacing w:after="0" w:line="269" w:lineRule="auto"/>
        <w:tabs>
          <w:tab w:leader="none" w:pos="66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Annual Report fairly presents, in all material respects, the financial condition and results of operations of the Company.</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26, 2026</w:t>
            </w:r>
          </w:p>
        </w:tc>
        <w:tc>
          <w:tcPr>
            <w:tcW w:w="67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By:/s/ Todd Usen</w:t>
            </w:r>
          </w:p>
        </w:tc>
      </w:tr>
      <w:tr>
        <w:trPr>
          <w:trHeight w:val="191"/>
        </w:trPr>
        <w:tc>
          <w:tcPr>
            <w:tcW w:w="3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820" w:type="dxa"/>
            <w:vAlign w:val="bottom"/>
            <w:tcBorders>
              <w:top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Todd Usen</w:t>
            </w:r>
          </w:p>
        </w:tc>
      </w:tr>
      <w:tr>
        <w:trPr>
          <w:trHeight w:val="234"/>
        </w:trPr>
        <w:tc>
          <w:tcPr>
            <w:tcW w:w="3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993"/>
        </w:trPr>
        <w:tc>
          <w:tcPr>
            <w:tcW w:w="3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PRINCIPAL FINANCIAL OFFICER PURSUANT TO</w:t>
      </w:r>
    </w:p>
    <w:p>
      <w:pPr>
        <w:spacing w:after="0" w:line="26" w:lineRule="exact"/>
        <w:rPr>
          <w:sz w:val="20"/>
          <w:szCs w:val="20"/>
          <w:color w:val="auto"/>
        </w:rPr>
      </w:pPr>
    </w:p>
    <w:p>
      <w:pPr>
        <w:ind w:left="2400" w:right="2380" w:firstLine="68"/>
        <w:spacing w:after="0" w:line="271" w:lineRule="auto"/>
        <w:rPr>
          <w:sz w:val="20"/>
          <w:szCs w:val="20"/>
          <w:color w:val="auto"/>
        </w:rPr>
      </w:pPr>
      <w:r>
        <w:rPr>
          <w:rFonts w:ascii="Times New Roman" w:cs="Times New Roman" w:eastAsia="Times New Roman" w:hAnsi="Times New Roman"/>
          <w:sz w:val="19"/>
          <w:szCs w:val="19"/>
          <w:b w:val="1"/>
          <w:bCs w:val="1"/>
          <w:color w:val="auto"/>
        </w:rPr>
        <w:t>18 U.S.C. SECTION 1350, AS ADOPTED PURSUANT TO SECTION 906 OF THE SARBANES-OXLEY ACT OF 2002</w:t>
      </w:r>
    </w:p>
    <w:p>
      <w:pPr>
        <w:spacing w:after="0" w:line="16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connection with the Annual Report on Form 10-K of Adagio Medical Holdings, Inc. (formerly known as “Aja Holdco, Inc.”) (the “Company”) for the fiscal year ended December 31, 2025 as filed with the Securities and Exchange Commission on the date hereof (the “Annual Report”), I, Deborah Kaster, Chief Financial Officer (Principal Financial Officer) of the Company, hereby certify, pursuant to 18 U.S.C. § 1350, as adopted pursuant to § 906 of the Sarbanes-Oxley Act of 2002, that to my knowledge:</w:t>
      </w:r>
    </w:p>
    <w:p>
      <w:pPr>
        <w:spacing w:after="0" w:line="185" w:lineRule="exact"/>
        <w:rPr>
          <w:sz w:val="20"/>
          <w:szCs w:val="20"/>
          <w:color w:val="auto"/>
        </w:rPr>
      </w:pPr>
    </w:p>
    <w:p>
      <w:pPr>
        <w:ind w:left="660" w:right="40" w:hanging="652"/>
        <w:spacing w:after="0" w:line="269" w:lineRule="auto"/>
        <w:tabs>
          <w:tab w:leader="none" w:pos="6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Report fully complies with the requirements of Section 13(a) or 15(d) of the Securities Exchange Act of 1934, as amended; and</w:t>
      </w:r>
    </w:p>
    <w:p>
      <w:pPr>
        <w:spacing w:after="0" w:line="159" w:lineRule="exact"/>
        <w:rPr>
          <w:rFonts w:ascii="Times New Roman" w:cs="Times New Roman" w:eastAsia="Times New Roman" w:hAnsi="Times New Roman"/>
          <w:sz w:val="20"/>
          <w:szCs w:val="20"/>
          <w:color w:val="auto"/>
        </w:rPr>
      </w:pPr>
    </w:p>
    <w:p>
      <w:pPr>
        <w:ind w:left="660" w:right="160" w:hanging="652"/>
        <w:spacing w:after="0" w:line="269" w:lineRule="auto"/>
        <w:tabs>
          <w:tab w:leader="none" w:pos="6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Annual Report fairly presents, in all material respects, the financial condition and results of operations of the Company.</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26, 2026</w:t>
            </w:r>
          </w:p>
        </w:tc>
        <w:tc>
          <w:tcPr>
            <w:tcW w:w="672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By:/s/ Deborah Kaster</w:t>
            </w:r>
          </w:p>
        </w:tc>
      </w:tr>
      <w:tr>
        <w:trPr>
          <w:trHeight w:val="191"/>
        </w:trPr>
        <w:tc>
          <w:tcPr>
            <w:tcW w:w="32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8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Deborah Kaster</w:t>
            </w:r>
          </w:p>
        </w:tc>
      </w:tr>
      <w:tr>
        <w:trPr>
          <w:trHeight w:val="216"/>
        </w:trPr>
        <w:tc>
          <w:tcPr>
            <w:tcW w:w="3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2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76"/>
        </w:trPr>
        <w:tc>
          <w:tcPr>
            <w:tcW w:w="32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4"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lvl w:ilvl="1">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lvl w:ilvl="1">
      <w:lvlJc w:val="left"/>
      <w:lvlText w:val="●"/>
      <w:numFmt w:val="bullet"/>
      <w:start w:val="1"/>
    </w:lvl>
  </w:abstractNum>
  <w:abstractNum w:abstractNumId="29">
    <w:nsid w:val="10233C99"/>
    <w:multiLevelType w:val="hybridMultilevel"/>
    <w:lvl w:ilvl="0">
      <w:lvlJc w:val="left"/>
      <w:lvlText w:val="​​"/>
      <w:numFmt w:val="bullet"/>
      <w:start w:val="1"/>
    </w:lvl>
    <w:lvl w:ilvl="1">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
      <w:numFmt w:val="bullet"/>
      <w:start w:val="1"/>
    </w:lvl>
  </w:abstractNum>
  <w:abstractNum w:abstractNumId="53">
    <w:nsid w:val="1EBA5D23"/>
    <w:multiLevelType w:val="hybridMultilevel"/>
    <w:lvl w:ilvl="0">
      <w:lvlJc w:val="left"/>
      <w:lvlText w:val="●"/>
      <w:numFmt w:val="bullet"/>
      <w:start w:val="1"/>
    </w:lvl>
  </w:abstractNum>
  <w:abstractNum w:abstractNumId="54">
    <w:nsid w:val="661E3F1E"/>
    <w:multiLevelType w:val="hybridMultilevel"/>
    <w:lvl w:ilvl="0">
      <w:lvlJc w:val="left"/>
      <w:lvlText w:val="●"/>
      <w:numFmt w:val="bullet"/>
      <w:start w:val="1"/>
    </w:lvl>
  </w:abstractNum>
  <w:abstractNum w:abstractNumId="55">
    <w:nsid w:val="5DC79EA8"/>
    <w:multiLevelType w:val="hybridMultilevel"/>
    <w:lvl w:ilvl="0">
      <w:lvlJc w:val="left"/>
      <w:lvlText w:val="●"/>
      <w:numFmt w:val="bullet"/>
      <w:start w:val="1"/>
    </w:lvl>
  </w:abstractNum>
  <w:abstractNum w:abstractNumId="56">
    <w:nsid w:val="540A471C"/>
    <w:multiLevelType w:val="hybridMultilevel"/>
    <w:lvl w:ilvl="0">
      <w:lvlJc w:val="left"/>
      <w:lvlText w:val="●"/>
      <w:numFmt w:val="bullet"/>
      <w:start w:val="1"/>
    </w:lvl>
  </w:abstractNum>
  <w:abstractNum w:abstractNumId="57">
    <w:nsid w:val="7BD3EE7B"/>
    <w:multiLevelType w:val="hybridMultilevel"/>
    <w:lvl w:ilvl="0">
      <w:lvlJc w:val="left"/>
      <w:lvlText w:val="●"/>
      <w:numFmt w:val="bullet"/>
      <w:start w:val="1"/>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
      <w:numFmt w:val="bullet"/>
      <w:start w:val="1"/>
    </w:lvl>
  </w:abstractNum>
  <w:abstractNum w:abstractNumId="60">
    <w:nsid w:val="BF72B14"/>
    <w:multiLevelType w:val="hybridMultilevel"/>
    <w:lvl w:ilvl="0">
      <w:lvlJc w:val="left"/>
      <w:lvlText w:val="●"/>
      <w:numFmt w:val="bullet"/>
      <w:start w:val="1"/>
    </w:lvl>
  </w:abstractNum>
  <w:abstractNum w:abstractNumId="61">
    <w:nsid w:val="11447B73"/>
    <w:multiLevelType w:val="hybridMultilevel"/>
    <w:lvl w:ilvl="0">
      <w:lvlJc w:val="left"/>
      <w:lvlText w:val="●"/>
      <w:numFmt w:val="bullet"/>
      <w:start w:val="1"/>
    </w:lvl>
  </w:abstractNum>
  <w:abstractNum w:abstractNumId="62">
    <w:nsid w:val="42963E5A"/>
    <w:multiLevelType w:val="hybridMultilevel"/>
    <w:lvl w:ilvl="0">
      <w:lvlJc w:val="left"/>
      <w:lvlText w:val="●"/>
      <w:numFmt w:val="bullet"/>
      <w:start w:val="1"/>
    </w:lvl>
  </w:abstractNum>
  <w:abstractNum w:abstractNumId="63">
    <w:nsid w:val="A0382C5"/>
    <w:multiLevelType w:val="hybridMultilevel"/>
    <w:lvl w:ilvl="0">
      <w:lvlJc w:val="left"/>
      <w:lvlText w:val="●"/>
      <w:numFmt w:val="bullet"/>
      <w:start w:val="1"/>
    </w:lvl>
  </w:abstractNum>
  <w:abstractNum w:abstractNumId="64">
    <w:nsid w:val="8F2B15E"/>
    <w:multiLevelType w:val="hybridMultilevel"/>
    <w:lvl w:ilvl="0">
      <w:lvlJc w:val="left"/>
      <w:lvlText w:val="●"/>
      <w:numFmt w:val="bullet"/>
      <w:start w:val="1"/>
    </w:lvl>
  </w:abstractNum>
  <w:abstractNum w:abstractNumId="65">
    <w:nsid w:val="1A32234B"/>
    <w:multiLevelType w:val="hybridMultilevel"/>
    <w:lvl w:ilvl="0">
      <w:lvlJc w:val="left"/>
      <w:lvlText w:val="​"/>
      <w:numFmt w:val="bullet"/>
      <w:start w:val="1"/>
    </w:lvl>
  </w:abstractNum>
  <w:abstractNum w:abstractNumId="66">
    <w:nsid w:val="3B0FD379"/>
    <w:multiLevelType w:val="hybridMultilevel"/>
    <w:lvl w:ilvl="0">
      <w:lvlJc w:val="left"/>
      <w:lvlText w:val="%1)"/>
      <w:numFmt w:val="lowerLetter"/>
      <w:start w:val="1"/>
    </w:lvl>
  </w:abstractNum>
  <w:abstractNum w:abstractNumId="67">
    <w:nsid w:val="68EB2F63"/>
    <w:multiLevelType w:val="hybridMultilevel"/>
    <w:lvl w:ilvl="0">
      <w:lvlJc w:val="left"/>
      <w:lvlText w:val="%1)"/>
      <w:numFmt w:val="lowerLetter"/>
      <w:start w:val="6"/>
    </w:lvl>
  </w:abstractNum>
  <w:abstractNum w:abstractNumId="68">
    <w:nsid w:val="4962813B"/>
    <w:multiLevelType w:val="hybridMultilevel"/>
    <w:lvl w:ilvl="0">
      <w:lvlJc w:val="left"/>
      <w:lvlText w:val="(%1)"/>
      <w:numFmt w:val="lowerRoman"/>
      <w:start w:val="1"/>
    </w:lvl>
  </w:abstractNum>
  <w:abstractNum w:abstractNumId="69">
    <w:nsid w:val="60B6DF70"/>
    <w:multiLevelType w:val="hybridMultilevel"/>
    <w:lvl w:ilvl="0">
      <w:lvlJc w:val="left"/>
      <w:lvlText w:val="●"/>
      <w:numFmt w:val="bullet"/>
      <w:start w:val="1"/>
    </w:lvl>
  </w:abstractNum>
  <w:abstractNum w:abstractNumId="70">
    <w:nsid w:val="6A5EE64"/>
    <w:multiLevelType w:val="hybridMultilevel"/>
    <w:lvl w:ilvl="0">
      <w:lvlJc w:val="left"/>
      <w:lvlText w:val="●"/>
      <w:numFmt w:val="bullet"/>
      <w:start w:val="1"/>
    </w:lvl>
  </w:abstractNum>
  <w:abstractNum w:abstractNumId="71">
    <w:nsid w:val="14330624"/>
    <w:multiLevelType w:val="hybridMultilevel"/>
    <w:lvl w:ilvl="0">
      <w:lvlJc w:val="left"/>
      <w:lvlText w:val="(%1)"/>
      <w:numFmt w:val="lowerLetter"/>
      <w:start w:val="3"/>
    </w:lvl>
  </w:abstractNum>
  <w:abstractNum w:abstractNumId="72">
    <w:nsid w:val="7FFFCA11"/>
    <w:multiLevelType w:val="hybridMultilevel"/>
    <w:lvl w:ilvl="0">
      <w:lvlJc w:val="left"/>
      <w:lvlText w:val="●"/>
      <w:numFmt w:val="bullet"/>
      <w:start w:val="1"/>
    </w:lvl>
  </w:abstractNum>
  <w:abstractNum w:abstractNumId="73">
    <w:nsid w:val="1A27709E"/>
    <w:multiLevelType w:val="hybridMultilevel"/>
    <w:lvl w:ilvl="0">
      <w:lvlJc w:val="left"/>
      <w:lvlText w:val="(%1)"/>
      <w:numFmt w:val="lowerRoman"/>
      <w:start w:val="3"/>
    </w:lvl>
  </w:abstractNum>
  <w:abstractNum w:abstractNumId="74">
    <w:nsid w:val="71EA1109"/>
    <w:multiLevelType w:val="hybridMultilevel"/>
    <w:lvl w:ilvl="0">
      <w:lvlJc w:val="left"/>
      <w:lvlText w:val="●"/>
      <w:numFmt w:val="bullet"/>
      <w:start w:val="1"/>
    </w:lvl>
  </w:abstractNum>
  <w:abstractNum w:abstractNumId="75">
    <w:nsid w:val="100F59DC"/>
    <w:multiLevelType w:val="hybridMultilevel"/>
    <w:lvl w:ilvl="0">
      <w:lvlJc w:val="left"/>
      <w:lvlText w:val="●"/>
      <w:numFmt w:val="bullet"/>
      <w:start w:val="1"/>
    </w:lvl>
  </w:abstractNum>
  <w:abstractNum w:abstractNumId="76">
    <w:nsid w:val="7FB7E0AA"/>
    <w:multiLevelType w:val="hybridMultilevel"/>
    <w:lvl w:ilvl="0">
      <w:lvlJc w:val="left"/>
      <w:lvlText w:val="%1)"/>
      <w:numFmt w:val="lowerLetter"/>
      <w:start w:val="1"/>
    </w:lvl>
  </w:abstractNum>
  <w:abstractNum w:abstractNumId="77">
    <w:nsid w:val="6EB5BD4"/>
    <w:multiLevelType w:val="hybridMultilevel"/>
    <w:lvl w:ilvl="0">
      <w:lvlJc w:val="left"/>
      <w:lvlText w:val="(%1)"/>
      <w:numFmt w:val="lowerRoman"/>
      <w:start w:val="1"/>
    </w:lvl>
  </w:abstractNum>
  <w:abstractNum w:abstractNumId="78">
    <w:nsid w:val="6F6DD9AC"/>
    <w:multiLevelType w:val="hybridMultilevel"/>
    <w:lvl w:ilvl="0">
      <w:lvlJc w:val="left"/>
      <w:lvlText w:val="%1."/>
      <w:numFmt w:val="lowerRoman"/>
      <w:start w:val="1"/>
    </w:lvl>
  </w:abstractNum>
  <w:abstractNum w:abstractNumId="79">
    <w:nsid w:val="94211F2"/>
    <w:multiLevelType w:val="hybridMultilevel"/>
    <w:lvl w:ilvl="0">
      <w:lvlJc w:val="left"/>
      <w:lvlText w:val="%1."/>
      <w:numFmt w:val="lowerRoman"/>
      <w:start w:val="1"/>
    </w:lvl>
  </w:abstractNum>
  <w:abstractNum w:abstractNumId="80">
    <w:nsid w:val="885E1B"/>
    <w:multiLevelType w:val="hybridMultilevel"/>
    <w:lvl w:ilvl="0">
      <w:lvlJc w:val="left"/>
      <w:lvlText w:val="%1)"/>
      <w:numFmt w:val="decimal"/>
      <w:start w:val="2"/>
    </w:lvl>
  </w:abstractNum>
  <w:abstractNum w:abstractNumId="81">
    <w:nsid w:val="76272110"/>
    <w:multiLevelType w:val="hybridMultilevel"/>
    <w:lvl w:ilvl="0">
      <w:lvlJc w:val="left"/>
      <w:lvlText w:val="(%1)"/>
      <w:numFmt w:val="lowerLetter"/>
      <w:start w:val="3"/>
    </w:lvl>
  </w:abstractNum>
  <w:abstractNum w:abstractNumId="82">
    <w:nsid w:val="4C04A8AF"/>
    <w:multiLevelType w:val="hybridMultilevel"/>
    <w:lvl w:ilvl="0">
      <w:lvlJc w:val="left"/>
      <w:lvlText w:val="●"/>
      <w:numFmt w:val="bullet"/>
      <w:start w:val="1"/>
    </w:lvl>
  </w:abstractNum>
  <w:abstractNum w:abstractNumId="83">
    <w:nsid w:val="1716703B"/>
    <w:multiLevelType w:val="hybridMultilevel"/>
    <w:lvl w:ilvl="0">
      <w:lvlJc w:val="left"/>
      <w:lvlText w:val="$"/>
      <w:numFmt w:val="bullet"/>
      <w:start w:val="1"/>
    </w:lvl>
  </w:abstractNum>
  <w:abstractNum w:abstractNumId="84">
    <w:nsid w:val="14E17E33"/>
    <w:multiLevelType w:val="hybridMultilevel"/>
    <w:lvl w:ilvl="0">
      <w:lvlJc w:val="left"/>
      <w:lvlText w:val="$"/>
      <w:numFmt w:val="bullet"/>
      <w:start w:val="1"/>
    </w:lvl>
  </w:abstractNum>
  <w:abstractNum w:abstractNumId="85">
    <w:nsid w:val="3222E7CD"/>
    <w:multiLevelType w:val="hybridMultilevel"/>
    <w:lvl w:ilvl="0">
      <w:lvlJc w:val="left"/>
      <w:lvlText w:val="%1."/>
      <w:numFmt w:val="decimal"/>
      <w:start w:val="1"/>
    </w:lvl>
  </w:abstractNum>
  <w:abstractNum w:abstractNumId="86">
    <w:nsid w:val="74DE0EE3"/>
    <w:multiLevelType w:val="hybridMultilevel"/>
    <w:lvl w:ilvl="0">
      <w:lvlJc w:val="left"/>
      <w:lvlText w:val="*"/>
      <w:numFmt w:val="bullet"/>
      <w:start w:val="1"/>
    </w:lvl>
  </w:abstractNum>
  <w:abstractNum w:abstractNumId="87">
    <w:nsid w:val="68EBC550"/>
    <w:multiLevelType w:val="hybridMultilevel"/>
    <w:lvl w:ilvl="0">
      <w:lvlJc w:val="left"/>
      <w:lvlText w:val="+"/>
      <w:numFmt w:val="bullet"/>
      <w:start w:val="1"/>
    </w:lvl>
  </w:abstractNum>
  <w:abstractNum w:abstractNumId="88">
    <w:nsid w:val="2DF6D648"/>
    <w:multiLevelType w:val="hybridMultilevel"/>
    <w:lvl w:ilvl="0">
      <w:lvlJc w:val="left"/>
      <w:lvlText w:val="%1."/>
      <w:numFmt w:val="decimal"/>
      <w:start w:val="1"/>
    </w:lvl>
    <w:lvl w:ilvl="1">
      <w:lvlJc w:val="left"/>
      <w:lvlText w:val="%2."/>
      <w:numFmt w:val="lowerLetter"/>
      <w:start w:val="1"/>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202"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228" Type="http://schemas.openxmlformats.org/officeDocument/2006/relationships/image" Target="media/image194.png"/><Relationship Id="rId229" Type="http://schemas.openxmlformats.org/officeDocument/2006/relationships/image" Target="media/image195.png"/><Relationship Id="rId230" Type="http://schemas.openxmlformats.org/officeDocument/2006/relationships/image" Target="media/image196.png"/><Relationship Id="rId231" Type="http://schemas.openxmlformats.org/officeDocument/2006/relationships/image" Target="media/image197.png"/><Relationship Id="rId232" Type="http://schemas.openxmlformats.org/officeDocument/2006/relationships/image" Target="media/image198.png"/><Relationship Id="rId233" Type="http://schemas.openxmlformats.org/officeDocument/2006/relationships/image" Target="media/image199.png"/><Relationship Id="rId234" Type="http://schemas.openxmlformats.org/officeDocument/2006/relationships/image" Target="media/image200.png"/><Relationship Id="rId235" Type="http://schemas.openxmlformats.org/officeDocument/2006/relationships/image" Target="media/image201.png"/><Relationship Id="rId236" Type="http://schemas.openxmlformats.org/officeDocument/2006/relationships/image" Target="media/image202.png"/><Relationship Id="rId237" Type="http://schemas.openxmlformats.org/officeDocument/2006/relationships/image" Target="media/image203.png"/><Relationship Id="rId186" Type="http://schemas.openxmlformats.org/officeDocument/2006/relationships/hyperlink" Target="https://www.sec.gov/Archives/edgar/data/2006986/000114036124035942/ef20033584_ex2-1.htm" TargetMode="External"/><Relationship Id="rId187" Type="http://schemas.openxmlformats.org/officeDocument/2006/relationships/hyperlink" Target="https://www.sec.gov/Archives/edgar/data/2006986/000114036124035942/ef20033584_ex2-2.htm" TargetMode="External"/><Relationship Id="rId188" Type="http://schemas.openxmlformats.org/officeDocument/2006/relationships/hyperlink" Target="https://www.sec.gov/Archives/edgar/data/2006986/000114036124035942/ef20033584_ex3-1.htm" TargetMode="External"/><Relationship Id="rId189" Type="http://schemas.openxmlformats.org/officeDocument/2006/relationships/hyperlink" Target="https://www.sec.gov/Archives/edgar/data/2006986/000114036124035942/ef20033584_ex3-2.htm" TargetMode="External"/><Relationship Id="rId190" Type="http://schemas.openxmlformats.org/officeDocument/2006/relationships/hyperlink" Target="https://www.sec.gov/Archives/edgar/data/2006986/000114036124035942/ef20033584_ex4-1.htm" TargetMode="External"/><Relationship Id="rId191" Type="http://schemas.openxmlformats.org/officeDocument/2006/relationships/hyperlink" Target="https://www.sec.gov/Archives/edgar/data/2006986/000114036124035942/ef20033584_ex4-2.htm" TargetMode="External"/><Relationship Id="rId192" Type="http://schemas.openxmlformats.org/officeDocument/2006/relationships/hyperlink" Target="https://www.sec.gov/Archives/edgar/data/2006986/000114036124035942/ef20033584_ex10-12.htm" TargetMode="External"/><Relationship Id="rId193" Type="http://schemas.openxmlformats.org/officeDocument/2006/relationships/hyperlink" Target="https://www.sec.gov/Archives/edgar/data/2006986/000114036124035942/ef20033584_ex4-3.htm" TargetMode="External"/><Relationship Id="rId194" Type="http://schemas.openxmlformats.org/officeDocument/2006/relationships/hyperlink" Target="https://www.sec.gov/Archives/edgar/data/2006986/000114036124035942/ef20033584_ex4-4.htm" TargetMode="External"/><Relationship Id="rId195" Type="http://schemas.openxmlformats.org/officeDocument/2006/relationships/hyperlink" Target="https://www.sec.gov/Archives/edgar/data/2006986/000110465925099535/tm2528783d1_ex4-1.htm" TargetMode="External"/><Relationship Id="rId196" Type="http://schemas.openxmlformats.org/officeDocument/2006/relationships/hyperlink" Target="https://www.sec.gov/Archives/edgar/data/2006986/000110465925099535/tm2528783d1_ex4-2.htm" TargetMode="External"/><Relationship Id="rId197" Type="http://schemas.openxmlformats.org/officeDocument/2006/relationships/hyperlink" Target="https://www.sec.gov/Archives/edgar/data/2006986/000114036124035942/ef20033584_ex10-1.htm" TargetMode="External"/><Relationship Id="rId198" Type="http://schemas.openxmlformats.org/officeDocument/2006/relationships/hyperlink" Target="https://www.sec.gov/Archives/edgar/data/2006986/000114036124035942/ef20033584_ex10-2.htm" TargetMode="External"/><Relationship Id="rId199" Type="http://schemas.openxmlformats.org/officeDocument/2006/relationships/hyperlink" Target="https://www.sec.gov/Archives/edgar/data/2006986/000114036124035942/ef20033584_ex10-3.htm" TargetMode="External"/><Relationship Id="rId200" Type="http://schemas.openxmlformats.org/officeDocument/2006/relationships/hyperlink" Target="https://www.sec.gov/Archives/edgar/data/2006986/000114036124035942/ef20033584_ex10-5.htm" TargetMode="External"/><Relationship Id="rId201" Type="http://schemas.openxmlformats.org/officeDocument/2006/relationships/hyperlink" Target="https://www.sec.gov/Archives/edgar/data/2006986/000114036124035942/ef20033584_ex10-6.htm" TargetMode="External"/><Relationship Id="rId203" Type="http://schemas.openxmlformats.org/officeDocument/2006/relationships/hyperlink" Target="https://www.sec.gov/Archives/edgar/data/2006986/000114036124035942/ef20033584_ex10-7.htm" TargetMode="External"/><Relationship Id="rId204" Type="http://schemas.openxmlformats.org/officeDocument/2006/relationships/hyperlink" Target="https://www.sec.gov/Archives/edgar/data/2006986/000114036124035942/ef20033584_ex10-8.htm" TargetMode="External"/><Relationship Id="rId205" Type="http://schemas.openxmlformats.org/officeDocument/2006/relationships/hyperlink" Target="https://www.sec.gov/Archives/edgar/data/2006986/000114036124035942/ef20033584_ex10-9.htm" TargetMode="External"/><Relationship Id="rId206" Type="http://schemas.openxmlformats.org/officeDocument/2006/relationships/hyperlink" Target="https://www.sec.gov/Archives/edgar/data/2006986/000114036124035942/ef20033584_ex10-10.htm" TargetMode="External"/><Relationship Id="rId207" Type="http://schemas.openxmlformats.org/officeDocument/2006/relationships/hyperlink" Target="https://www.sec.gov/Archives/edgar/data/2006986/000114036124035942/ef20033584_ex10-11.htm" TargetMode="External"/><Relationship Id="rId208" Type="http://schemas.openxmlformats.org/officeDocument/2006/relationships/hyperlink" Target="https://www.sec.gov/Archives/edgar/data/2006986/000110465925099535/tm2528783d1_ex10-2.htm" TargetMode="External"/><Relationship Id="rId209" Type="http://schemas.openxmlformats.org/officeDocument/2006/relationships/hyperlink" Target="https://www.sec.gov/Archives/edgar/data/2006986/000155837024016265/adgm-20241211xex10d2.htm" TargetMode="External"/><Relationship Id="rId210" Type="http://schemas.openxmlformats.org/officeDocument/2006/relationships/hyperlink" Target="https://www.sec.gov/Archives/edgar/data/2006986/000110465925110345/adgm-20250930xex10d1.htm" TargetMode="External"/><Relationship Id="rId211" Type="http://schemas.openxmlformats.org/officeDocument/2006/relationships/hyperlink" Target="https://www.sec.gov/Archives/edgar/data/2006986/000155837025003849/adgm-20241231xex10d24.htm" TargetMode="External"/><Relationship Id="rId212" Type="http://schemas.openxmlformats.org/officeDocument/2006/relationships/hyperlink" Target="https://www.sec.gov/Archives/edgar/data/2006986/000155837025003849/adgm-20241231xex19d1.htm" TargetMode="External"/><Relationship Id="rId213" Type="http://schemas.openxmlformats.org/officeDocument/2006/relationships/hyperlink" Target="https://www.sec.gov/Archives/edgar/data/2006986/000155837025003849/adgm-2024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2026-03-27T07:47:18Z</dcterms:created>
  <dcterms:modified xsi:type="dcterms:W3CDTF">2026-03-27T07:47:18Z</dcterms:modified>
</cp:coreProperties>
</file>