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ind w:left="0" w:right="0" w:hanging="0"/>
        <w:jc w:val="left"/>
        <w:rPr/>
      </w:pPr>
      <w:hyperlink w:anchor="TOC">
        <w:bookmarkStart w:id="0" w:name="adgm-20250930x10q.htm"/>
        <w:bookmarkStart w:id="1" w:name="ksadgm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e86e3a9f_f8c1_4fc8_8bbc_bd94efba8a18"/>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0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wnaOVd7H80CV6A5dhaVv6A_1_1"/>
      <w:bookmarkStart w:id="4" w:name="_a745b27e_dc78_4449_817d_c43c1b285b12"/>
      <w:bookmarkStart w:id="5" w:name="Tc_wnaOVd7H80CV6A5dhaVv6A_1_1"/>
      <w:bookmarkStart w:id="6" w:name="_a745b27e_dc78_4449_817d_c43c1b285b12"/>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269990" cy="175260"/>
                      <wp:effectExtent l="0" t="0" r="0" b="0"/>
                      <wp:wrapNone/>
                      <wp:docPr id="1" name="Frame1"/>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September 30, 2025</w:t>
      </w:r>
    </w:p>
    <w:p>
      <w:pPr>
        <w:pStyle w:val="Normal"/>
        <w:bidi w:val="0"/>
        <w:spacing w:before="0" w:after="0"/>
        <w:jc w:val="left"/>
        <w:rPr>
          <w:sz w:val="4"/>
          <w:szCs w:val="4"/>
        </w:rPr>
      </w:pPr>
      <w:r>
        <w:rPr>
          <w:sz w:val="4"/>
          <w:szCs w:val="4"/>
        </w:rPr>
      </w:r>
      <w:bookmarkStart w:id="7" w:name="Tc_W5YvghER40mJxc8xCf94ng_1_1"/>
      <w:bookmarkStart w:id="8" w:name="_9d0a60a1_eeff_4218_87d9_1ce091eb64c0"/>
      <w:bookmarkStart w:id="9" w:name="Tc_W5YvghER40mJxc8xCf94ng_1_1"/>
      <w:bookmarkStart w:id="10" w:name="_9d0a60a1_eeff_4218_87d9_1ce091eb64c0"/>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Commission file number: 001-42199</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ADAGIO MEDICAL HOLDINGS, INC.</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1" w:name="Tc_2eEpToxf4E2pIqVJXt-Bpg_8_2"/>
      <w:bookmarkStart w:id="12" w:name="Tc_9j7ZxJkxNEWoGlXR7Akigw_8_0"/>
      <w:bookmarkStart w:id="13" w:name="Tc_TzrNqmXN3UOdHcfV2oG5BQ_6_0"/>
      <w:bookmarkStart w:id="14" w:name="Tc_Qbof8iECuEOVDwqQHlCSzg_5_0"/>
      <w:bookmarkStart w:id="15" w:name="Tc_ugxWGwbXS0Slbr9UaHGsPA_3_2"/>
      <w:bookmarkStart w:id="16" w:name="Tc_b6iEJAjpx0i9GsuPdq3tag_3_0"/>
      <w:bookmarkStart w:id="17" w:name="Tc_1Z6mFokT2kuKSkrYPyl-pg_2_2"/>
      <w:bookmarkStart w:id="18" w:name="Tc_KvFhSWL3sEWOWbZReWtZsg_2_0"/>
      <w:bookmarkStart w:id="19" w:name="_3a590d16_9dbd_4a5d_b364_20b544774104"/>
      <w:bookmarkStart w:id="20" w:name="Tc_2eEpToxf4E2pIqVJXt-Bpg_8_2"/>
      <w:bookmarkStart w:id="21" w:name="Tc_9j7ZxJkxNEWoGlXR7Akigw_8_0"/>
      <w:bookmarkStart w:id="22" w:name="Tc_TzrNqmXN3UOdHcfV2oG5BQ_6_0"/>
      <w:bookmarkStart w:id="23" w:name="Tc_Qbof8iECuEOVDwqQHlCSzg_5_0"/>
      <w:bookmarkStart w:id="24" w:name="Tc_ugxWGwbXS0Slbr9UaHGsPA_3_2"/>
      <w:bookmarkStart w:id="25" w:name="Tc_b6iEJAjpx0i9GsuPdq3tag_3_0"/>
      <w:bookmarkStart w:id="26" w:name="Tc_1Z6mFokT2kuKSkrYPyl-pg_2_2"/>
      <w:bookmarkStart w:id="27" w:name="Tc_KvFhSWL3sEWOWbZReWtZsg_2_0"/>
      <w:bookmarkStart w:id="28" w:name="_3a590d16_9dbd_4a5d_b364_20b544774104"/>
      <w:bookmarkEnd w:id="20"/>
      <w:bookmarkEnd w:id="21"/>
      <w:bookmarkEnd w:id="22"/>
      <w:bookmarkEnd w:id="23"/>
      <w:bookmarkEnd w:id="24"/>
      <w:bookmarkEnd w:id="25"/>
      <w:bookmarkEnd w:id="26"/>
      <w:bookmarkEnd w:id="27"/>
      <w:bookmarkEnd w:id="28"/>
    </w:p>
    <w:tbl>
      <w:tblPr>
        <w:tblW w:w="4738" w:type="dxa"/>
        <w:jc w:val="left"/>
        <w:tblInd w:w="0" w:type="dxa"/>
        <w:tblLayout w:type="fixed"/>
        <w:tblCellMar>
          <w:top w:w="0" w:type="dxa"/>
          <w:left w:w="0" w:type="dxa"/>
          <w:bottom w:w="0" w:type="dxa"/>
          <w:right w:w="0" w:type="dxa"/>
        </w:tblCellMar>
      </w:tblPr>
      <w:tblGrid>
        <w:gridCol w:w="2926"/>
        <w:gridCol w:w="3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858010" cy="175260"/>
                      <wp:effectExtent l="0" t="0" r="0" b="0"/>
                      <wp:wrapNone/>
                      <wp:docPr id="3" name="Frame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43610" cy="175260"/>
                      <wp:effectExtent l="0" t="0" r="0" b="0"/>
                      <wp:wrapNone/>
                      <wp:docPr id="4" name="Frame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99-1151466</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26051 Merit Circle, Suite 102</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Laguna Hills, CA</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92653</w:t>
            </w:r>
          </w:p>
        </w:tc>
      </w:tr>
      <w:tr>
        <w:trPr/>
        <w:tc>
          <w:tcPr>
            <w:tcW w:w="29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(949) 348-1188</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29" w:name="Tc_ZY_KGS_h5EeZYUE3nF8epg_1_4"/>
      <w:bookmarkStart w:id="30" w:name="Tc_M108CKGqlkytONRa82JZFA_1_2"/>
      <w:bookmarkStart w:id="31" w:name="Tc_NhsE9_9ykUmhfItoTfZmlg_1_0"/>
      <w:bookmarkStart w:id="32" w:name="Tc_AxfWcryB60ezA-HKZk8Mlg_0_4"/>
      <w:bookmarkStart w:id="33" w:name="Tc_CanKNUYCPUGXSlXFvFJxOQ_0_2"/>
      <w:bookmarkStart w:id="34" w:name="_96cf80c9_aa71_4313_b027_4d9143187851"/>
      <w:bookmarkStart w:id="35" w:name="Tc_ZY_KGS_h5EeZYUE3nF8epg_1_4"/>
      <w:bookmarkStart w:id="36" w:name="Tc_M108CKGqlkytONRa82JZFA_1_2"/>
      <w:bookmarkStart w:id="37" w:name="Tc_NhsE9_9ykUmhfItoTfZmlg_1_0"/>
      <w:bookmarkStart w:id="38" w:name="Tc_AxfWcryB60ezA-HKZk8Mlg_0_4"/>
      <w:bookmarkStart w:id="39" w:name="Tc_CanKNUYCPUGXSlXFvFJxOQ_0_2"/>
      <w:bookmarkStart w:id="40" w:name="_96cf80c9_aa71_4313_b027_4d9143187851"/>
      <w:bookmarkEnd w:id="35"/>
      <w:bookmarkEnd w:id="36"/>
      <w:bookmarkEnd w:id="37"/>
      <w:bookmarkEnd w:id="38"/>
      <w:bookmarkEnd w:id="39"/>
      <w:bookmarkEnd w:id="40"/>
    </w:p>
    <w:tbl>
      <w:tblPr>
        <w:tblW w:w="6535" w:type="dxa"/>
        <w:jc w:val="left"/>
        <w:tblInd w:w="0" w:type="dxa"/>
        <w:tblLayout w:type="fixed"/>
        <w:tblCellMar>
          <w:top w:w="0" w:type="dxa"/>
          <w:left w:w="0" w:type="dxa"/>
          <w:bottom w:w="0" w:type="dxa"/>
          <w:right w:w="0" w:type="dxa"/>
        </w:tblCellMar>
      </w:tblPr>
      <w:tblGrid>
        <w:gridCol w:w="2641"/>
        <w:gridCol w:w="326"/>
        <w:gridCol w:w="826"/>
        <w:gridCol w:w="326"/>
        <w:gridCol w:w="2416"/>
      </w:tblGrid>
      <w:tr>
        <w:trPr/>
        <w:tc>
          <w:tcPr>
            <w:tcW w:w="26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tc>
        <w:tc>
          <w:tcPr>
            <w:tcW w:w="32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vAlign w:val="center"/>
          </w:tcPr>
          <w:p>
            <w:pPr>
              <w:pStyle w:val="TableContents"/>
              <w:bidi w:val="0"/>
              <w:spacing w:before="0" w:after="0"/>
              <w:ind w:left="0" w:right="0" w:hanging="0"/>
              <w:jc w:val="center"/>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which 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br/>
              <w:t>per share</w:t>
            </w:r>
          </w:p>
        </w:tc>
        <w:tc>
          <w:tcPr>
            <w:tcW w:w="3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ADGM</w:t>
            </w:r>
          </w:p>
        </w:tc>
        <w:tc>
          <w:tcPr>
            <w:tcW w:w="326" w:type="dxa"/>
            <w:tcBorders/>
            <w:vAlign w:val="center"/>
          </w:tcPr>
          <w:p>
            <w:pPr>
              <w:pStyle w:val="TableContents"/>
              <w:bidi w:val="0"/>
              <w:spacing w:before="0" w:after="0"/>
              <w:ind w:left="0" w:right="0" w:hanging="0"/>
              <w:jc w:val="center"/>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1" w:name="Tc_h7prsRBlGk-9Ez2J3dPd1g_4_2"/>
      <w:bookmarkStart w:id="42" w:name="Tc_wQnMSToODUWa8AhFbZJLcg_2_2"/>
      <w:bookmarkStart w:id="43" w:name="Tc_w8d-onlSUkuc3xIAoCZ0Nw_2_1"/>
      <w:bookmarkStart w:id="44" w:name="Tc_xN7XQocqK0eCAfpVTadfbg_0_3"/>
      <w:bookmarkStart w:id="45" w:name="Tc_Z9oZ_56ZJUefBcmN1ibRRA_0_2"/>
      <w:bookmarkStart w:id="46" w:name="Tc_QJNsQB9eUkGW0AJYBphqSw_0_1"/>
      <w:bookmarkStart w:id="47" w:name="Tc_7YwwfxR05kWYsniA6lJYTw_0_0"/>
      <w:bookmarkStart w:id="48" w:name="_0064e322_f64f_4288_b6a4_c098c2ed95e5"/>
      <w:bookmarkStart w:id="49" w:name="Tc_h7prsRBlGk-9Ez2J3dPd1g_4_2"/>
      <w:bookmarkStart w:id="50" w:name="Tc_wQnMSToODUWa8AhFbZJLcg_2_2"/>
      <w:bookmarkStart w:id="51" w:name="Tc_w8d-onlSUkuc3xIAoCZ0Nw_2_1"/>
      <w:bookmarkStart w:id="52" w:name="Tc_xN7XQocqK0eCAfpVTadfbg_0_3"/>
      <w:bookmarkStart w:id="53" w:name="Tc_Z9oZ_56ZJUefBcmN1ibRRA_0_2"/>
      <w:bookmarkStart w:id="54" w:name="Tc_QJNsQB9eUkGW0AJYBphqSw_0_1"/>
      <w:bookmarkStart w:id="55" w:name="Tc_7YwwfxR05kWYsniA6lJYTw_0_0"/>
      <w:bookmarkStart w:id="56" w:name="_0064e322_f64f_4288_b6a4_c098c2ed95e5"/>
      <w:bookmarkEnd w:id="49"/>
      <w:bookmarkEnd w:id="50"/>
      <w:bookmarkEnd w:id="51"/>
      <w:bookmarkEnd w:id="52"/>
      <w:bookmarkEnd w:id="53"/>
      <w:bookmarkEnd w:id="54"/>
      <w:bookmarkEnd w:id="55"/>
      <w:bookmarkEnd w:id="56"/>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As of November 10, 2025, there were 21,179,637 shares of common stock, $0.0001 par value, issued and outstanding.</w:t>
      </w:r>
    </w:p>
    <w:p>
      <w:pPr>
        <w:pStyle w:val="TextBody"/>
        <w:bidi w:val="0"/>
        <w:spacing w:before="0" w:after="6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7" w:name="_9149006f_82f6_432b_9d79_0988309e693f"/>
      <w:bookmarkEnd w:id="57"/>
      <w:r>
        <w:rPr>
          <w:rFonts w:ascii="Times New Roman;Times;serif" w:hAnsi="Times New Roman;Times;serif"/>
          <w:b/>
          <w:sz w:val="20"/>
        </w:rPr>
        <w:t>ADAGIO MEDICAL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SEPTEMBER 30, 2025</w:t>
      </w:r>
    </w:p>
    <w:p>
      <w:pPr>
        <w:pStyle w:val="TextBody"/>
        <w:bidi w:val="0"/>
        <w:spacing w:before="0" w:after="240"/>
        <w:ind w:left="0" w:right="0" w:hanging="0"/>
        <w:jc w:val="center"/>
        <w:rPr>
          <w:rFonts w:ascii="Times New Roman;Times;serif" w:hAnsi="Times New Roman;Times;serif"/>
          <w:b/>
          <w:sz w:val="20"/>
        </w:rPr>
      </w:pPr>
      <w:bookmarkStart w:id="58" w:name="TOC"/>
      <w:bookmarkEnd w:id="58"/>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572"/>
        <w:gridCol w:w="9061"/>
        <w:gridCol w:w="572"/>
      </w:tblGrid>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3" w:type="dxa"/>
            <w:gridSpan w:val="2"/>
            <w:tcBorders/>
            <w:vAlign w:val="center"/>
          </w:tcPr>
          <w:p>
            <w:pPr>
              <w:pStyle w:val="TableContents"/>
              <w:bidi w:val="0"/>
              <w:spacing w:before="0" w:after="0"/>
              <w:ind w:left="0" w:right="0" w:hanging="0"/>
              <w:jc w:val="left"/>
              <w:rPr/>
            </w:pPr>
            <w:hyperlink w:anchor="PARTIFINANCIALINFORMATION_76804">
              <w:r>
                <w:rPr>
                  <w:rStyle w:val="InternetLink"/>
                  <w:rFonts w:ascii="Times New Roman;Times;serif" w:hAnsi="Times New Roman;Times;serif"/>
                  <w:b/>
                  <w:i w:val="false"/>
                  <w:caps w:val="false"/>
                  <w:smallCaps w:val="false"/>
                  <w:sz w:val="20"/>
                </w:rPr>
                <w:t>PART I: FINANCIAL INFORMATION</w:t>
              </w:r>
            </w:hyperlink>
          </w:p>
        </w:tc>
        <w:tc>
          <w:tcPr>
            <w:tcW w:w="57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1FinancialStatements_949025">
              <w:r>
                <w:rPr>
                  <w:rStyle w:val="InternetLink"/>
                  <w:rFonts w:ascii="Times New Roman;Times;serif" w:hAnsi="Times New Roman;Times;serif"/>
                  <w:b w:val="false"/>
                  <w:i w:val="false"/>
                  <w:caps w:val="false"/>
                  <w:smallCaps w:val="false"/>
                  <w:sz w:val="20"/>
                </w:rPr>
                <w:t>Item 1.</w:t>
              </w:r>
            </w:hyperlink>
          </w:p>
        </w:tc>
        <w:tc>
          <w:tcPr>
            <w:tcW w:w="9061" w:type="dxa"/>
            <w:tcBorders/>
            <w:vAlign w:val="center"/>
          </w:tcPr>
          <w:p>
            <w:pPr>
              <w:pStyle w:val="TableContents"/>
              <w:bidi w:val="0"/>
              <w:spacing w:before="0" w:after="0"/>
              <w:ind w:left="0" w:right="0" w:hanging="0"/>
              <w:jc w:val="left"/>
              <w:rPr/>
            </w:pPr>
            <w:hyperlink w:anchor="Balance_Sheet">
              <w:r>
                <w:rPr>
                  <w:rStyle w:val="InternetLink"/>
                  <w:rFonts w:ascii="Times New Roman;Times;serif" w:hAnsi="Times New Roman;Times;serif"/>
                  <w:b w:val="false"/>
                  <w:i w:val="false"/>
                  <w:caps w:val="false"/>
                  <w:smallCaps w:val="false"/>
                  <w:sz w:val="20"/>
                </w:rPr>
                <w:t>Condensed Consolidated Financial Statements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hyperlink w:anchor="Balance_Sheet">
              <w:r>
                <w:rPr>
                  <w:rStyle w:val="InternetLink"/>
                  <w:rFonts w:ascii="Times New Roman;Times;serif" w:hAnsi="Times New Roman;Times;serif"/>
                  <w:b w:val="false"/>
                  <w:i w:val="false"/>
                  <w:caps w:val="false"/>
                  <w:smallCaps w:val="false"/>
                  <w:sz w:val="20"/>
                </w:rPr>
                <w:t>Condensed Consolidated Balance Sheets as of September 30, 2025 (Successor) (Unaudited) and December 31, 2024 (Successor)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hyperlink w:anchor="Income_STMT">
              <w:r>
                <w:rPr>
                  <w:rStyle w:val="InternetLink"/>
                  <w:rFonts w:ascii="Times New Roman;Times;serif" w:hAnsi="Times New Roman;Times;serif"/>
                  <w:b w:val="false"/>
                  <w:i w:val="false"/>
                  <w:caps w:val="false"/>
                  <w:smallCaps w:val="false"/>
                  <w:sz w:val="20"/>
                </w:rPr>
                <w:t>Unaudited Condensed Consolidated Statements of Operations and Comprehensive Income (Loss) for the three and nine months ended September 30, 2025 (Successor) and for the periods from July 31, 2024 to September 30, 2024 (Successor) and July 1, 2024 to July 30, 2024 (Predecessor), and for the period from January 1, 2024 to July 30, 2024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hyperlink w:anchor="StatementsofConvertiblePreferredStockand">
              <w:r>
                <w:rPr>
                  <w:rStyle w:val="InternetLink"/>
                  <w:rFonts w:ascii="Times New Roman;Times;serif" w:hAnsi="Times New Roman;Times;serif"/>
                  <w:b w:val="false"/>
                  <w:i w:val="false"/>
                  <w:caps w:val="false"/>
                  <w:smallCaps w:val="false"/>
                  <w:sz w:val="20"/>
                </w:rPr>
                <w:t>Unaudited Condensed Consolidated Statements of Convertible Preferred Stock and Stockholders’ Equity (Deficit) for the three and nine months ended September 30, 2025 (Successor), and for the periods from July 31, 2024 to September 30, 2024 (Successor), July 1, 2024 to July 30, 2024 (Predecessor), and January 1, 2024 to July 30, 2024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b w:val="false"/>
                  <w:i w:val="false"/>
                  <w:caps w:val="false"/>
                  <w:smallCaps w:val="false"/>
                  <w:sz w:val="20"/>
                </w:rPr>
                <w:t>Unaudited Condensed Consolidated Statements of Cash Flows for the nine months ended September 30, 2025 (Successor), and for the periods from July 31, 2024 to September 30, 2024 (Successor) and January 1, 2024 to July 30, 2024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Item 2.</w:t>
              </w:r>
            </w:hyperlink>
          </w:p>
        </w:tc>
        <w:tc>
          <w:tcPr>
            <w:tcW w:w="9061"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906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Item 4.</w:t>
              </w:r>
            </w:hyperlink>
          </w:p>
        </w:tc>
        <w:tc>
          <w:tcPr>
            <w:tcW w:w="9061"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PARTIIOTHERINFORMATION_699286">
              <w:r>
                <w:rPr>
                  <w:rStyle w:val="InternetLink"/>
                  <w:rFonts w:ascii="Times New Roman;Times;serif" w:hAnsi="Times New Roman;Times;serif"/>
                  <w:b/>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Item 1.</w:t>
              </w:r>
            </w:hyperlink>
          </w:p>
        </w:tc>
        <w:tc>
          <w:tcPr>
            <w:tcW w:w="9061"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Item 1A.</w:t>
              </w:r>
            </w:hyperlink>
          </w:p>
        </w:tc>
        <w:tc>
          <w:tcPr>
            <w:tcW w:w="9061"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Item 2.</w:t>
              </w:r>
            </w:hyperlink>
          </w:p>
        </w:tc>
        <w:tc>
          <w:tcPr>
            <w:tcW w:w="9061"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Item 3.</w:t>
              </w:r>
            </w:hyperlink>
          </w:p>
        </w:tc>
        <w:tc>
          <w:tcPr>
            <w:tcW w:w="9061"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Item 4.</w:t>
              </w:r>
            </w:hyperlink>
          </w:p>
        </w:tc>
        <w:tc>
          <w:tcPr>
            <w:tcW w:w="9061"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Item 5.</w:t>
              </w:r>
            </w:hyperlink>
          </w:p>
        </w:tc>
        <w:tc>
          <w:tcPr>
            <w:tcW w:w="9061"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72"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Item 6.</w:t>
              </w:r>
            </w:hyperlink>
          </w:p>
        </w:tc>
        <w:tc>
          <w:tcPr>
            <w:tcW w:w="9061"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572"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SIGNATURES_342629">
              <w:r>
                <w:rPr>
                  <w:rStyle w:val="InternetLink"/>
                  <w:rFonts w:ascii="Times New Roman;Times;serif" w:hAnsi="Times New Roman;Times;serif"/>
                  <w:b/>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 Bold" w:hAnsi="Times New Roman Bold"/>
          <w:b/>
          <w:caps/>
          <w:sz w:val="20"/>
        </w:rPr>
      </w:pPr>
      <w:bookmarkStart w:id="59" w:name="_95f2eea6_e2cd_4738_8411_df9922d43492"/>
      <w:bookmarkEnd w:id="59"/>
      <w:r>
        <w:rPr>
          <w:rFonts w:ascii="Times New Roman Bold" w:hAnsi="Times New Roman Bold"/>
          <w:b/>
          <w:caps/>
          <w:sz w:val="20"/>
        </w:rPr>
        <w:t>Cautionary Note Regarding Forward-Looking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continue to develop innovative, proprietary products that address significant clinical needs in a manner that is safe and effective for patients and easy-to-use for physicians;</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obtain and maintain regulatory clearances or approvals;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demonstrate safety and effectiveness in our sponsored and third-party clinical trials;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increase physician awareness;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obtain and maintain coverage and adequate reimbursement for procedures using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attract and retain skilled research, development, sales and clinical personnel;</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our ability to cost-effectively manufacture, market and sell our products;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estimates of our market opportunity;</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regarding the scope of protection from intellectual property rights covering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developments or disputes concerning our intellectual property or other proprietary rights;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timing of and results from our clinical trials and other studies;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marketing clearances and authorization from the FDA and regulators in other jurisdictions;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timing of regulatory filings and feedback;</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competition in the markets we serve;</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of the reliability and performance of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of the benefits of our products to patients, providers, and payors;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impact of proposed tariffs on our business, including the impact on gross margins related to our international product sales and the impact of resulting economic uncertainty on demand for our products;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factors impacting the supply chains we rely on, including tariffs and the availability of raw materials and skilled labor serving our suppliers, and the cost of these factors of production which may in turn impact the prices we pay for our devices;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reliance on a limited number of suppliers, including sole source suppliers, which may impact the availability of instruments and materials;</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sustain or increase demand for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estimates regarding our costs and risks associated with our international operations and expansion;</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effects of our corporate prioritization initiative and our expectations regarding our ability to retain and recruit key personnel;</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attract and retain employees, including those with specialized skills and experience;</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expectations regarding strategic operations;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access capital markets;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fund our working capital requirements;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our compliance with, and the cost of, federal, state, and foreign regulatory requirements; </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anticipated trends and challenges in our business and the markets in which we operate; and</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continue as a going concern.</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References in this Quarterly Report on Form 10-Q to “we,” “us,” “ListCo” or the “Company” refer to Adagio Medical Holdings, Inc. and its consolidated subsidiaries at and after the consummation of the Business Combination (as defined below). References to our “management” or our “management team” refer to our officers and directors. We do not intend our use or display of other companies’ trade names or trademarks to imply an endorsement or sponsorship of us by such companies, or any relationship with any of these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announce material business and financial information to our investors using our investor relations website (investors.adagiomedical.com). We therefore encourage investors and others interested in Adagio Medical Holdings, Inc. to review the information that we make available on our website, in addition to following our filings with the Securities and Exchange Commission (the “SEC”) webcasts, press releases and conference calls.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0" w:name="PARTIFINANCIALINFORMATION_76804"/>
      <w:bookmarkStart w:id="61" w:name="_fe91403a_d273_404b_9eaa_a97d8c9bd869"/>
      <w:bookmarkEnd w:id="60"/>
      <w:bookmarkEnd w:id="61"/>
      <w:r>
        <w:rPr>
          <w:rFonts w:ascii="Times New Roman;Times;serif" w:hAnsi="Times New Roman;Times;serif"/>
          <w:b/>
          <w:sz w:val="20"/>
        </w:rPr>
        <w:t>PART I - FINANCIAL INFORMATION</w:t>
      </w:r>
    </w:p>
    <w:p>
      <w:pPr>
        <w:pStyle w:val="TextBody"/>
        <w:bidi w:val="0"/>
        <w:spacing w:before="120" w:after="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62" w:name="Balance_Sheet"/>
      <w:bookmarkStart w:id="63" w:name="Item1FinancialStatements_949025"/>
      <w:bookmarkEnd w:id="62"/>
      <w:bookmarkEnd w:id="63"/>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4" w:name="Tc_16VS8xN7kkmtJnNXUZC7Kw_39_5"/>
      <w:bookmarkStart w:id="65" w:name="Tc_bRXIBFuLU0Gi4nTI2kRztw_39_2"/>
      <w:bookmarkStart w:id="66" w:name="Tc_-Qshye1_s0Ovhy_tSVHikg_39_0"/>
      <w:bookmarkStart w:id="67" w:name="Tc_ditsPTojKU6i5dKQ_f4ATw_38_0"/>
      <w:bookmarkStart w:id="68" w:name="Tc_tqZmcbXb0UK031mj-zh-YA_37_0"/>
      <w:bookmarkStart w:id="69" w:name="Tc_4kM3t-IPd0-K6K9g6Mq5PQ_36_0"/>
      <w:bookmarkStart w:id="70" w:name="Tc_OVep175-TUq7miSLuedRag_35_0"/>
      <w:bookmarkStart w:id="71" w:name="Tc_BGfqR7X8t0e4y-RWv1OmZQ_34_0"/>
      <w:bookmarkStart w:id="72" w:name="Tc_KO_CfrhEmUOUuoojau7RzA_33_0"/>
      <w:bookmarkStart w:id="73" w:name="Tc_MZnF1St6C0SL59bld-6U1w_32_0"/>
      <w:bookmarkStart w:id="74" w:name="Tc_aR9AWtd8xE6A5Ermt1cX3w_31_0"/>
      <w:bookmarkStart w:id="75" w:name="Tc_kn8MqkIZh0KMtxNE9jiJRA_30_3"/>
      <w:bookmarkStart w:id="76" w:name="Tc_3sJujX7EbUaPDwi3UF97Pg_30_0"/>
      <w:bookmarkStart w:id="77" w:name="Tc_Q8RIKuCQMku7lzT1ZsRN4A_29_0"/>
      <w:bookmarkStart w:id="78" w:name="Tc_ucGVokNxpU2tz6ryuss4lA_28_0"/>
      <w:bookmarkStart w:id="79" w:name="Tc_4dP4_DZXV0mGmn_PClvVHg_27_0"/>
      <w:bookmarkStart w:id="80" w:name="Tc_KFCZdT7F_02bzir2yobVZA_26_0"/>
      <w:bookmarkStart w:id="81" w:name="Tc_5EuYFkhRQkSbSKbOJZJIlQ_25_0"/>
      <w:bookmarkStart w:id="82" w:name="Tc_Zx9-Fg_JzE29a5dXzM8IMA_24_3"/>
      <w:bookmarkStart w:id="83" w:name="Tc_C7XNtbPEmU-g1fOpkQjEhQ_24_0"/>
      <w:bookmarkStart w:id="84" w:name="Tc_TGxa5IfSckGePZ2cZkc-9A_23_0"/>
      <w:bookmarkStart w:id="85" w:name="Tc_SMQ3wa4H90SNBsL-CMpuHA_22_0"/>
      <w:bookmarkStart w:id="86" w:name="Tc__qlWEa9ArU6WbagGOIV3hw_21_5"/>
      <w:bookmarkStart w:id="87" w:name="Tc_E4co-6WbtEa-oler7g09Og_21_2"/>
      <w:bookmarkStart w:id="88" w:name="Tc_x_3iOE82mkSuoY9VyE4Nwg_21_0"/>
      <w:bookmarkStart w:id="89" w:name="Tc_ErJnJyJF3U-Z5bVMypfyhA_20_0"/>
      <w:bookmarkStart w:id="90" w:name="Tc_OjVnD0ayI0K8Gf4_0TWGWw_19_0"/>
      <w:bookmarkStart w:id="91" w:name="Tc_RNJa_pKR9UeTmsxY7365Mw_18_5"/>
      <w:bookmarkStart w:id="92" w:name="Tc_Dwtl-azXvk2Rf7YXberidQ_18_2"/>
      <w:bookmarkStart w:id="93" w:name="Tc_D87gHXjWfkW8GHKRwCtxfg_18_0"/>
      <w:bookmarkStart w:id="94" w:name="Tc_-3rJtg8G50C4Jvctmnn8Mg_17_0"/>
      <w:bookmarkStart w:id="95" w:name="Tc_2tFcsY0cFkenvM9WgR9Jjg_16_0"/>
      <w:bookmarkStart w:id="96" w:name="Tc_6yrPAcUFHkW9GK-p2NbVsQ_15_0"/>
      <w:bookmarkStart w:id="97" w:name="Tc_BAgNDOB3YUKm7GBwI_1Hjw_14_0"/>
      <w:bookmarkStart w:id="98" w:name="Tc_YwU9gT9sxEC9nFR5msVckw_13_0"/>
      <w:bookmarkStart w:id="99" w:name="Tc_uYeHsto8TkCxfFSKXRWCkA_12_0"/>
      <w:bookmarkStart w:id="100" w:name="Tc_jhtZpGgqrkCmbiFADdOVbA_11_0"/>
      <w:bookmarkStart w:id="101" w:name="Tc_d9gHke6oKESPfSWFDG6uCA_10_0"/>
      <w:bookmarkStart w:id="102" w:name="Tc_0qnOGkJFWkuAVpWgah7Q9w_9_0"/>
      <w:bookmarkStart w:id="103" w:name="Tc_2dJ1XiRerkOSP_93CCmiQQ_8_3"/>
      <w:bookmarkStart w:id="104" w:name="Tc_NmOIjjKkhU2suvWVEGH9Ew_8_0"/>
      <w:bookmarkStart w:id="105" w:name="Tc_KLmLeWg5VkKAeVNQIp15tQ_7_5"/>
      <w:bookmarkStart w:id="106" w:name="Tc__-UcnZFVKkCcFv4sUGqqqQ_7_2"/>
      <w:bookmarkStart w:id="107" w:name="Tc_m5s66_3adkSZvxwGjRW6Uw_7_0"/>
      <w:bookmarkStart w:id="108" w:name="Tc_UyfN6sihYUehHslsCNrn_w_6_0"/>
      <w:bookmarkStart w:id="109" w:name="Tc_YxiSK401TkGiDajDU1xFtQ_5_0"/>
      <w:bookmarkStart w:id="110" w:name="Tc_ngrbz6zy3UOwl5QL2t7_qA_4_5"/>
      <w:bookmarkStart w:id="111" w:name="Tc_bWL942kY-kmRjQ3kcBh60A_4_2"/>
      <w:bookmarkStart w:id="112" w:name="Tc_x8-6SH7AUEuvcQEMIgMt2w_3_5"/>
      <w:bookmarkStart w:id="113" w:name="Tc_eHfGEnu5HU24K55jiJrb1A_3_2"/>
      <w:bookmarkStart w:id="114" w:name="Tc_ugfKdkkojUWDjvRM7rMwBA_2_5"/>
      <w:bookmarkStart w:id="115" w:name="Tc_KHMFg4Vng0-kv00cQ1T2nQ_2_2"/>
      <w:bookmarkStart w:id="116" w:name="Tc_UL7yc1n20U-g3FDe_nNYyQ_1_2"/>
      <w:bookmarkStart w:id="117" w:name="_d8612756_de90_477e_a1c9_219edbea5961"/>
      <w:bookmarkStart w:id="118" w:name="Tc_16VS8xN7kkmtJnNXUZC7Kw_39_5"/>
      <w:bookmarkStart w:id="119" w:name="Tc_bRXIBFuLU0Gi4nTI2kRztw_39_2"/>
      <w:bookmarkStart w:id="120" w:name="Tc_-Qshye1_s0Ovhy_tSVHikg_39_0"/>
      <w:bookmarkStart w:id="121" w:name="Tc_ditsPTojKU6i5dKQ_f4ATw_38_0"/>
      <w:bookmarkStart w:id="122" w:name="Tc_tqZmcbXb0UK031mj-zh-YA_37_0"/>
      <w:bookmarkStart w:id="123" w:name="Tc_4kM3t-IPd0-K6K9g6Mq5PQ_36_0"/>
      <w:bookmarkStart w:id="124" w:name="Tc_OVep175-TUq7miSLuedRag_35_0"/>
      <w:bookmarkStart w:id="125" w:name="Tc_BGfqR7X8t0e4y-RWv1OmZQ_34_0"/>
      <w:bookmarkStart w:id="126" w:name="Tc_KO_CfrhEmUOUuoojau7RzA_33_0"/>
      <w:bookmarkStart w:id="127" w:name="Tc_MZnF1St6C0SL59bld-6U1w_32_0"/>
      <w:bookmarkStart w:id="128" w:name="Tc_aR9AWtd8xE6A5Ermt1cX3w_31_0"/>
      <w:bookmarkStart w:id="129" w:name="Tc_kn8MqkIZh0KMtxNE9jiJRA_30_3"/>
      <w:bookmarkStart w:id="130" w:name="Tc_3sJujX7EbUaPDwi3UF97Pg_30_0"/>
      <w:bookmarkStart w:id="131" w:name="Tc_Q8RIKuCQMku7lzT1ZsRN4A_29_0"/>
      <w:bookmarkStart w:id="132" w:name="Tc_ucGVokNxpU2tz6ryuss4lA_28_0"/>
      <w:bookmarkStart w:id="133" w:name="Tc_4dP4_DZXV0mGmn_PClvVHg_27_0"/>
      <w:bookmarkStart w:id="134" w:name="Tc_KFCZdT7F_02bzir2yobVZA_26_0"/>
      <w:bookmarkStart w:id="135" w:name="Tc_5EuYFkhRQkSbSKbOJZJIlQ_25_0"/>
      <w:bookmarkStart w:id="136" w:name="Tc_Zx9-Fg_JzE29a5dXzM8IMA_24_3"/>
      <w:bookmarkStart w:id="137" w:name="Tc_C7XNtbPEmU-g1fOpkQjEhQ_24_0"/>
      <w:bookmarkStart w:id="138" w:name="Tc_TGxa5IfSckGePZ2cZkc-9A_23_0"/>
      <w:bookmarkStart w:id="139" w:name="Tc_SMQ3wa4H90SNBsL-CMpuHA_22_0"/>
      <w:bookmarkStart w:id="140" w:name="Tc__qlWEa9ArU6WbagGOIV3hw_21_5"/>
      <w:bookmarkStart w:id="141" w:name="Tc_E4co-6WbtEa-oler7g09Og_21_2"/>
      <w:bookmarkStart w:id="142" w:name="Tc_x_3iOE82mkSuoY9VyE4Nwg_21_0"/>
      <w:bookmarkStart w:id="143" w:name="Tc_ErJnJyJF3U-Z5bVMypfyhA_20_0"/>
      <w:bookmarkStart w:id="144" w:name="Tc_OjVnD0ayI0K8Gf4_0TWGWw_19_0"/>
      <w:bookmarkStart w:id="145" w:name="Tc_RNJa_pKR9UeTmsxY7365Mw_18_5"/>
      <w:bookmarkStart w:id="146" w:name="Tc_Dwtl-azXvk2Rf7YXberidQ_18_2"/>
      <w:bookmarkStart w:id="147" w:name="Tc_D87gHXjWfkW8GHKRwCtxfg_18_0"/>
      <w:bookmarkStart w:id="148" w:name="Tc_-3rJtg8G50C4Jvctmnn8Mg_17_0"/>
      <w:bookmarkStart w:id="149" w:name="Tc_2tFcsY0cFkenvM9WgR9Jjg_16_0"/>
      <w:bookmarkStart w:id="150" w:name="Tc_6yrPAcUFHkW9GK-p2NbVsQ_15_0"/>
      <w:bookmarkStart w:id="151" w:name="Tc_BAgNDOB3YUKm7GBwI_1Hjw_14_0"/>
      <w:bookmarkStart w:id="152" w:name="Tc_YwU9gT9sxEC9nFR5msVckw_13_0"/>
      <w:bookmarkStart w:id="153" w:name="Tc_uYeHsto8TkCxfFSKXRWCkA_12_0"/>
      <w:bookmarkStart w:id="154" w:name="Tc_jhtZpGgqrkCmbiFADdOVbA_11_0"/>
      <w:bookmarkStart w:id="155" w:name="Tc_d9gHke6oKESPfSWFDG6uCA_10_0"/>
      <w:bookmarkStart w:id="156" w:name="Tc_0qnOGkJFWkuAVpWgah7Q9w_9_0"/>
      <w:bookmarkStart w:id="157" w:name="Tc_2dJ1XiRerkOSP_93CCmiQQ_8_3"/>
      <w:bookmarkStart w:id="158" w:name="Tc_NmOIjjKkhU2suvWVEGH9Ew_8_0"/>
      <w:bookmarkStart w:id="159" w:name="Tc_KLmLeWg5VkKAeVNQIp15tQ_7_5"/>
      <w:bookmarkStart w:id="160" w:name="Tc__-UcnZFVKkCcFv4sUGqqqQ_7_2"/>
      <w:bookmarkStart w:id="161" w:name="Tc_m5s66_3adkSZvxwGjRW6Uw_7_0"/>
      <w:bookmarkStart w:id="162" w:name="Tc_UyfN6sihYUehHslsCNrn_w_6_0"/>
      <w:bookmarkStart w:id="163" w:name="Tc_YxiSK401TkGiDajDU1xFtQ_5_0"/>
      <w:bookmarkStart w:id="164" w:name="Tc_ngrbz6zy3UOwl5QL2t7_qA_4_5"/>
      <w:bookmarkStart w:id="165" w:name="Tc_bWL942kY-kmRjQ3kcBh60A_4_2"/>
      <w:bookmarkStart w:id="166" w:name="Tc_x8-6SH7AUEuvcQEMIgMt2w_3_5"/>
      <w:bookmarkStart w:id="167" w:name="Tc_eHfGEnu5HU24K55jiJrb1A_3_2"/>
      <w:bookmarkStart w:id="168" w:name="Tc_ugfKdkkojUWDjvRM7rMwBA_2_5"/>
      <w:bookmarkStart w:id="169" w:name="Tc_KHMFg4Vng0-kv00cQ1T2nQ_2_2"/>
      <w:bookmarkStart w:id="170" w:name="Tc_UL7yc1n20U-g3FDe_nNYyQ_1_2"/>
      <w:bookmarkStart w:id="171" w:name="_d8612756_de90_477e_a1c9_219edbea5961"/>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tbl>
      <w:tblPr>
        <w:tblW w:w="10205" w:type="dxa"/>
        <w:jc w:val="left"/>
        <w:tblInd w:w="0" w:type="dxa"/>
        <w:tblLayout w:type="fixed"/>
        <w:tblCellMar>
          <w:top w:w="0" w:type="dxa"/>
          <w:left w:w="0" w:type="dxa"/>
          <w:bottom w:w="0" w:type="dxa"/>
          <w:right w:w="0" w:type="dxa"/>
        </w:tblCellMar>
      </w:tblPr>
      <w:tblGrid>
        <w:gridCol w:w="7504"/>
        <w:gridCol w:w="326"/>
        <w:gridCol w:w="258"/>
        <w:gridCol w:w="874"/>
        <w:gridCol w:w="109"/>
        <w:gridCol w:w="245"/>
        <w:gridCol w:w="889"/>
      </w:tblGrid>
      <w:tr>
        <w:trPr/>
        <w:tc>
          <w:tcPr>
            <w:tcW w:w="7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765040" cy="175260"/>
                      <wp:effectExtent l="0" t="0" r="0" b="0"/>
                      <wp:wrapNone/>
                      <wp:docPr id="5" name="Frame5"/>
                      <a:graphic xmlns:a="http://schemas.openxmlformats.org/drawingml/2006/main">
                        <a:graphicData uri="http://schemas.microsoft.com/office/word/2010/wordprocessingShape">
                          <wps:wsp>
                            <wps:cNvSpPr txBox="1"/>
                            <wps:spPr>
                              <a:xfrm>
                                <a:off x="0" y="0"/>
                                <a:ext cx="4765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3830" cy="175260"/>
                      <wp:effectExtent l="0" t="0" r="0" b="0"/>
                      <wp:wrapNone/>
                      <wp:docPr id="7" name="Frame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54990" cy="175260"/>
                      <wp:effectExtent l="0" t="0" r="0" b="0"/>
                      <wp:wrapNone/>
                      <wp:docPr id="8" name="Frame8"/>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55575" cy="175260"/>
                      <wp:effectExtent l="0" t="0" r="0" b="0"/>
                      <wp:wrapNone/>
                      <wp:docPr id="10" name="Frame1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4515" cy="175260"/>
                      <wp:effectExtent l="0" t="0" r="0" b="0"/>
                      <wp:wrapNone/>
                      <wp:docPr id="11" name="Frame11"/>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center"/>
              <w:rPr/>
            </w:pPr>
            <w:r>
              <w:rPr/>
              <w:t>​</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75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vAlign w:val="center"/>
          </w:tcPr>
          <w:p>
            <w:pPr>
              <w:pStyle w:val="TableContents"/>
              <w:bidi w:val="0"/>
              <w:spacing w:before="0" w:after="0"/>
              <w:ind w:left="0" w:right="0" w:hanging="0"/>
              <w:jc w:val="center"/>
              <w:rPr/>
            </w:pPr>
            <w:r>
              <w:rPr/>
              <w:t>​</w:t>
            </w:r>
          </w:p>
        </w:tc>
        <w:tc>
          <w:tcPr>
            <w:tcW w:w="113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5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109" w:type="dxa"/>
            <w:tcBorders/>
            <w:vAlign w:val="center"/>
          </w:tcPr>
          <w:p>
            <w:pPr>
              <w:pStyle w:val="TableContents"/>
              <w:bidi w:val="0"/>
              <w:spacing w:before="0" w:after="0"/>
              <w:ind w:left="0" w:right="0" w:hanging="0"/>
              <w:jc w:val="center"/>
              <w:rPr/>
            </w:pPr>
            <w:r>
              <w:rPr/>
              <w:t>​</w:t>
            </w:r>
          </w:p>
        </w:tc>
        <w:tc>
          <w:tcPr>
            <w:tcW w:w="113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4,673</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1,548</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811</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8,143</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25,349</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1,701</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net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6,969</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6,969</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 net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13,967</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13,967</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31,546</w:t>
            </w:r>
          </w:p>
        </w:tc>
        <w:tc>
          <w:tcPr>
            <w:tcW w:w="109" w:type="dxa"/>
            <w:tcBorders/>
            <w:vAlign w:val="center"/>
          </w:tcPr>
          <w:p>
            <w:pPr>
              <w:pStyle w:val="TableContents"/>
              <w:bidi w:val="0"/>
              <w:spacing w:before="0" w:after="0"/>
              <w:ind w:left="0" w:right="0" w:hanging="0"/>
              <w:jc w:val="righ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48,448</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(deficit)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2,840</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8,498</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liabilities</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1,104</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9,702</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7,763</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long-term</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notes payable,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21,191</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16,076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3,616</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32,858</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28,536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12)</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(deficit)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 210,000,000</w:t>
            </w:r>
            <w:r>
              <w:rPr>
                <w:rFonts w:ascii="Times New Roman;Times;serif" w:hAnsi="Times New Roman;Times;serif"/>
                <w:sz w:val="20"/>
              </w:rPr>
              <w:t xml:space="preserve"> </w:t>
            </w:r>
            <w:r>
              <w:rPr>
                <w:rFonts w:ascii="Times New Roman;Times;serif" w:hAnsi="Times New Roman;Times;serif"/>
                <w:sz w:val="16"/>
              </w:rPr>
              <w:t xml:space="preserve">shares authorized at September 30, 2025 and </w:t>
            </w:r>
            <w:r>
              <w:rPr>
                <w:rFonts w:ascii="Times New Roman;Times;serif" w:hAnsi="Times New Roman;Times;serif"/>
                <w:b w:val="false"/>
                <w:i w:val="false"/>
                <w:caps w:val="false"/>
                <w:smallCaps w:val="false"/>
                <w:sz w:val="16"/>
              </w:rPr>
              <w:t>December 31, 2024</w:t>
            </w:r>
            <w:r>
              <w:rPr>
                <w:rFonts w:ascii="Times New Roman;Times;serif" w:hAnsi="Times New Roman;Times;serif"/>
                <w:sz w:val="16"/>
              </w:rPr>
              <w:t>; 15,381,565</w:t>
            </w:r>
            <w:r>
              <w:rPr>
                <w:rFonts w:ascii="Times New Roman;Times;serif" w:hAnsi="Times New Roman;Times;serif"/>
                <w:sz w:val="20"/>
              </w:rPr>
              <w:t xml:space="preserve"> </w:t>
            </w:r>
            <w:r>
              <w:rPr>
                <w:rFonts w:ascii="Times New Roman;Times;serif" w:hAnsi="Times New Roman;Times;serif"/>
                <w:sz w:val="16"/>
              </w:rPr>
              <w:t>and 15,198,232</w:t>
            </w:r>
            <w:r>
              <w:rPr>
                <w:rFonts w:ascii="Times New Roman;Times;serif" w:hAnsi="Times New Roman;Times;serif"/>
                <w:sz w:val="20"/>
              </w:rPr>
              <w:t xml:space="preserve"> </w:t>
            </w:r>
            <w:r>
              <w:rPr>
                <w:rFonts w:ascii="Times New Roman;Times;serif" w:hAnsi="Times New Roman;Times;serif"/>
                <w:sz w:val="16"/>
              </w:rPr>
              <w:t xml:space="preserve">shares issued 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at September 30,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91,084</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90,495</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(loss) income</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w:t>
            </w:r>
          </w:p>
        </w:tc>
        <w:tc>
          <w:tcPr>
            <w:tcW w:w="109"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(92,303)</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(70,586)</w:t>
            </w:r>
          </w:p>
        </w:tc>
      </w:tr>
      <w:tr>
        <w:trPr/>
        <w:tc>
          <w:tcPr>
            <w:tcW w:w="75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(deficit) equity</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(1,312)</w:t>
            </w:r>
          </w:p>
        </w:tc>
        <w:tc>
          <w:tcPr>
            <w:tcW w:w="109" w:type="dxa"/>
            <w:tcBorders/>
            <w:vAlign w:val="center"/>
          </w:tcPr>
          <w:p>
            <w:pPr>
              <w:pStyle w:val="TableContents"/>
              <w:bidi w:val="0"/>
              <w:spacing w:before="0" w:after="0"/>
              <w:ind w:left="0" w:right="0" w:hanging="0"/>
              <w:jc w:val="righ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19,912</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(deficit)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31,546</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48,448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2" w:name="_2b48b50f_f828_4f91_b63b_886942bd5ce2"/>
      <w:bookmarkEnd w:id="172"/>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173" w:name="Income_STMT"/>
      <w:bookmarkEnd w:id="173"/>
      <w:r>
        <w:rPr>
          <w:rFonts w:ascii="Times New Roman;Times;serif" w:hAnsi="Times New Roman;Times;serif"/>
          <w:b/>
          <w:sz w:val="20"/>
        </w:rPr>
        <w:t>Condensed Consolidated Statements of Operations and Comprehensive (Loss)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data)</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174" w:name="Tc_RHLjsQI5C0GsCwdfSCI9Lg_27_0"/>
      <w:bookmarkStart w:id="175" w:name="Tc_NaInwmABl0qedP5veFM2OQ_26_0"/>
      <w:bookmarkStart w:id="176" w:name="Tc_bSWvtmIWy0u614xHPGQUmA_25_20"/>
      <w:bookmarkStart w:id="177" w:name="Tc_NMDm-t3TxUeVvnT6cAcdyg_25_16"/>
      <w:bookmarkStart w:id="178" w:name="Tc_dg_2ZuiYfUOZuFjXOGtMZA_25_13"/>
      <w:bookmarkStart w:id="179" w:name="Tc_Ne6RRG6glEeLstcwg_yKlQ_25_9"/>
      <w:bookmarkStart w:id="180" w:name="Tc_R2O9HoBIhEOzgf-PKwalHQ_25_5"/>
      <w:bookmarkStart w:id="181" w:name="Tc_vISfrN1m2kupvyR1ixYnaA_25_2"/>
      <w:bookmarkStart w:id="182" w:name="Tc_Rf4dJR9esUSlQMMOCH324A_25_0"/>
      <w:bookmarkStart w:id="183" w:name="Tc_9FA5tFnSRECG-fvN5fCCiw_24_20"/>
      <w:bookmarkStart w:id="184" w:name="Tc_aWfUftUF3U-zew7fmnxGMw_24_16"/>
      <w:bookmarkStart w:id="185" w:name="Tc_duJn8iJw6E2RcrSEbKgDdg_24_13"/>
      <w:bookmarkStart w:id="186" w:name="Tc_085WTKtNx0e5FigAnswOuQ_24_9"/>
      <w:bookmarkStart w:id="187" w:name="Tc_zgkIFQ5AfE6XopfqHUcCKw_24_5"/>
      <w:bookmarkStart w:id="188" w:name="Tc_knxz_rrQYU-8g0JSZL1Svg_24_2"/>
      <w:bookmarkStart w:id="189" w:name="Tc_2ddwY0mY70ah1aQjlvU9BQ_24_0"/>
      <w:bookmarkStart w:id="190" w:name="Tc_hIv1NAdHFE-HwmWcqH1EGw_22_20"/>
      <w:bookmarkStart w:id="191" w:name="Tc_Lt63EuwNL02Wsgt6B7Y5BA_22_16"/>
      <w:bookmarkStart w:id="192" w:name="Tc_RoWCZoE8zECxoS4nsOSsKw_22_13"/>
      <w:bookmarkStart w:id="193" w:name="Tc_rmvMwF1zAEOEteMpmQzw3g_22_9"/>
      <w:bookmarkStart w:id="194" w:name="Tc_jEOtftqCCEqHIeLirnv0nQ_22_5"/>
      <w:bookmarkStart w:id="195" w:name="Tc_CFLsn6IuA0ip3VKVtnmOPQ_22_2"/>
      <w:bookmarkStart w:id="196" w:name="Tc_4tcSCKfRPUSAz4yR5ydqBA_22_0"/>
      <w:bookmarkStart w:id="197" w:name="Tc_ODetbjfZv0acv7hC37FogA_21_0"/>
      <w:bookmarkStart w:id="198" w:name="Tc_IcN6PprMQUW65-n5bC21rg_20_0"/>
      <w:bookmarkStart w:id="199" w:name="Tc_f35obtlx0EybK8NHf6Ukjg_19_20"/>
      <w:bookmarkStart w:id="200" w:name="Tc_Ck57Xveoa0y8YVyn6NfwDg_19_16"/>
      <w:bookmarkStart w:id="201" w:name="Tc_s0aouB5wJk2l1hyyqT4yww_19_13"/>
      <w:bookmarkStart w:id="202" w:name="Tc_P8YvsXak70WZz4nXW51cMw_19_9"/>
      <w:bookmarkStart w:id="203" w:name="Tc_1gSjJlPGQ0SN6TDdy28KVA_19_5"/>
      <w:bookmarkStart w:id="204" w:name="Tc_1bCRykVEKE6xeuLN3N1xbw_19_2"/>
      <w:bookmarkStart w:id="205" w:name="Tc_KEfqrR9OCki0IBv4ZP4CWg_19_0"/>
      <w:bookmarkStart w:id="206" w:name="Tc_XRT4rJvvAkmH7HFQ1lMWQg_18_0"/>
      <w:bookmarkStart w:id="207" w:name="Tc_Uo1Xj-jyf025D-BPxjikjA_17_0"/>
      <w:bookmarkStart w:id="208" w:name="Tc_JCSo7VBZukO2DCR-m8648A_16_10"/>
      <w:bookmarkStart w:id="209" w:name="Tc_6M5OX7Hl0kKUNlZ78DIKkQ_16_0"/>
      <w:bookmarkStart w:id="210" w:name="Tc__SiqUD1AIUGmb9Y9eayZUg_15_0"/>
      <w:bookmarkStart w:id="211" w:name="Tc_efa8g3i7Q0iTbblqg4IF2w_14_0"/>
      <w:bookmarkStart w:id="212" w:name="Tc_qJSaZGpweUyOR-Az53QuCA_13_0"/>
      <w:bookmarkStart w:id="213" w:name="Tc_sby6Xa6ETki1ezKHL19GiQ_12_0"/>
      <w:bookmarkStart w:id="214" w:name="Tc_-P-2CRf8AkW7H0HGlx8Niw_11_0"/>
      <w:bookmarkStart w:id="215" w:name="Tc_v5VZR7o_2USedgRKbYtcrA_10_0"/>
      <w:bookmarkStart w:id="216" w:name="Tc_Qa9Np_Ma-kiz6EGPnZhZcA_9_0"/>
      <w:bookmarkStart w:id="217" w:name="Tc_mdZTE4sOIUmiGgJ3vt_P8Q_8_0"/>
      <w:bookmarkStart w:id="218" w:name="Tc_LwnuS5yAAkKRrAkwPK8TqQ_7_0"/>
      <w:bookmarkStart w:id="219" w:name="Tc_NDRuZGzSHECVc_XaDK_DIQ_6_0"/>
      <w:bookmarkStart w:id="220" w:name="Tc_hX3t2mT9o06jebM-OSX9Ew_5_20"/>
      <w:bookmarkStart w:id="221" w:name="Tc_-HjgRIelH0CJPGI2DTpUPQ_5_16"/>
      <w:bookmarkStart w:id="222" w:name="Tc_Gn7flN2N0kiLxRvfDciYSA_5_14"/>
      <w:bookmarkStart w:id="223" w:name="Tc_cCsTHV9D_0i5cnfOSbUnAg_5_13"/>
      <w:bookmarkStart w:id="224" w:name="Tc_BlesPiMN7EaTa5Ai7Ay7LA_5_9"/>
      <w:bookmarkStart w:id="225" w:name="Tc_OfhHy66gUEuKocc_nhaDPg_5_5"/>
      <w:bookmarkStart w:id="226" w:name="Tc__IwCSp4Vy02zO0tXpULfeQ_5_3"/>
      <w:bookmarkStart w:id="227" w:name="Tc_9ZzGRVA2k0aKBWR2GjboCw_5_2"/>
      <w:bookmarkStart w:id="228" w:name="Tc_7ifyhuQbJkeA_XVNM40f3Q_5_0"/>
      <w:bookmarkStart w:id="229" w:name="Tc_JVzeJ5Do80mZ1VJ8ayLBBw_4_20"/>
      <w:bookmarkStart w:id="230" w:name="Tc_EMAw-8IN0UGb9Py5Cepnlw_4_16"/>
      <w:bookmarkStart w:id="231" w:name="Tc_xdH-zEuTwUSal-Q8IAsDIA_4_9"/>
      <w:bookmarkStart w:id="232" w:name="Tc_ZOfnO1cFA0mvrQSE1YOIAg_4_5"/>
      <w:bookmarkStart w:id="233" w:name="Tc_BfyXVeogsUuCe4kQCjNhxw_2_16"/>
      <w:bookmarkStart w:id="234" w:name="Tc_ZGW7Cy852Ei0tprrxC3vsQ_2_13"/>
      <w:bookmarkStart w:id="235" w:name="Tc_GLMChOTnrECHdhpNn9yElg_2_5"/>
      <w:bookmarkStart w:id="236" w:name="Tc_QrSi3b7IZU6RpB4SWh0YEA_2_2"/>
      <w:bookmarkStart w:id="237" w:name="Tc__VTUJLLWmkGih7MzHzo-jw_1_13"/>
      <w:bookmarkStart w:id="238" w:name="Tc_KIgd8DPFw06L8NYwc8lr5g_1_2"/>
      <w:bookmarkStart w:id="239" w:name="_da23ddce_c47a_4f23_b776_80bc537cdc95"/>
      <w:bookmarkStart w:id="240" w:name="_f1cbbfda_64e2_4b22_bf42_a376a02b6652"/>
      <w:bookmarkStart w:id="241" w:name="Tc_RHLjsQI5C0GsCwdfSCI9Lg_27_0"/>
      <w:bookmarkStart w:id="242" w:name="Tc_NaInwmABl0qedP5veFM2OQ_26_0"/>
      <w:bookmarkStart w:id="243" w:name="Tc_bSWvtmIWy0u614xHPGQUmA_25_20"/>
      <w:bookmarkStart w:id="244" w:name="Tc_NMDm-t3TxUeVvnT6cAcdyg_25_16"/>
      <w:bookmarkStart w:id="245" w:name="Tc_dg_2ZuiYfUOZuFjXOGtMZA_25_13"/>
      <w:bookmarkStart w:id="246" w:name="Tc_Ne6RRG6glEeLstcwg_yKlQ_25_9"/>
      <w:bookmarkStart w:id="247" w:name="Tc_R2O9HoBIhEOzgf-PKwalHQ_25_5"/>
      <w:bookmarkStart w:id="248" w:name="Tc_vISfrN1m2kupvyR1ixYnaA_25_2"/>
      <w:bookmarkStart w:id="249" w:name="Tc_Rf4dJR9esUSlQMMOCH324A_25_0"/>
      <w:bookmarkStart w:id="250" w:name="Tc_9FA5tFnSRECG-fvN5fCCiw_24_20"/>
      <w:bookmarkStart w:id="251" w:name="Tc_aWfUftUF3U-zew7fmnxGMw_24_16"/>
      <w:bookmarkStart w:id="252" w:name="Tc_duJn8iJw6E2RcrSEbKgDdg_24_13"/>
      <w:bookmarkStart w:id="253" w:name="Tc_085WTKtNx0e5FigAnswOuQ_24_9"/>
      <w:bookmarkStart w:id="254" w:name="Tc_zgkIFQ5AfE6XopfqHUcCKw_24_5"/>
      <w:bookmarkStart w:id="255" w:name="Tc_knxz_rrQYU-8g0JSZL1Svg_24_2"/>
      <w:bookmarkStart w:id="256" w:name="Tc_2ddwY0mY70ah1aQjlvU9BQ_24_0"/>
      <w:bookmarkStart w:id="257" w:name="Tc_hIv1NAdHFE-HwmWcqH1EGw_22_20"/>
      <w:bookmarkStart w:id="258" w:name="Tc_Lt63EuwNL02Wsgt6B7Y5BA_22_16"/>
      <w:bookmarkStart w:id="259" w:name="Tc_RoWCZoE8zECxoS4nsOSsKw_22_13"/>
      <w:bookmarkStart w:id="260" w:name="Tc_rmvMwF1zAEOEteMpmQzw3g_22_9"/>
      <w:bookmarkStart w:id="261" w:name="Tc_jEOtftqCCEqHIeLirnv0nQ_22_5"/>
      <w:bookmarkStart w:id="262" w:name="Tc_CFLsn6IuA0ip3VKVtnmOPQ_22_2"/>
      <w:bookmarkStart w:id="263" w:name="Tc_4tcSCKfRPUSAz4yR5ydqBA_22_0"/>
      <w:bookmarkStart w:id="264" w:name="Tc_ODetbjfZv0acv7hC37FogA_21_0"/>
      <w:bookmarkStart w:id="265" w:name="Tc_IcN6PprMQUW65-n5bC21rg_20_0"/>
      <w:bookmarkStart w:id="266" w:name="Tc_f35obtlx0EybK8NHf6Ukjg_19_20"/>
      <w:bookmarkStart w:id="267" w:name="Tc_Ck57Xveoa0y8YVyn6NfwDg_19_16"/>
      <w:bookmarkStart w:id="268" w:name="Tc_s0aouB5wJk2l1hyyqT4yww_19_13"/>
      <w:bookmarkStart w:id="269" w:name="Tc_P8YvsXak70WZz4nXW51cMw_19_9"/>
      <w:bookmarkStart w:id="270" w:name="Tc_1gSjJlPGQ0SN6TDdy28KVA_19_5"/>
      <w:bookmarkStart w:id="271" w:name="Tc_1bCRykVEKE6xeuLN3N1xbw_19_2"/>
      <w:bookmarkStart w:id="272" w:name="Tc_KEfqrR9OCki0IBv4ZP4CWg_19_0"/>
      <w:bookmarkStart w:id="273" w:name="Tc_XRT4rJvvAkmH7HFQ1lMWQg_18_0"/>
      <w:bookmarkStart w:id="274" w:name="Tc_Uo1Xj-jyf025D-BPxjikjA_17_0"/>
      <w:bookmarkStart w:id="275" w:name="Tc_JCSo7VBZukO2DCR-m8648A_16_10"/>
      <w:bookmarkStart w:id="276" w:name="Tc_6M5OX7Hl0kKUNlZ78DIKkQ_16_0"/>
      <w:bookmarkStart w:id="277" w:name="Tc__SiqUD1AIUGmb9Y9eayZUg_15_0"/>
      <w:bookmarkStart w:id="278" w:name="Tc_efa8g3i7Q0iTbblqg4IF2w_14_0"/>
      <w:bookmarkStart w:id="279" w:name="Tc_qJSaZGpweUyOR-Az53QuCA_13_0"/>
      <w:bookmarkStart w:id="280" w:name="Tc_sby6Xa6ETki1ezKHL19GiQ_12_0"/>
      <w:bookmarkStart w:id="281" w:name="Tc_-P-2CRf8AkW7H0HGlx8Niw_11_0"/>
      <w:bookmarkStart w:id="282" w:name="Tc_v5VZR7o_2USedgRKbYtcrA_10_0"/>
      <w:bookmarkStart w:id="283" w:name="Tc_Qa9Np_Ma-kiz6EGPnZhZcA_9_0"/>
      <w:bookmarkStart w:id="284" w:name="Tc_mdZTE4sOIUmiGgJ3vt_P8Q_8_0"/>
      <w:bookmarkStart w:id="285" w:name="Tc_LwnuS5yAAkKRrAkwPK8TqQ_7_0"/>
      <w:bookmarkStart w:id="286" w:name="Tc_NDRuZGzSHECVc_XaDK_DIQ_6_0"/>
      <w:bookmarkStart w:id="287" w:name="Tc_hX3t2mT9o06jebM-OSX9Ew_5_20"/>
      <w:bookmarkStart w:id="288" w:name="Tc_-HjgRIelH0CJPGI2DTpUPQ_5_16"/>
      <w:bookmarkStart w:id="289" w:name="Tc_Gn7flN2N0kiLxRvfDciYSA_5_14"/>
      <w:bookmarkStart w:id="290" w:name="Tc_cCsTHV9D_0i5cnfOSbUnAg_5_13"/>
      <w:bookmarkStart w:id="291" w:name="Tc_BlesPiMN7EaTa5Ai7Ay7LA_5_9"/>
      <w:bookmarkStart w:id="292" w:name="Tc_OfhHy66gUEuKocc_nhaDPg_5_5"/>
      <w:bookmarkStart w:id="293" w:name="Tc__IwCSp4Vy02zO0tXpULfeQ_5_3"/>
      <w:bookmarkStart w:id="294" w:name="Tc_9ZzGRVA2k0aKBWR2GjboCw_5_2"/>
      <w:bookmarkStart w:id="295" w:name="Tc_7ifyhuQbJkeA_XVNM40f3Q_5_0"/>
      <w:bookmarkStart w:id="296" w:name="Tc_JVzeJ5Do80mZ1VJ8ayLBBw_4_20"/>
      <w:bookmarkStart w:id="297" w:name="Tc_EMAw-8IN0UGb9Py5Cepnlw_4_16"/>
      <w:bookmarkStart w:id="298" w:name="Tc_xdH-zEuTwUSal-Q8IAsDIA_4_9"/>
      <w:bookmarkStart w:id="299" w:name="Tc_ZOfnO1cFA0mvrQSE1YOIAg_4_5"/>
      <w:bookmarkStart w:id="300" w:name="Tc_BfyXVeogsUuCe4kQCjNhxw_2_16"/>
      <w:bookmarkStart w:id="301" w:name="Tc_ZGW7Cy852Ei0tprrxC3vsQ_2_13"/>
      <w:bookmarkStart w:id="302" w:name="Tc_GLMChOTnrECHdhpNn9yElg_2_5"/>
      <w:bookmarkStart w:id="303" w:name="Tc_QrSi3b7IZU6RpB4SWh0YEA_2_2"/>
      <w:bookmarkStart w:id="304" w:name="Tc__VTUJLLWmkGih7MzHzo-jw_1_13"/>
      <w:bookmarkStart w:id="305" w:name="Tc_KIgd8DPFw06L8NYwc8lr5g_1_2"/>
      <w:bookmarkStart w:id="306" w:name="_da23ddce_c47a_4f23_b776_80bc537cdc95"/>
      <w:bookmarkStart w:id="307" w:name="_f1cbbfda_64e2_4b22_bf42_a376a02b6652"/>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W w:w="10205" w:type="dxa"/>
        <w:jc w:val="left"/>
        <w:tblInd w:w="0" w:type="dxa"/>
        <w:tblLayout w:type="fixed"/>
        <w:tblCellMar>
          <w:top w:w="0" w:type="dxa"/>
          <w:left w:w="0" w:type="dxa"/>
          <w:bottom w:w="0" w:type="dxa"/>
          <w:right w:w="0" w:type="dxa"/>
        </w:tblCellMar>
      </w:tblPr>
      <w:tblGrid>
        <w:gridCol w:w="1816"/>
        <w:gridCol w:w="326"/>
        <w:gridCol w:w="196"/>
        <w:gridCol w:w="916"/>
        <w:gridCol w:w="109"/>
        <w:gridCol w:w="225"/>
        <w:gridCol w:w="1052"/>
        <w:gridCol w:w="109"/>
        <w:gridCol w:w="109"/>
        <w:gridCol w:w="229"/>
        <w:gridCol w:w="812"/>
        <w:gridCol w:w="109"/>
        <w:gridCol w:w="326"/>
        <w:gridCol w:w="196"/>
        <w:gridCol w:w="916"/>
        <w:gridCol w:w="109"/>
        <w:gridCol w:w="225"/>
        <w:gridCol w:w="1052"/>
        <w:gridCol w:w="109"/>
        <w:gridCol w:w="109"/>
        <w:gridCol w:w="226"/>
        <w:gridCol w:w="929"/>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153160" cy="175260"/>
                      <wp:effectExtent l="0" t="0" r="0" b="0"/>
                      <wp:wrapNone/>
                      <wp:docPr id="12" name="Frame1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2875" cy="175260"/>
                      <wp:effectExtent l="0" t="0" r="0" b="0"/>
                      <wp:wrapNone/>
                      <wp:docPr id="17" name="Frame1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8020" cy="175260"/>
                      <wp:effectExtent l="0" t="0" r="0" b="0"/>
                      <wp:wrapNone/>
                      <wp:docPr id="18" name="Frame18"/>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5415" cy="175260"/>
                      <wp:effectExtent l="0" t="0" r="0" b="0"/>
                      <wp:wrapNone/>
                      <wp:docPr id="21" name="Frame2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15620" cy="175260"/>
                      <wp:effectExtent l="0" t="0" r="0" b="0"/>
                      <wp:wrapNone/>
                      <wp:docPr id="22" name="Frame2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81660" cy="175260"/>
                      <wp:effectExtent l="0" t="0" r="0" b="0"/>
                      <wp:wrapNone/>
                      <wp:docPr id="26" name="Frame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2875" cy="175260"/>
                      <wp:effectExtent l="0" t="0" r="0" b="0"/>
                      <wp:wrapNone/>
                      <wp:docPr id="28" name="Frame2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8020" cy="175260"/>
                      <wp:effectExtent l="0" t="0" r="0" b="0"/>
                      <wp:wrapNone/>
                      <wp:docPr id="29" name="Frame29"/>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2"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89915" cy="175260"/>
                      <wp:effectExtent l="0" t="0" r="0" b="0"/>
                      <wp:wrapNone/>
                      <wp:docPr id="33" name="Frame33"/>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75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871"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to July 30</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 to July 30</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 and 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929"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2,774</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8,404</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7,585</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2,916</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4,851</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8,892</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13,047</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revenue and 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5,721</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17,922</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22,013</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(5,721)</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(6,206)</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(17,922)</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(21,680)</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929"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notes fair value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(3,508)</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(1,907)</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(1,891)</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2,059</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 fair value adjustment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shd w:fill="CCEEFF" w:val="clear"/>
            <w:vAlign w:val="center"/>
          </w:tcPr>
          <w:p>
            <w:pPr>
              <w:pStyle w:val="TableContents"/>
              <w:bidi w:val="0"/>
              <w:spacing w:before="0" w:after="0"/>
              <w:ind w:left="0" w:right="0" w:hanging="0"/>
              <w:jc w:val="righ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(2,131)</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(1,818)</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(expense)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(loss) income,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(4,397)</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(3,856)</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(10,118)</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(8,235)</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(21,778)</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(21,278)</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 income: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righ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w:t>
            </w:r>
          </w:p>
        </w:tc>
        <w:tc>
          <w:tcPr>
            <w:tcW w:w="1052"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c>
          <w:tcPr>
            <w:tcW w:w="929"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Comprehensive (loss)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(10,114)</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(8,237)</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(21,874)</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(21,275)</w:t>
            </w:r>
          </w:p>
        </w:tc>
      </w:tr>
      <w:tr>
        <w:trPr/>
        <w:tc>
          <w:tcPr>
            <w:tcW w:w="18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Basic net (loss) income per share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(0.66)</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(26.08)</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Diluted net (loss)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(0.66)</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(26.08)</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shares outstanding – 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15,381,565</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14,057,636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987,810</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15,378,543</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14,057,636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815,854</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shares outstanding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15,381,565</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16,057,636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987,810</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15,378,543</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16,057,636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815,854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bookmarkStart w:id="308" w:name="SOE"/>
      <w:bookmarkStart w:id="309" w:name="_c9e0b9c1_c10d_426b_b560_276c6cbbf359"/>
      <w:bookmarkEnd w:id="308"/>
      <w:bookmarkEnd w:id="309"/>
      <w:r>
        <w:rPr>
          <w:rFonts w:ascii="Times New Roman;Times;serif" w:hAnsi="Times New Roman;Times;serif"/>
          <w:b/>
          <w:sz w:val="16"/>
        </w:rPr>
        <w:t>Adagio Medical Holdings, Inc.</w:t>
      </w:r>
    </w:p>
    <w:p>
      <w:pPr>
        <w:pStyle w:val="TextBody"/>
        <w:bidi w:val="0"/>
        <w:spacing w:before="0" w:after="0"/>
        <w:ind w:left="0" w:right="0" w:hanging="0"/>
        <w:jc w:val="center"/>
        <w:rPr>
          <w:rFonts w:ascii="Times New Roman;Times;serif" w:hAnsi="Times New Roman;Times;serif"/>
          <w:b/>
          <w:sz w:val="16"/>
        </w:rPr>
      </w:pPr>
      <w:bookmarkStart w:id="310" w:name="StatementsofConvertiblePreferredStockand"/>
      <w:bookmarkEnd w:id="310"/>
      <w:r>
        <w:rPr>
          <w:rFonts w:ascii="Times New Roman;Times;serif" w:hAnsi="Times New Roman;Times;serif"/>
          <w:b/>
          <w:sz w:val="16"/>
        </w:rPr>
        <w:t xml:space="preserve">Condensed Consolidated Statements of Convertible Preferred Stock and Stockholders’ Equity (Deficit) </w:t>
      </w:r>
    </w:p>
    <w:p>
      <w:pPr>
        <w:pStyle w:val="TextBody"/>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share data)</w:t>
      </w:r>
    </w:p>
    <w:p>
      <w:pPr>
        <w:pStyle w:val="TextBody"/>
        <w:bidi w:val="0"/>
        <w:spacing w:before="0" w:after="120"/>
        <w:ind w:left="0" w:right="0" w:hanging="0"/>
        <w:jc w:val="center"/>
        <w:rPr>
          <w:rFonts w:ascii="Times New Roman;Times;serif" w:hAnsi="Times New Roman;Times;serif"/>
          <w:i/>
          <w:sz w:val="16"/>
        </w:rPr>
      </w:pPr>
      <w:r>
        <w:rPr>
          <w:rFonts w:ascii="Times New Roman;Times;serif" w:hAnsi="Times New Roman;Times;serif"/>
          <w:i/>
          <w:sz w:val="16"/>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1" w:name="Tc_FS_6kRmidkuTpUc7KzzbDA_22_22"/>
      <w:bookmarkStart w:id="312" w:name="Tc_ReBCIMFEeEqVlnJLsBRO7g_22_19"/>
      <w:bookmarkStart w:id="313" w:name="Tc_m0LHg_teBkeI9HRzm-J7dw_22_16"/>
      <w:bookmarkStart w:id="314" w:name="Tc_efmsLRlHek-TxDM4mY8cUw_22_13"/>
      <w:bookmarkStart w:id="315" w:name="Tc_VhglzakLi02l7u07LW90OA_22_10"/>
      <w:bookmarkStart w:id="316" w:name="Tc_B0AUbysfZUGg5ubEAkYn2Q_22_5"/>
      <w:bookmarkStart w:id="317" w:name="Tc_n2c0zwYbZk6b0J0SUYZUrw_22_4"/>
      <w:bookmarkStart w:id="318" w:name="Tc_aAN8j0N0LUWutenuM_A8ZQ_22_2"/>
      <w:bookmarkStart w:id="319" w:name="Tc_JHwsz4rpDEKcWSXXe3Dk6w_22_0"/>
      <w:bookmarkStart w:id="320" w:name="Tc_DSCIIuveXkmqTLp8DNqD2A_21_20"/>
      <w:bookmarkStart w:id="321" w:name="Tc_d0fjItwByEKs6iHgOvs2Rw_21_14"/>
      <w:bookmarkStart w:id="322" w:name="Tc_wn99hrpRhEadGq_DiTYyDg_21_11"/>
      <w:bookmarkStart w:id="323" w:name="Tc_4MNNmcx1DkiN0lVOKL7HTw_21_8"/>
      <w:bookmarkStart w:id="324" w:name="Tc_D64hOKLkd0aCv_vGGZmf3A_21_5"/>
      <w:bookmarkStart w:id="325" w:name="Tc_alcRXJHKd0utIPWHxR_Kgg_21_2"/>
      <w:bookmarkStart w:id="326" w:name="Tc_ffi4spZ7eU-cuZvKwZbx2w_21_0"/>
      <w:bookmarkStart w:id="327" w:name="Tc_hZ38-aHj4kylJyd5hSIWHg_20_20"/>
      <w:bookmarkStart w:id="328" w:name="Tc_MFGYSmqkCEe13NsJ6ldmIQ_20_17"/>
      <w:bookmarkStart w:id="329" w:name="Tc_wGhoP09aZE6JjhE-PGVhdg_20_11"/>
      <w:bookmarkStart w:id="330" w:name="Tc_Yez9PvkjnESWoGVxe85r6Q_20_8"/>
      <w:bookmarkStart w:id="331" w:name="Tc_pXQLM0L04UedJq-tKDur3A_20_5"/>
      <w:bookmarkStart w:id="332" w:name="Tc_MahVRCIW70SVrvVHhds-vA_20_2"/>
      <w:bookmarkStart w:id="333" w:name="Tc_F1YPIKdYBEqgXrvcYeKu_A_20_0"/>
      <w:bookmarkStart w:id="334" w:name="Tc_aAErAnyPvkOopaXvkylRYg_19_23"/>
      <w:bookmarkStart w:id="335" w:name="Tc_IVUsahc6VkeOAjNVStSspA_19_20"/>
      <w:bookmarkStart w:id="336" w:name="Tc_ZyM_7IxeG0O1jucWNbr31g_19_17"/>
      <w:bookmarkStart w:id="337" w:name="Tc_XR6nYbxT4kCenmywbQFgVg_19_14"/>
      <w:bookmarkStart w:id="338" w:name="Tc_YhP-i7wa8EyELMTOuI-ZzA_19_11"/>
      <w:bookmarkStart w:id="339" w:name="Tc_8eWpp_bT00u5_dAHygl7FA_19_5"/>
      <w:bookmarkStart w:id="340" w:name="Tc__olBrNCuz0y5_71_ufzaxQ_19_2"/>
      <w:bookmarkStart w:id="341" w:name="Tc_ZIOmSYDYMUez0dJmw90kRg_19_0"/>
      <w:bookmarkStart w:id="342" w:name="Tc_C0EbksyNYEC2coVcrpN8Lg_18_14"/>
      <w:bookmarkStart w:id="343" w:name="Tc_dAluzgRErEO_D57G3K5YZw_18_11"/>
      <w:bookmarkStart w:id="344" w:name="Tc_Hc6cxPHzcEuY-k5L88Vf4A_18_8"/>
      <w:bookmarkStart w:id="345" w:name="Tc_woPZe5QY7kWDyVlQtQX81g_18_5"/>
      <w:bookmarkStart w:id="346" w:name="Tc_J3jgnOkoZ0-SHGNiB9t3ZQ_18_2"/>
      <w:bookmarkStart w:id="347" w:name="Tc_xSbJ4KHrUUa-rE7uQIxwAw_18_0"/>
      <w:bookmarkStart w:id="348" w:name="Tc_BXRN6v-kM06NAIaT9ZkZdg_17_22"/>
      <w:bookmarkStart w:id="349" w:name="Tc_XZN-AYOR7E2bcUhLeLvbWQ_17_19"/>
      <w:bookmarkStart w:id="350" w:name="Tc_pO3S69c8l0axNJhbLTaGiA_17_16"/>
      <w:bookmarkStart w:id="351" w:name="Tc_F2cPqiGJb0OMDUMl1PxOlA_17_13"/>
      <w:bookmarkStart w:id="352" w:name="Tc_S65oYuZebE2isb0VHrjZ2Q_17_10"/>
      <w:bookmarkStart w:id="353" w:name="Tc_rMEHW2NsbkSS3RTYfn7l7A_17_5"/>
      <w:bookmarkStart w:id="354" w:name="Tc_4YQI4N5AM0e0r5yzSYWsaQ_17_4"/>
      <w:bookmarkStart w:id="355" w:name="Tc_AY98y-JBHki_NUzve4be7g_17_2"/>
      <w:bookmarkStart w:id="356" w:name="Tc_WFLVVHdnE0irihwknOi4mQ_17_0"/>
      <w:bookmarkStart w:id="357" w:name="Tc_c0uYaHKJD0GtXoJdDWhzqA_16_22"/>
      <w:bookmarkStart w:id="358" w:name="Tc_O_241nrmn0-mZPTydexFLw_16_19"/>
      <w:bookmarkStart w:id="359" w:name="Tc_pSncsmGwE0C2iYilg66pag_16_16"/>
      <w:bookmarkStart w:id="360" w:name="Tc_RYgHm8V5nUCRa00cB_vI1w_16_13"/>
      <w:bookmarkStart w:id="361" w:name="Tc_33he_BFMIkyrQx-GCS1pXg_16_10"/>
      <w:bookmarkStart w:id="362" w:name="Tc_cw9xhFZkqEuNq9hJ2zBddg_16_8"/>
      <w:bookmarkStart w:id="363" w:name="Tc_u8hqxODLPkWflS9v--2ttw_16_4"/>
      <w:bookmarkStart w:id="364" w:name="Tc_SYleiHYkMEG41SAdx5OB7A_16_2"/>
      <w:bookmarkStart w:id="365" w:name="Tc_aE9n6kso90-PGP40Auuy4g_15_22"/>
      <w:bookmarkStart w:id="366" w:name="Tc_fa6ezbbXvE-lHTkQE0oZ9A_15_19"/>
      <w:bookmarkStart w:id="367" w:name="Tc_DWiDS776M0iX7DS2foqYKA_15_16"/>
      <w:bookmarkStart w:id="368" w:name="Tc_8UXW646uj0mZgk4O2tGi6w_15_13"/>
      <w:bookmarkStart w:id="369" w:name="Tc_Vn23oA0YnE6OR0cKejY4kg_15_8"/>
      <w:bookmarkStart w:id="370" w:name="Tc_yEvXd11yMUCGqDusl84wBA_15_2"/>
      <w:bookmarkStart w:id="371" w:name="Tc_on85yP8ie0KS6VqDGY-K_w_14_22"/>
      <w:bookmarkStart w:id="372" w:name="Tc_VK4Dm70QeEup_0N1yaDWog_14_19"/>
      <w:bookmarkStart w:id="373" w:name="Tc_Qe6btRlLkEqGjSqLxSxedg_14_13"/>
      <w:bookmarkStart w:id="374" w:name="Tc_9tBiL4IaMU6vcR6CEL3Cjw_13_19"/>
      <w:bookmarkStart w:id="375" w:name="Tc_JY89bzot2Uqh5WXD3GhEpg_12_2"/>
      <w:bookmarkStart w:id="376" w:name="Tc_5V7lML0Oc0m1YE-nQ_dAFg_10_22"/>
      <w:bookmarkStart w:id="377" w:name="Tc_d4zuYtceJESkCbudZklu-w_10_19"/>
      <w:bookmarkStart w:id="378" w:name="Tc_NUVmbraKy0e7YpVUQfVSgQ_10_16"/>
      <w:bookmarkStart w:id="379" w:name="Tc_ItGpbMVSzkOiIuejBhXz8g_10_13"/>
      <w:bookmarkStart w:id="380" w:name="Tc_p5ExvLzcZU6fKJKNtcI_oQ_10_10"/>
      <w:bookmarkStart w:id="381" w:name="Tc_lQs_a5mIyUeSeyGkBJxUaw_10_5"/>
      <w:bookmarkStart w:id="382" w:name="Tc_6yS7KmMjYkWzMkZg8d3RhA_10_4"/>
      <w:bookmarkStart w:id="383" w:name="Tc_l1wAoLyDqU2xn40EJFDaEw_10_2"/>
      <w:bookmarkStart w:id="384" w:name="Tc_eZekqlKc40K8vDBAgfvQIg_10_0"/>
      <w:bookmarkStart w:id="385" w:name="Tc_WE__6WEdUkeLPSeHsDnAaQ_9_20"/>
      <w:bookmarkStart w:id="386" w:name="Tc_iUG1pilW0EOXq8Q4kSZWag_9_14"/>
      <w:bookmarkStart w:id="387" w:name="Tc_rWuVnZBuQ0a1YVN2Q2Dhzg_9_11"/>
      <w:bookmarkStart w:id="388" w:name="Tc_IZzQCDh-MkuE7iRSVTR19A_9_8"/>
      <w:bookmarkStart w:id="389" w:name="Tc_NN6dC_pxdUOYMB1aw62GFA_9_5"/>
      <w:bookmarkStart w:id="390" w:name="Tc_dahXs2505keFLAnTYfhZiA_9_2"/>
      <w:bookmarkStart w:id="391" w:name="Tc_h8qpRMZgJUiT8dBGnnENuw_9_0"/>
      <w:bookmarkStart w:id="392" w:name="Tc_-DG6x8WCcUCbfvjGu9VyhA_8_20"/>
      <w:bookmarkStart w:id="393" w:name="Tc_S25iV8ELikip_5PK_zFXvA_8_17"/>
      <w:bookmarkStart w:id="394" w:name="Tc_vin7gKLxzkOu-9SZ8RqSQw_8_11"/>
      <w:bookmarkStart w:id="395" w:name="Tc_-D8aOJjUSkaDsWT6IkAHUg_8_8"/>
      <w:bookmarkStart w:id="396" w:name="Tc_F4pfLmXjek2TW4kf-3dhvw_8_5"/>
      <w:bookmarkStart w:id="397" w:name="Tc__7jdd85bcEGgyrDPTCfovA_8_2"/>
      <w:bookmarkStart w:id="398" w:name="Tc_A4pLVnxyvU2qmwKRTpnVWA_8_0"/>
      <w:bookmarkStart w:id="399" w:name="Tc_nFEQYXu7U0CykOdsMaPKFw_7_14"/>
      <w:bookmarkStart w:id="400" w:name="Tc_LtvTyyhRN0-WsaFcQT927Q_7_11"/>
      <w:bookmarkStart w:id="401" w:name="Tc_1RCdstx4r0mkWMPwALBE6A_7_8"/>
      <w:bookmarkStart w:id="402" w:name="Tc_OixBowulXEmPTFgPe9cU0Q_7_5"/>
      <w:bookmarkStart w:id="403" w:name="Tc_fIk9VhJeAk6C5IllLWJQgw_7_2"/>
      <w:bookmarkStart w:id="404" w:name="Tc_7cD7HfaB3UKzQg4pPEgyoQ_7_0"/>
      <w:bookmarkStart w:id="405" w:name="Tc_e_GHgWFpqU2vkZPHy5ZgLQ_6_22"/>
      <w:bookmarkStart w:id="406" w:name="Tc_PZn6z-pkFEqkfAGVAqP7aA_6_19"/>
      <w:bookmarkStart w:id="407" w:name="Tc_xrCShgvGykyviddeAz7eMQ_6_16"/>
      <w:bookmarkStart w:id="408" w:name="Tc_7aB520HUhUKsX330lWn1HA_6_13"/>
      <w:bookmarkStart w:id="409" w:name="Tc_SilRCNhSjkKOB1Se9Ewv_A_6_10"/>
      <w:bookmarkStart w:id="410" w:name="Tc_PpXzpKSaKk2n6YJ-gHK8_w_6_5"/>
      <w:bookmarkStart w:id="411" w:name="Tc_stL_JA_x80qR_yoBK9KZ_w_6_4"/>
      <w:bookmarkStart w:id="412" w:name="Tc_G4yIIz1kf0akspZMi5mwuA_6_2"/>
      <w:bookmarkStart w:id="413" w:name="Tc_RlXJuRLRJU2K4pbhN-e1Bg_6_0"/>
      <w:bookmarkStart w:id="414" w:name="Tc_qFnaIrHUWE-fETb7lc4Cug_5_22"/>
      <w:bookmarkStart w:id="415" w:name="Tc_Q1TxCJlPQUWFyNeJOKUo1A_5_19"/>
      <w:bookmarkStart w:id="416" w:name="Tc_dkxVQUzLBU6VNjnSU2N1fA_5_16"/>
      <w:bookmarkStart w:id="417" w:name="Tc_n3tPhFTW606QdAhiHTKZIw_5_13"/>
      <w:bookmarkStart w:id="418" w:name="Tc_Ar-4FF0iQ0uvnF2ksCaT3w_5_10"/>
      <w:bookmarkStart w:id="419" w:name="Tc_oqWmzQvn1EeuPSUrVKF7BA_5_8"/>
      <w:bookmarkStart w:id="420" w:name="Tc_43Ay3eEGaEOQH7ezKoHZ3A_5_4"/>
      <w:bookmarkStart w:id="421" w:name="Tc_oym-N6q6YE2ill5z6AyOmQ_5_2"/>
      <w:bookmarkStart w:id="422" w:name="Tc_1JtMC1Y5jkWCDi5PKDXrpg_4_22"/>
      <w:bookmarkStart w:id="423" w:name="Tc_8AnKbWJGxEW4crdM7zcrjg_4_19"/>
      <w:bookmarkStart w:id="424" w:name="Tc_hRJCkgc1w0qslnz6tUZIPg_4_16"/>
      <w:bookmarkStart w:id="425" w:name="Tc_7So-iL3rK02_-ERiz8EblA_4_13"/>
      <w:bookmarkStart w:id="426" w:name="Tc_ReJUhQn0s0OXa5n2ufwOZQ_4_8"/>
      <w:bookmarkStart w:id="427" w:name="Tc_VKQyKVYD0kiakeKybjuANQ_4_2"/>
      <w:bookmarkStart w:id="428" w:name="Tc_sldSNf_LdUi3CQHbj20K7Q_3_22"/>
      <w:bookmarkStart w:id="429" w:name="Tc_cN8d2BOeiUqR5NdEcfaUxw_3_19"/>
      <w:bookmarkStart w:id="430" w:name="Tc_HZILxOjd9UOgv3ZFvHW6Ig_3_13"/>
      <w:bookmarkStart w:id="431" w:name="Tc_ZMsoIm3XcUu3UOuFmBfKEQ_2_19"/>
      <w:bookmarkStart w:id="432" w:name="Tc_uiSE6ptEOE-e1zE-LSAJ6w_1_2"/>
      <w:bookmarkStart w:id="433" w:name="_51e96fad_a067_447f_a39c_77d8eb95b069"/>
      <w:bookmarkStart w:id="434" w:name="Tc_FS_6kRmidkuTpUc7KzzbDA_22_22"/>
      <w:bookmarkStart w:id="435" w:name="Tc_ReBCIMFEeEqVlnJLsBRO7g_22_19"/>
      <w:bookmarkStart w:id="436" w:name="Tc_m0LHg_teBkeI9HRzm-J7dw_22_16"/>
      <w:bookmarkStart w:id="437" w:name="Tc_efmsLRlHek-TxDM4mY8cUw_22_13"/>
      <w:bookmarkStart w:id="438" w:name="Tc_VhglzakLi02l7u07LW90OA_22_10"/>
      <w:bookmarkStart w:id="439" w:name="Tc_B0AUbysfZUGg5ubEAkYn2Q_22_5"/>
      <w:bookmarkStart w:id="440" w:name="Tc_n2c0zwYbZk6b0J0SUYZUrw_22_4"/>
      <w:bookmarkStart w:id="441" w:name="Tc_aAN8j0N0LUWutenuM_A8ZQ_22_2"/>
      <w:bookmarkStart w:id="442" w:name="Tc_JHwsz4rpDEKcWSXXe3Dk6w_22_0"/>
      <w:bookmarkStart w:id="443" w:name="Tc_DSCIIuveXkmqTLp8DNqD2A_21_20"/>
      <w:bookmarkStart w:id="444" w:name="Tc_d0fjItwByEKs6iHgOvs2Rw_21_14"/>
      <w:bookmarkStart w:id="445" w:name="Tc_wn99hrpRhEadGq_DiTYyDg_21_11"/>
      <w:bookmarkStart w:id="446" w:name="Tc_4MNNmcx1DkiN0lVOKL7HTw_21_8"/>
      <w:bookmarkStart w:id="447" w:name="Tc_D64hOKLkd0aCv_vGGZmf3A_21_5"/>
      <w:bookmarkStart w:id="448" w:name="Tc_alcRXJHKd0utIPWHxR_Kgg_21_2"/>
      <w:bookmarkStart w:id="449" w:name="Tc_ffi4spZ7eU-cuZvKwZbx2w_21_0"/>
      <w:bookmarkStart w:id="450" w:name="Tc_hZ38-aHj4kylJyd5hSIWHg_20_20"/>
      <w:bookmarkStart w:id="451" w:name="Tc_MFGYSmqkCEe13NsJ6ldmIQ_20_17"/>
      <w:bookmarkStart w:id="452" w:name="Tc_wGhoP09aZE6JjhE-PGVhdg_20_11"/>
      <w:bookmarkStart w:id="453" w:name="Tc_Yez9PvkjnESWoGVxe85r6Q_20_8"/>
      <w:bookmarkStart w:id="454" w:name="Tc_pXQLM0L04UedJq-tKDur3A_20_5"/>
      <w:bookmarkStart w:id="455" w:name="Tc_MahVRCIW70SVrvVHhds-vA_20_2"/>
      <w:bookmarkStart w:id="456" w:name="Tc_F1YPIKdYBEqgXrvcYeKu_A_20_0"/>
      <w:bookmarkStart w:id="457" w:name="Tc_aAErAnyPvkOopaXvkylRYg_19_23"/>
      <w:bookmarkStart w:id="458" w:name="Tc_IVUsahc6VkeOAjNVStSspA_19_20"/>
      <w:bookmarkStart w:id="459" w:name="Tc_ZyM_7IxeG0O1jucWNbr31g_19_17"/>
      <w:bookmarkStart w:id="460" w:name="Tc_XR6nYbxT4kCenmywbQFgVg_19_14"/>
      <w:bookmarkStart w:id="461" w:name="Tc_YhP-i7wa8EyELMTOuI-ZzA_19_11"/>
      <w:bookmarkStart w:id="462" w:name="Tc_8eWpp_bT00u5_dAHygl7FA_19_5"/>
      <w:bookmarkStart w:id="463" w:name="Tc__olBrNCuz0y5_71_ufzaxQ_19_2"/>
      <w:bookmarkStart w:id="464" w:name="Tc_ZIOmSYDYMUez0dJmw90kRg_19_0"/>
      <w:bookmarkStart w:id="465" w:name="Tc_C0EbksyNYEC2coVcrpN8Lg_18_14"/>
      <w:bookmarkStart w:id="466" w:name="Tc_dAluzgRErEO_D57G3K5YZw_18_11"/>
      <w:bookmarkStart w:id="467" w:name="Tc_Hc6cxPHzcEuY-k5L88Vf4A_18_8"/>
      <w:bookmarkStart w:id="468" w:name="Tc_woPZe5QY7kWDyVlQtQX81g_18_5"/>
      <w:bookmarkStart w:id="469" w:name="Tc_J3jgnOkoZ0-SHGNiB9t3ZQ_18_2"/>
      <w:bookmarkStart w:id="470" w:name="Tc_xSbJ4KHrUUa-rE7uQIxwAw_18_0"/>
      <w:bookmarkStart w:id="471" w:name="Tc_BXRN6v-kM06NAIaT9ZkZdg_17_22"/>
      <w:bookmarkStart w:id="472" w:name="Tc_XZN-AYOR7E2bcUhLeLvbWQ_17_19"/>
      <w:bookmarkStart w:id="473" w:name="Tc_pO3S69c8l0axNJhbLTaGiA_17_16"/>
      <w:bookmarkStart w:id="474" w:name="Tc_F2cPqiGJb0OMDUMl1PxOlA_17_13"/>
      <w:bookmarkStart w:id="475" w:name="Tc_S65oYuZebE2isb0VHrjZ2Q_17_10"/>
      <w:bookmarkStart w:id="476" w:name="Tc_rMEHW2NsbkSS3RTYfn7l7A_17_5"/>
      <w:bookmarkStart w:id="477" w:name="Tc_4YQI4N5AM0e0r5yzSYWsaQ_17_4"/>
      <w:bookmarkStart w:id="478" w:name="Tc_AY98y-JBHki_NUzve4be7g_17_2"/>
      <w:bookmarkStart w:id="479" w:name="Tc_WFLVVHdnE0irihwknOi4mQ_17_0"/>
      <w:bookmarkStart w:id="480" w:name="Tc_c0uYaHKJD0GtXoJdDWhzqA_16_22"/>
      <w:bookmarkStart w:id="481" w:name="Tc_O_241nrmn0-mZPTydexFLw_16_19"/>
      <w:bookmarkStart w:id="482" w:name="Tc_pSncsmGwE0C2iYilg66pag_16_16"/>
      <w:bookmarkStart w:id="483" w:name="Tc_RYgHm8V5nUCRa00cB_vI1w_16_13"/>
      <w:bookmarkStart w:id="484" w:name="Tc_33he_BFMIkyrQx-GCS1pXg_16_10"/>
      <w:bookmarkStart w:id="485" w:name="Tc_cw9xhFZkqEuNq9hJ2zBddg_16_8"/>
      <w:bookmarkStart w:id="486" w:name="Tc_u8hqxODLPkWflS9v--2ttw_16_4"/>
      <w:bookmarkStart w:id="487" w:name="Tc_SYleiHYkMEG41SAdx5OB7A_16_2"/>
      <w:bookmarkStart w:id="488" w:name="Tc_aE9n6kso90-PGP40Auuy4g_15_22"/>
      <w:bookmarkStart w:id="489" w:name="Tc_fa6ezbbXvE-lHTkQE0oZ9A_15_19"/>
      <w:bookmarkStart w:id="490" w:name="Tc_DWiDS776M0iX7DS2foqYKA_15_16"/>
      <w:bookmarkStart w:id="491" w:name="Tc_8UXW646uj0mZgk4O2tGi6w_15_13"/>
      <w:bookmarkStart w:id="492" w:name="Tc_Vn23oA0YnE6OR0cKejY4kg_15_8"/>
      <w:bookmarkStart w:id="493" w:name="Tc_yEvXd11yMUCGqDusl84wBA_15_2"/>
      <w:bookmarkStart w:id="494" w:name="Tc_on85yP8ie0KS6VqDGY-K_w_14_22"/>
      <w:bookmarkStart w:id="495" w:name="Tc_VK4Dm70QeEup_0N1yaDWog_14_19"/>
      <w:bookmarkStart w:id="496" w:name="Tc_Qe6btRlLkEqGjSqLxSxedg_14_13"/>
      <w:bookmarkStart w:id="497" w:name="Tc_9tBiL4IaMU6vcR6CEL3Cjw_13_19"/>
      <w:bookmarkStart w:id="498" w:name="Tc_JY89bzot2Uqh5WXD3GhEpg_12_2"/>
      <w:bookmarkStart w:id="499" w:name="Tc_5V7lML0Oc0m1YE-nQ_dAFg_10_22"/>
      <w:bookmarkStart w:id="500" w:name="Tc_d4zuYtceJESkCbudZklu-w_10_19"/>
      <w:bookmarkStart w:id="501" w:name="Tc_NUVmbraKy0e7YpVUQfVSgQ_10_16"/>
      <w:bookmarkStart w:id="502" w:name="Tc_ItGpbMVSzkOiIuejBhXz8g_10_13"/>
      <w:bookmarkStart w:id="503" w:name="Tc_p5ExvLzcZU6fKJKNtcI_oQ_10_10"/>
      <w:bookmarkStart w:id="504" w:name="Tc_lQs_a5mIyUeSeyGkBJxUaw_10_5"/>
      <w:bookmarkStart w:id="505" w:name="Tc_6yS7KmMjYkWzMkZg8d3RhA_10_4"/>
      <w:bookmarkStart w:id="506" w:name="Tc_l1wAoLyDqU2xn40EJFDaEw_10_2"/>
      <w:bookmarkStart w:id="507" w:name="Tc_eZekqlKc40K8vDBAgfvQIg_10_0"/>
      <w:bookmarkStart w:id="508" w:name="Tc_WE__6WEdUkeLPSeHsDnAaQ_9_20"/>
      <w:bookmarkStart w:id="509" w:name="Tc_iUG1pilW0EOXq8Q4kSZWag_9_14"/>
      <w:bookmarkStart w:id="510" w:name="Tc_rWuVnZBuQ0a1YVN2Q2Dhzg_9_11"/>
      <w:bookmarkStart w:id="511" w:name="Tc_IZzQCDh-MkuE7iRSVTR19A_9_8"/>
      <w:bookmarkStart w:id="512" w:name="Tc_NN6dC_pxdUOYMB1aw62GFA_9_5"/>
      <w:bookmarkStart w:id="513" w:name="Tc_dahXs2505keFLAnTYfhZiA_9_2"/>
      <w:bookmarkStart w:id="514" w:name="Tc_h8qpRMZgJUiT8dBGnnENuw_9_0"/>
      <w:bookmarkStart w:id="515" w:name="Tc_-DG6x8WCcUCbfvjGu9VyhA_8_20"/>
      <w:bookmarkStart w:id="516" w:name="Tc_S25iV8ELikip_5PK_zFXvA_8_17"/>
      <w:bookmarkStart w:id="517" w:name="Tc_vin7gKLxzkOu-9SZ8RqSQw_8_11"/>
      <w:bookmarkStart w:id="518" w:name="Tc_-D8aOJjUSkaDsWT6IkAHUg_8_8"/>
      <w:bookmarkStart w:id="519" w:name="Tc_F4pfLmXjek2TW4kf-3dhvw_8_5"/>
      <w:bookmarkStart w:id="520" w:name="Tc__7jdd85bcEGgyrDPTCfovA_8_2"/>
      <w:bookmarkStart w:id="521" w:name="Tc_A4pLVnxyvU2qmwKRTpnVWA_8_0"/>
      <w:bookmarkStart w:id="522" w:name="Tc_nFEQYXu7U0CykOdsMaPKFw_7_14"/>
      <w:bookmarkStart w:id="523" w:name="Tc_LtvTyyhRN0-WsaFcQT927Q_7_11"/>
      <w:bookmarkStart w:id="524" w:name="Tc_1RCdstx4r0mkWMPwALBE6A_7_8"/>
      <w:bookmarkStart w:id="525" w:name="Tc_OixBowulXEmPTFgPe9cU0Q_7_5"/>
      <w:bookmarkStart w:id="526" w:name="Tc_fIk9VhJeAk6C5IllLWJQgw_7_2"/>
      <w:bookmarkStart w:id="527" w:name="Tc_7cD7HfaB3UKzQg4pPEgyoQ_7_0"/>
      <w:bookmarkStart w:id="528" w:name="Tc_e_GHgWFpqU2vkZPHy5ZgLQ_6_22"/>
      <w:bookmarkStart w:id="529" w:name="Tc_PZn6z-pkFEqkfAGVAqP7aA_6_19"/>
      <w:bookmarkStart w:id="530" w:name="Tc_xrCShgvGykyviddeAz7eMQ_6_16"/>
      <w:bookmarkStart w:id="531" w:name="Tc_7aB520HUhUKsX330lWn1HA_6_13"/>
      <w:bookmarkStart w:id="532" w:name="Tc_SilRCNhSjkKOB1Se9Ewv_A_6_10"/>
      <w:bookmarkStart w:id="533" w:name="Tc_PpXzpKSaKk2n6YJ-gHK8_w_6_5"/>
      <w:bookmarkStart w:id="534" w:name="Tc_stL_JA_x80qR_yoBK9KZ_w_6_4"/>
      <w:bookmarkStart w:id="535" w:name="Tc_G4yIIz1kf0akspZMi5mwuA_6_2"/>
      <w:bookmarkStart w:id="536" w:name="Tc_RlXJuRLRJU2K4pbhN-e1Bg_6_0"/>
      <w:bookmarkStart w:id="537" w:name="Tc_qFnaIrHUWE-fETb7lc4Cug_5_22"/>
      <w:bookmarkStart w:id="538" w:name="Tc_Q1TxCJlPQUWFyNeJOKUo1A_5_19"/>
      <w:bookmarkStart w:id="539" w:name="Tc_dkxVQUzLBU6VNjnSU2N1fA_5_16"/>
      <w:bookmarkStart w:id="540" w:name="Tc_n3tPhFTW606QdAhiHTKZIw_5_13"/>
      <w:bookmarkStart w:id="541" w:name="Tc_Ar-4FF0iQ0uvnF2ksCaT3w_5_10"/>
      <w:bookmarkStart w:id="542" w:name="Tc_oqWmzQvn1EeuPSUrVKF7BA_5_8"/>
      <w:bookmarkStart w:id="543" w:name="Tc_43Ay3eEGaEOQH7ezKoHZ3A_5_4"/>
      <w:bookmarkStart w:id="544" w:name="Tc_oym-N6q6YE2ill5z6AyOmQ_5_2"/>
      <w:bookmarkStart w:id="545" w:name="Tc_1JtMC1Y5jkWCDi5PKDXrpg_4_22"/>
      <w:bookmarkStart w:id="546" w:name="Tc_8AnKbWJGxEW4crdM7zcrjg_4_19"/>
      <w:bookmarkStart w:id="547" w:name="Tc_hRJCkgc1w0qslnz6tUZIPg_4_16"/>
      <w:bookmarkStart w:id="548" w:name="Tc_7So-iL3rK02_-ERiz8EblA_4_13"/>
      <w:bookmarkStart w:id="549" w:name="Tc_ReJUhQn0s0OXa5n2ufwOZQ_4_8"/>
      <w:bookmarkStart w:id="550" w:name="Tc_VKQyKVYD0kiakeKybjuANQ_4_2"/>
      <w:bookmarkStart w:id="551" w:name="Tc_sldSNf_LdUi3CQHbj20K7Q_3_22"/>
      <w:bookmarkStart w:id="552" w:name="Tc_cN8d2BOeiUqR5NdEcfaUxw_3_19"/>
      <w:bookmarkStart w:id="553" w:name="Tc_HZILxOjd9UOgv3ZFvHW6Ig_3_13"/>
      <w:bookmarkStart w:id="554" w:name="Tc_ZMsoIm3XcUu3UOuFmBfKEQ_2_19"/>
      <w:bookmarkStart w:id="555" w:name="Tc_uiSE6ptEOE-e1zE-LSAJ6w_1_2"/>
      <w:bookmarkStart w:id="556" w:name="_51e96fad_a067_447f_a39c_77d8eb95b069"/>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tbl>
      <w:tblPr>
        <w:tblW w:w="11284" w:type="dxa"/>
        <w:jc w:val="left"/>
        <w:tblInd w:w="0" w:type="dxa"/>
        <w:tblLayout w:type="fixed"/>
        <w:tblCellMar>
          <w:top w:w="0" w:type="dxa"/>
          <w:left w:w="0" w:type="dxa"/>
          <w:bottom w:w="0" w:type="dxa"/>
          <w:right w:w="0" w:type="dxa"/>
        </w:tblCellMar>
      </w:tblPr>
      <w:tblGrid>
        <w:gridCol w:w="1561"/>
        <w:gridCol w:w="326"/>
        <w:gridCol w:w="586"/>
        <w:gridCol w:w="326"/>
        <w:gridCol w:w="291"/>
        <w:gridCol w:w="400"/>
        <w:gridCol w:w="109"/>
        <w:gridCol w:w="109"/>
        <w:gridCol w:w="916"/>
        <w:gridCol w:w="326"/>
        <w:gridCol w:w="249"/>
        <w:gridCol w:w="442"/>
        <w:gridCol w:w="386"/>
        <w:gridCol w:w="214"/>
        <w:gridCol w:w="657"/>
        <w:gridCol w:w="326"/>
        <w:gridCol w:w="240"/>
        <w:gridCol w:w="811"/>
        <w:gridCol w:w="326"/>
        <w:gridCol w:w="439"/>
        <w:gridCol w:w="777"/>
        <w:gridCol w:w="386"/>
        <w:gridCol w:w="234"/>
        <w:gridCol w:w="847"/>
      </w:tblGrid>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97" w:type="dxa"/>
            <w:gridSpan w:val="2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1" w:type="dxa"/>
            <w:tcBorders/>
            <w:vAlign w:val="center"/>
          </w:tcPr>
          <w:p>
            <w:pPr>
              <w:pStyle w:val="TableContents"/>
              <w:bidi w:val="0"/>
              <w:spacing w:before="0" w:after="1"/>
              <w:ind w:left="0" w:right="0" w:hanging="0"/>
              <w:jc w:val="center"/>
              <w:rPr/>
            </w:pPr>
            <w:r>
              <w:rPr/>
              <w:t>​</w:t>
            </w:r>
          </w:p>
        </w:tc>
        <w:tc>
          <w:tcPr>
            <w:tcW w:w="400" w:type="dxa"/>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2025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15,381,565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90,947</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(82,184)</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38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8,666</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8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(10,118)</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(10,118)</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2025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15,381,565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91,084</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(92,303)</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8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(1,312)</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97" w:type="dxa"/>
            <w:gridSpan w:val="2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91" w:type="dxa"/>
            <w:tcBorders/>
            <w:vAlign w:val="center"/>
          </w:tcPr>
          <w:p>
            <w:pPr>
              <w:pStyle w:val="TableContents"/>
              <w:bidi w:val="0"/>
              <w:spacing w:before="0" w:after="1"/>
              <w:ind w:left="0" w:right="0" w:hanging="0"/>
              <w:jc w:val="center"/>
              <w:rPr/>
            </w:pPr>
            <w:r>
              <w:rPr/>
              <w:t>​</w:t>
            </w:r>
          </w:p>
        </w:tc>
        <w:tc>
          <w:tcPr>
            <w:tcW w:w="400" w:type="dxa"/>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15,198,232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90,495</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(70,586)</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19,912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38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Waiver Shares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183,333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(21,778)</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(21,778)</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2025 (Successor)</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15,381,565</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91,084</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(92,303)</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8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(1,312)</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1"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57" w:name="Tc_M7L-wOVuAE-Ks0zb2pfHtA_48_22"/>
      <w:bookmarkStart w:id="558" w:name="Tc_M2gliu42zEyunP6_UA4l0w_48_19"/>
      <w:bookmarkStart w:id="559" w:name="Tc_BoPE7seZ3EuEp9gfiTll-w_48_16"/>
      <w:bookmarkStart w:id="560" w:name="Tc_eVPFWV-OQECqhE7VeIZCNg_48_13"/>
      <w:bookmarkStart w:id="561" w:name="Tc_Z_-nLFm1OU-8kEwn4xch7w_48_10"/>
      <w:bookmarkStart w:id="562" w:name="Tc_DiQPokoOTUiC7d6_csOHBQ_48_5"/>
      <w:bookmarkStart w:id="563" w:name="Tc_ZpPwenTD10-Cq1wp7iicaA_48_4"/>
      <w:bookmarkStart w:id="564" w:name="Tc_kbX8AaAmqkOOndyG7x0NTg_48_2"/>
      <w:bookmarkStart w:id="565" w:name="Tc_J1WaPiCVHU6gXO7_lyU_OA_48_0"/>
      <w:bookmarkStart w:id="566" w:name="Tc_08niR8WT50WEFsIpBEfkvw_47_20"/>
      <w:bookmarkStart w:id="567" w:name="Tc_5rJieN1gF0mzUTUhx5RNXQ_47_14"/>
      <w:bookmarkStart w:id="568" w:name="Tc_iGl41qqvgEydlCeFKhac1w_47_11"/>
      <w:bookmarkStart w:id="569" w:name="Tc_t55kZzxfcEGCYIX09hu5ZQ_47_8"/>
      <w:bookmarkStart w:id="570" w:name="Tc_uARCWVdjgkiPKI7i-QqUuQ_47_5"/>
      <w:bookmarkStart w:id="571" w:name="Tc_ZcaTLw7ns0eEDyDtQIvUlA_47_2"/>
      <w:bookmarkStart w:id="572" w:name="Tc_DzprfHHGsUetqkkOhFkXpg_47_0"/>
      <w:bookmarkStart w:id="573" w:name="Tc_B2lK34T6MUqDebWdEAYEdw_46_23"/>
      <w:bookmarkStart w:id="574" w:name="Tc_P38J-6PWM0iJ3nt2yQavig_46_20"/>
      <w:bookmarkStart w:id="575" w:name="Tc_umKVmIRoZ0GTcQH854q0QQ_46_17"/>
      <w:bookmarkStart w:id="576" w:name="Tc_Ka3jAPWyrkiBXKtFZ0fmWg_46_14"/>
      <w:bookmarkStart w:id="577" w:name="Tc_dBF3IDwZjEqHwfUm2Qhteg_46_11"/>
      <w:bookmarkStart w:id="578" w:name="Tc_Qo3GIeZTNUS80Iue1Ojm0w_46_5"/>
      <w:bookmarkStart w:id="579" w:name="Tc_bCxctxXrR0WlevOkLvZJrA_46_2"/>
      <w:bookmarkStart w:id="580" w:name="Tc_tFtKECCclkWpwczCS8bL8Q_46_0"/>
      <w:bookmarkStart w:id="581" w:name="Tc_vlvy5IF0A0eSmjq11OENVg_45_17"/>
      <w:bookmarkStart w:id="582" w:name="Tc_5xELyuPB-02Cd6_llDi75w_45_14"/>
      <w:bookmarkStart w:id="583" w:name="Tc_pKV1QLjjnEuaTxmAcil-ug_45_11"/>
      <w:bookmarkStart w:id="584" w:name="Tc_3vnGKZsLIka0jvHI-LPe1A_45_8"/>
      <w:bookmarkStart w:id="585" w:name="Tc_RP_sqM5OKk6sRWFbscLwKw_45_5"/>
      <w:bookmarkStart w:id="586" w:name="Tc__pibmGGXtkyXWBrFaWq7Pw_45_2"/>
      <w:bookmarkStart w:id="587" w:name="Tc_-3jbYEVDRUyStFq7EJSpTA_45_0"/>
      <w:bookmarkStart w:id="588" w:name="Tc_XY9-YFv7JU-0cTG7tOrH5A_44_22"/>
      <w:bookmarkStart w:id="589" w:name="Tc_OOSrz86uokOdGAGKuyYrYw_44_20"/>
      <w:bookmarkStart w:id="590" w:name="Tc_ffTTyYlxgUihiNM0fe-wcg_44_19"/>
      <w:bookmarkStart w:id="591" w:name="Tc_GYtsKkzS3UK1cMdZJ5tBRA_44_16"/>
      <w:bookmarkStart w:id="592" w:name="Tc_jfznYiMQ60ujB5Mj6XHqKg_44_13"/>
      <w:bookmarkStart w:id="593" w:name="Tc_7izbfDOYiUKfvFCyuFU_oQ_44_10"/>
      <w:bookmarkStart w:id="594" w:name="Tc_QMJZeQmICUu7T7FuOpjFfQ_44_5"/>
      <w:bookmarkStart w:id="595" w:name="Tc_np3fCNDV1E6Pr5nXsb6PDw_44_4"/>
      <w:bookmarkStart w:id="596" w:name="Tc_YETsYceJyEeVgvRb9zrf0A_44_2"/>
      <w:bookmarkStart w:id="597" w:name="Tc_DfkZ7gPLCUO3opQI0F-WdA_44_0"/>
      <w:bookmarkStart w:id="598" w:name="Tc_FjDmKGHxfE60vK3yyMTS5w_43_22"/>
      <w:bookmarkStart w:id="599" w:name="Tc_qhWfwLxXC0OljZKw3qTzCw_43_19"/>
      <w:bookmarkStart w:id="600" w:name="Tc_b_9oRKjONk2t2MCRBChZWQ_43_16"/>
      <w:bookmarkStart w:id="601" w:name="Tc_TzHNjtA7vk2q-wEVQ5GhRw_43_13"/>
      <w:bookmarkStart w:id="602" w:name="Tc_55YNTciCxUy5jupdznhnqw_43_10"/>
      <w:bookmarkStart w:id="603" w:name="Tc_pxP5ijP-EEaX-8qg6dHOqA_43_8"/>
      <w:bookmarkStart w:id="604" w:name="Tc_BiJZS7Nk2kGnPOq1peJqrw_43_4"/>
      <w:bookmarkStart w:id="605" w:name="Tc_31S5YPN1Kk-zLj9Ob4M1SA_43_2"/>
      <w:bookmarkStart w:id="606" w:name="Tc_-bcjLE0Q9kSvf7FX6eiEBQ_42_22"/>
      <w:bookmarkStart w:id="607" w:name="Tc_PnLt1rNrUkKZ7eeiyKTgcQ_42_19"/>
      <w:bookmarkStart w:id="608" w:name="Tc_ltsZKbsOIUyodq6HbxvGmA_42_16"/>
      <w:bookmarkStart w:id="609" w:name="Tc_Y990GPFseU2S8oQxCEaxsw_42_13"/>
      <w:bookmarkStart w:id="610" w:name="Tc_SOFxxX-6okumOCUNZZd4ag_42_8"/>
      <w:bookmarkStart w:id="611" w:name="Tc_QI2yIUgCVUOK1tqFL5n_7Q_42_2"/>
      <w:bookmarkStart w:id="612" w:name="Tc_TV37UWo210alYW1jsYkrpQ_41_22"/>
      <w:bookmarkStart w:id="613" w:name="Tc_gEkWc3akkkWg9eBNckTlYw_41_19"/>
      <w:bookmarkStart w:id="614" w:name="Tc_zAH1Oug31EOzOdaFi7pPJg_41_13"/>
      <w:bookmarkStart w:id="615" w:name="Tc_nnsSAUU37UePIwXXsW1nQQ_40_19"/>
      <w:bookmarkStart w:id="616" w:name="Tc_grDRN8bA4USN328viCo6IQ_37_22"/>
      <w:bookmarkStart w:id="617" w:name="Tc_8ssK-4Ok9kGm1-J9Dg8tFQ_37_19"/>
      <w:bookmarkStart w:id="618" w:name="Tc_CAI-h4IU20GdDShRwddfNg_37_16"/>
      <w:bookmarkStart w:id="619" w:name="Tc_xvwUE2omJEK9ygAgRcCWZg_37_13"/>
      <w:bookmarkStart w:id="620" w:name="Tc_K693_fd5X0282xDqPRHqkQ_37_10"/>
      <w:bookmarkStart w:id="621" w:name="Tc_24E2CJREJkSxOJS9GBbEww_37_4"/>
      <w:bookmarkStart w:id="622" w:name="Tc_es-AnrGt306OW38ftKbTbg_37_0"/>
      <w:bookmarkStart w:id="623" w:name="Tc_z6sMbDDqKEeguDLJ4PcIng_36_20"/>
      <w:bookmarkStart w:id="624" w:name="Tc_XdOIqv2zFkCc-MdAIfvRGQ_36_14"/>
      <w:bookmarkStart w:id="625" w:name="Tc_xIm2-UzAwEih1ch8AVCm4w_36_11"/>
      <w:bookmarkStart w:id="626" w:name="Tc_4nRPJFs1-kqz85EyiiyZmw_36_8"/>
      <w:bookmarkStart w:id="627" w:name="Tc_k3R2R9iQQkOqi1XdTetdCw_36_5"/>
      <w:bookmarkStart w:id="628" w:name="Tc_Tys_Sw_9A0uwwmhCoNdp5g_36_2"/>
      <w:bookmarkStart w:id="629" w:name="Tc_AnNJHeJki0W5Z8ihk33JAA_36_0"/>
      <w:bookmarkStart w:id="630" w:name="Tc_xIRZsIpU0EeVAs99tqzw-g_35_20"/>
      <w:bookmarkStart w:id="631" w:name="Tc_8TMjUhbrmky-CLeMb2nD2A_35_17"/>
      <w:bookmarkStart w:id="632" w:name="Tc_tWyo93_-dUmJLwNZWryAzQ_35_11"/>
      <w:bookmarkStart w:id="633" w:name="Tc_vl7dGoobEk2k40ury8DwEA_35_8"/>
      <w:bookmarkStart w:id="634" w:name="Tc_RoP1_VF4Q0yJE9eSBHcGpA_35_5"/>
      <w:bookmarkStart w:id="635" w:name="Tc_-zljuMIfo0GgnyS0xK9yIg_35_2"/>
      <w:bookmarkStart w:id="636" w:name="Tc_8FcVBs6Af0m6m5pCsGjs7g_35_0"/>
      <w:bookmarkStart w:id="637" w:name="Tc__nCO4qyoREiiU_Obwdw81Q_34_20"/>
      <w:bookmarkStart w:id="638" w:name="Tc_UW7Fy9wrbEejxU3G9-4zGQ_34_17"/>
      <w:bookmarkStart w:id="639" w:name="Tc_D8YbSXZPdEGwXwYro49jSQ_34_11"/>
      <w:bookmarkStart w:id="640" w:name="Tc_FxBhobMZe0eD_D3YNcSbFA_34_5"/>
      <w:bookmarkStart w:id="641" w:name="Tc_BnleI0ahoUm4GXJdnhkD9A_34_2"/>
      <w:bookmarkStart w:id="642" w:name="Tc_e1TiRt_iNEqBV9i5rJBDPA_34_0"/>
      <w:bookmarkStart w:id="643" w:name="Tc_uAxKImlg0UGAupdThnfHOg_33_20"/>
      <w:bookmarkStart w:id="644" w:name="Tc_Bbe2IOcYJkixfN8CsQ2ZIQ_33_17"/>
      <w:bookmarkStart w:id="645" w:name="Tc_Ph5-VzwUZUeb_NNaltU-4w_33_11"/>
      <w:bookmarkStart w:id="646" w:name="Tc_r8zC0waHA0uTeyRSSwlbSw_33_8"/>
      <w:bookmarkStart w:id="647" w:name="Tc_3M9CtJUP7EOWwrf7uW20tg_33_0"/>
      <w:bookmarkStart w:id="648" w:name="Tc_myY_UayLkEuFZCzonGj8FA_32_17"/>
      <w:bookmarkStart w:id="649" w:name="Tc_QDBsa5IryEi13e4xh09OJQ_32_14"/>
      <w:bookmarkStart w:id="650" w:name="Tc_gd_7Enp8Y0SocHwxOBWnzw_32_11"/>
      <w:bookmarkStart w:id="651" w:name="Tc_rVG50KUbh0C919k2NFHFAg_32_8"/>
      <w:bookmarkStart w:id="652" w:name="Tc_C-HEsdxn806H4nkxfmnvvg_32_5"/>
      <w:bookmarkStart w:id="653" w:name="Tc_4jwGNd9KZkii-9jALsAe1w_32_2"/>
      <w:bookmarkStart w:id="654" w:name="Tc_nH8hfdw2o0-KQAz6_4q8Ow_32_0"/>
      <w:bookmarkStart w:id="655" w:name="Tc_ogTPkWGTZE-8DjhIHNN38w_31_22"/>
      <w:bookmarkStart w:id="656" w:name="Tc_euhX4uU-3U2rqnXCtHQlLQ_31_19"/>
      <w:bookmarkStart w:id="657" w:name="Tc_Gf-unsv160KkCHdTZaWakQ_31_16"/>
      <w:bookmarkStart w:id="658" w:name="Tc_XpAz0ZBExU6iR3YF3h_2JA_31_13"/>
      <w:bookmarkStart w:id="659" w:name="Tc_ggrLCiDjnkurqkLL-m0xVg_31_10"/>
      <w:bookmarkStart w:id="660" w:name="Tc_Cg4W6O0YD0SzB8GbFJXFMg_31_4"/>
      <w:bookmarkStart w:id="661" w:name="Tc_-KoTZGZlREybs8uGe14jXw_31_0"/>
      <w:bookmarkStart w:id="662" w:name="Tc_V6KwcYfeEk6PZKeXeEb6zw_30_22"/>
      <w:bookmarkStart w:id="663" w:name="Tc_jPboJB_oa0WNDO8i0NE0Dw_30_19"/>
      <w:bookmarkStart w:id="664" w:name="Tc_z8p7yFUlyk2NsCRZCZ-tIw_30_16"/>
      <w:bookmarkStart w:id="665" w:name="Tc_uc2ifh2a10GW1DQ08VDV1Q_30_13"/>
      <w:bookmarkStart w:id="666" w:name="Tc_xOsPfhiCWkykzjZ27RawXg_30_10"/>
      <w:bookmarkStart w:id="667" w:name="Tc_yGTC8ruyGUC8vVsXSN6RHA_30_8"/>
      <w:bookmarkStart w:id="668" w:name="Tc_RBKbpn22yEazgrGGWuHNWQ_30_4"/>
      <w:bookmarkStart w:id="669" w:name="Tc_Xz_TXoGnDkWVnnLZS2nldw_30_2"/>
      <w:bookmarkStart w:id="670" w:name="Tc_xAIrsRJbHUKW0Uw-wzo10Q_29_22"/>
      <w:bookmarkStart w:id="671" w:name="Tc_gS75lwGldUes5hVxX25wVw_29_19"/>
      <w:bookmarkStart w:id="672" w:name="Tc_yJKvAU-1JkKrBUnC3kj2uQ_29_16"/>
      <w:bookmarkStart w:id="673" w:name="Tc_XOnODuaIOkaqpNSdUJNELQ_29_13"/>
      <w:bookmarkStart w:id="674" w:name="Tc_8c2_fAA-tEK4h2GP3eE9FA_29_8"/>
      <w:bookmarkStart w:id="675" w:name="Tc_1gkXGwYbS0CTsRWFMLmi_Q_29_2"/>
      <w:bookmarkStart w:id="676" w:name="Tc_eXjpJWNW502PzihhYQkS-Q_28_22"/>
      <w:bookmarkStart w:id="677" w:name="Tc_P0un4NmmT0O9ZtJh9WJ0kQ_28_19"/>
      <w:bookmarkStart w:id="678" w:name="Tc_EWsBSpi8tEqMrTEV2JWJqw_28_13"/>
      <w:bookmarkStart w:id="679" w:name="Tc_EXwqUr7LBEmj4gUjRaNAZA_27_19"/>
      <w:bookmarkStart w:id="680" w:name="Tc_0rQqxGa6VEqgUCNT2Pdpyg_26_2"/>
      <w:bookmarkStart w:id="681" w:name="Tc_-m6nnbXraEGkFuWn3N1B0w_23_22"/>
      <w:bookmarkStart w:id="682" w:name="Tc_8apsybd_g0GCVTN9iCXNlQ_23_19"/>
      <w:bookmarkStart w:id="683" w:name="Tc_5zVFdhC2FEyBfglRRMBolQ_23_16"/>
      <w:bookmarkStart w:id="684" w:name="Tc_baMVgEOkRUy8U7ICyCnfBw_23_13"/>
      <w:bookmarkStart w:id="685" w:name="Tc_SNskfwmR4EmSjIyZgKEyCg_23_10"/>
      <w:bookmarkStart w:id="686" w:name="Tc_B0YvaQzYRkuYFUfav194Hw_23_5"/>
      <w:bookmarkStart w:id="687" w:name="Tc_Z7pe6uelO0yYRcgsBku0SQ_23_4"/>
      <w:bookmarkStart w:id="688" w:name="Tc_KIEVnyDnYE-SCrJLhulrFw_23_2"/>
      <w:bookmarkStart w:id="689" w:name="Tc_J5M1gKVNxEejTVTB0bLqyQ_23_0"/>
      <w:bookmarkStart w:id="690" w:name="Tc_v7smev_Dw0CJgl0f6K_p0w_22_20"/>
      <w:bookmarkStart w:id="691" w:name="Tc_q6l_SFOgSUSaVTin1aEfsw_22_14"/>
      <w:bookmarkStart w:id="692" w:name="Tc_-r7hF7LRjkSoYuc1qkhYjA_22_11"/>
      <w:bookmarkStart w:id="693" w:name="Tc_G33mj2Idw0i6WFELyBt4QQ_22_8"/>
      <w:bookmarkStart w:id="694" w:name="Tc_CVwepaS60kK8HvbQpFWuSg_22_5"/>
      <w:bookmarkStart w:id="695" w:name="Tc_oNoy8c8DyEy77BmBefJ59w_22_2"/>
      <w:bookmarkStart w:id="696" w:name="Tc_8e_OmyZ9kkKauHjQJQy07Q_22_0"/>
      <w:bookmarkStart w:id="697" w:name="Tc_YvrQUWQ1F0qDw71eQwazYA_21_23"/>
      <w:bookmarkStart w:id="698" w:name="Tc_MXXm4MQeLUy_eT8ixvoyLw_21_20"/>
      <w:bookmarkStart w:id="699" w:name="Tc_DB-sO5vjMkeZqDG6CVLafg_21_17"/>
      <w:bookmarkStart w:id="700" w:name="Tc_DIwiJhc2bUOEnq8LB4G89w_21_14"/>
      <w:bookmarkStart w:id="701" w:name="Tc_xQn5ga7C2EOOC5Ws23Ouog_21_11"/>
      <w:bookmarkStart w:id="702" w:name="Tc_f0wv3HKpRUWehC1dgCCXVQ_21_5"/>
      <w:bookmarkStart w:id="703" w:name="Tc_ze68pjsSsEGpmr7Ft0E6ug_21_2"/>
      <w:bookmarkStart w:id="704" w:name="Tc_ZdbtQ8LrIUSHZpitu8ME_Q_21_0"/>
      <w:bookmarkStart w:id="705" w:name="Tc_N-ZOxsZb6U21Lnjp6gbwhw_20_17"/>
      <w:bookmarkStart w:id="706" w:name="Tc_xMXM1-KaykuaVh9tXhq1fg_20_14"/>
      <w:bookmarkStart w:id="707" w:name="Tc_wcvi26xox0iW-6pZgrVe7Q_20_11"/>
      <w:bookmarkStart w:id="708" w:name="Tc_r2lxtquGsEayKHjdo872UQ_20_8"/>
      <w:bookmarkStart w:id="709" w:name="Tc_NBA9dMiGeU2NthtM3yOJGw_20_5"/>
      <w:bookmarkStart w:id="710" w:name="Tc_fFIkiJo80EWLBeE1SvcKEw_20_2"/>
      <w:bookmarkStart w:id="711" w:name="Tc_YfraKNKMYEGF0Wf8B_lPwQ_20_0"/>
      <w:bookmarkStart w:id="712" w:name="Tc_CLsheqexkE-VkjZ1Od4beA_19_22"/>
      <w:bookmarkStart w:id="713" w:name="Tc_ZYFZNKSDCEi05kMnfPSxDw_19_20"/>
      <w:bookmarkStart w:id="714" w:name="Tc_jSc-KVE1tkaxe74TexTfMA_19_19"/>
      <w:bookmarkStart w:id="715" w:name="Tc_oBWFUdYik0GH1KiUsQifMA_19_16"/>
      <w:bookmarkStart w:id="716" w:name="Tc_EkCqWanfD0Ca_SYbjSa6LA_19_13"/>
      <w:bookmarkStart w:id="717" w:name="Tc_1iO6jPnXd0y1MMvcIS2PTg_19_10"/>
      <w:bookmarkStart w:id="718" w:name="Tc_R-CH7Ewi2k23xFOcAy9CtA_19_5"/>
      <w:bookmarkStart w:id="719" w:name="Tc_cpQ-rDguiEmJQLEX0DSKkw_19_4"/>
      <w:bookmarkStart w:id="720" w:name="Tc_ve8v8_Gww0afyPkTq5n5Sw_19_2"/>
      <w:bookmarkStart w:id="721" w:name="Tc_z56GvtlH8E-Aez4NTGKh7A_19_0"/>
      <w:bookmarkStart w:id="722" w:name="Tc_Ozk3UuGhr0GJAm-rKxx-9g_18_22"/>
      <w:bookmarkStart w:id="723" w:name="Tc_XSbG7T2sTEmPbyAGSJ6juw_18_19"/>
      <w:bookmarkStart w:id="724" w:name="Tc_-8xw9-TqH0mlgfL8C2xXgA_18_16"/>
      <w:bookmarkStart w:id="725" w:name="Tc_FvD652kNW0mJnajcX0vxSw_18_13"/>
      <w:bookmarkStart w:id="726" w:name="Tc_ZBLuHqXUFUy-FXv4gzQSnw_18_10"/>
      <w:bookmarkStart w:id="727" w:name="Tc_MBocdm3WKkGnplK1IRKElQ_18_8"/>
      <w:bookmarkStart w:id="728" w:name="Tc_5dqHlsA5wUCD-ALng6q-HQ_18_4"/>
      <w:bookmarkStart w:id="729" w:name="Tc_sPGKwPpz80uxUH7y51D1OA_18_2"/>
      <w:bookmarkStart w:id="730" w:name="Tc_iQYuO8fPf0WsXitGskjReg_17_22"/>
      <w:bookmarkStart w:id="731" w:name="Tc_ud-XV2htckqg7xe0pH6FHQ_17_19"/>
      <w:bookmarkStart w:id="732" w:name="Tc_zlLSSXOIgkyUAQQadMWoXw_17_16"/>
      <w:bookmarkStart w:id="733" w:name="Tc_FAZxPWbvyk-D8wUl3t_A0Q_17_13"/>
      <w:bookmarkStart w:id="734" w:name="Tc_gBGUISlg80ihplOFsm8uLQ_17_8"/>
      <w:bookmarkStart w:id="735" w:name="Tc_mGQz5jGBJE-SGn8Wn4xnvg_17_2"/>
      <w:bookmarkStart w:id="736" w:name="Tc_8oQ0ogrbWEChp9PeWScJPw_16_22"/>
      <w:bookmarkStart w:id="737" w:name="Tc_RziAbRYYhU2kUXtiWL2_jQ_16_19"/>
      <w:bookmarkStart w:id="738" w:name="Tc_klMBS27RDEyuU8twG4c88A_16_13"/>
      <w:bookmarkStart w:id="739" w:name="Tc_HT8f0fFLekC_Tq2O4iK8rA_15_19"/>
      <w:bookmarkStart w:id="740" w:name="Tc_l937SsEgwU-jE02xvEOQEw_12_22"/>
      <w:bookmarkStart w:id="741" w:name="Tc_ygPuTYuL_UyVc3U-j_U2uA_12_19"/>
      <w:bookmarkStart w:id="742" w:name="Tc_PuILv9TwzEeIS40d17FfzQ_12_16"/>
      <w:bookmarkStart w:id="743" w:name="Tc_yk2CeQDAi0yqfllj9KnHJQ_12_13"/>
      <w:bookmarkStart w:id="744" w:name="Tc_gPcntAUwJUOMbjS71GITYA_12_10"/>
      <w:bookmarkStart w:id="745" w:name="Tc_3U9f9FAYJEKiEbfqSCt_lg_12_4"/>
      <w:bookmarkStart w:id="746" w:name="Tc_3V_W5aRROUaTTO5NKo7Igg_12_0"/>
      <w:bookmarkStart w:id="747" w:name="Tc_Y4Ozo0eaT0-dulyPtN0C5w_11_20"/>
      <w:bookmarkStart w:id="748" w:name="Tc_xkmiWbgmLkOTy1w0TF9vYQ_11_14"/>
      <w:bookmarkStart w:id="749" w:name="Tc_F-S09H2e3UK__OeUrFRVRg_11_11"/>
      <w:bookmarkStart w:id="750" w:name="Tc_wFAnFFP-_kK0GfD5Qi_n4Q_11_8"/>
      <w:bookmarkStart w:id="751" w:name="Tc_YqeXlXfFQ02okHOwbpA6cA_11_5"/>
      <w:bookmarkStart w:id="752" w:name="Tc_yz_N2Vdkaki6jGx2camSYw_11_2"/>
      <w:bookmarkStart w:id="753" w:name="Tc_51ZcZdwNiEma4heZAjbThA_11_0"/>
      <w:bookmarkStart w:id="754" w:name="Tc_Vxd_rln0IUGkKg3_yKTFSg_10_20"/>
      <w:bookmarkStart w:id="755" w:name="Tc_rs9QTgXcoU-QOFeRxnHKjA_10_17"/>
      <w:bookmarkStart w:id="756" w:name="Tc_3heL8czJ30-Ti6twsfUrfw_10_11"/>
      <w:bookmarkStart w:id="757" w:name="Tc_yicFkMKV_EGU7enUO6Uzow_10_8"/>
      <w:bookmarkStart w:id="758" w:name="Tc_HI6JrFBDLU2a1nGrL8Z9hg_10_5"/>
      <w:bookmarkStart w:id="759" w:name="Tc_6ZeTRuil1kq7VC4DdKcPcg_10_2"/>
      <w:bookmarkStart w:id="760" w:name="Tc_GgK6_Eiu2kuV4TyojDub0Q_10_0"/>
      <w:bookmarkStart w:id="761" w:name="Tc_LWo0PcvtLUWTDreFswSBaA_9_20"/>
      <w:bookmarkStart w:id="762" w:name="Tc_ruo1TE3cvUqizAHn96lzGw_9_17"/>
      <w:bookmarkStart w:id="763" w:name="Tc_wy-RzBVxAU-jDvSdWh_e2Q_9_11"/>
      <w:bookmarkStart w:id="764" w:name="Tc_BfPBxEmqU0y1cEBd_SzR-A_9_5"/>
      <w:bookmarkStart w:id="765" w:name="Tc_H4GHZJdQ0ECV6B1fhsg3Kw_9_2"/>
      <w:bookmarkStart w:id="766" w:name="Tc_RtxLEymcwU-V95vtucwpBw_9_0"/>
      <w:bookmarkStart w:id="767" w:name="Tc_z9wDcs6BQU-tQ9rWq5DUSw_8_17"/>
      <w:bookmarkStart w:id="768" w:name="Tc_AYq2Qpv3tkO3oHKRZbMZOw_8_14"/>
      <w:bookmarkStart w:id="769" w:name="Tc_jWny8eZhWU6cr-usA3u1EQ_8_11"/>
      <w:bookmarkStart w:id="770" w:name="Tc_6XEYf7Md30-rltxR64vZFw_8_8"/>
      <w:bookmarkStart w:id="771" w:name="Tc_8euvWfTCOEOJiVH37aZugg_8_5"/>
      <w:bookmarkStart w:id="772" w:name="Tc_Eujvb4xpuE-d2KBweCIJDQ_8_2"/>
      <w:bookmarkStart w:id="773" w:name="Tc_3VN64alLpkG04K0MExiEqA_8_0"/>
      <w:bookmarkStart w:id="774" w:name="Tc_vhZnnxZYT02sUdanNEQeLw_7_22"/>
      <w:bookmarkStart w:id="775" w:name="Tc_q1WSmFYBt0enPXetX0ju8w_7_19"/>
      <w:bookmarkStart w:id="776" w:name="Tc_8m6cclTc_UyrQR7KsyKqvg_7_16"/>
      <w:bookmarkStart w:id="777" w:name="Tc_5SfnrgKJdEGAOjj2rSLx7w_7_13"/>
      <w:bookmarkStart w:id="778" w:name="Tc_DZRR4x_hKUuWGPbsrx7hhA_7_10"/>
      <w:bookmarkStart w:id="779" w:name="Tc_oXRjAfQQmkCvBhESgDjdpQ_7_4"/>
      <w:bookmarkStart w:id="780" w:name="Tc_0__zOYk3N0i7Dd9Cz8TlXw_7_0"/>
      <w:bookmarkStart w:id="781" w:name="Tc_Mun6wyhtnkSYtuQ-Ank_6g_6_22"/>
      <w:bookmarkStart w:id="782" w:name="Tc_qh4_xHMTGUmiFyLfjS9fCQ_6_19"/>
      <w:bookmarkStart w:id="783" w:name="Tc_wgAlVnDFe06NMFNwCimQBg_6_16"/>
      <w:bookmarkStart w:id="784" w:name="Tc_XMtl9qMCYkOxuB14SA9CMw_6_13"/>
      <w:bookmarkStart w:id="785" w:name="Tc_vgl_LZNOs0W4eBbbClrcUw_6_10"/>
      <w:bookmarkStart w:id="786" w:name="Tc__AZKW8tDf02737trED7A7w_6_8"/>
      <w:bookmarkStart w:id="787" w:name="Tc_w3eMMNeask-y6BwFD_YfQw_6_4"/>
      <w:bookmarkStart w:id="788" w:name="Tc_iemrovdIlEaFv7sb9Tvvow_6_2"/>
      <w:bookmarkStart w:id="789" w:name="Tc_HDFJMM89-UOCA1C_PKQm4Q_5_22"/>
      <w:bookmarkStart w:id="790" w:name="Tc_2jUFJxRHcU-Awwkw_8AqXw_5_19"/>
      <w:bookmarkStart w:id="791" w:name="Tc_T7lIapBrSU6RHD_LFlC2Uw_5_16"/>
      <w:bookmarkStart w:id="792" w:name="Tc_0bVJoWZEIEeGMtqJN1FxvA_5_13"/>
      <w:bookmarkStart w:id="793" w:name="Tc_4xkNLL2Fck-ZX2R2wQ1SGA_5_8"/>
      <w:bookmarkStart w:id="794" w:name="Tc_WLlRaSBgHEaeF9yCK6VGPg_5_2"/>
      <w:bookmarkStart w:id="795" w:name="Tc_uuF6yBTWu0iQqUvraFxTIA_4_22"/>
      <w:bookmarkStart w:id="796" w:name="Tc_HbB8ju0si0a-Lia0uhi6BA_4_19"/>
      <w:bookmarkStart w:id="797" w:name="Tc_A00gyX8cdUuIKtE-7Vbtww_4_13"/>
      <w:bookmarkStart w:id="798" w:name="Tc_-y0xOyk9mUizX14TyXAy8Q_3_19"/>
      <w:bookmarkStart w:id="799" w:name="Tc_2SaQRJFMfkG2tgWtNcv8Sg_2_2"/>
      <w:bookmarkStart w:id="800" w:name="_fb181693_e669_49f2_bb1d_9129fe02484a"/>
      <w:bookmarkStart w:id="801" w:name="Tc_M7L-wOVuAE-Ks0zb2pfHtA_48_22"/>
      <w:bookmarkStart w:id="802" w:name="Tc_M2gliu42zEyunP6_UA4l0w_48_19"/>
      <w:bookmarkStart w:id="803" w:name="Tc_BoPE7seZ3EuEp9gfiTll-w_48_16"/>
      <w:bookmarkStart w:id="804" w:name="Tc_eVPFWV-OQECqhE7VeIZCNg_48_13"/>
      <w:bookmarkStart w:id="805" w:name="Tc_Z_-nLFm1OU-8kEwn4xch7w_48_10"/>
      <w:bookmarkStart w:id="806" w:name="Tc_DiQPokoOTUiC7d6_csOHBQ_48_5"/>
      <w:bookmarkStart w:id="807" w:name="Tc_ZpPwenTD10-Cq1wp7iicaA_48_4"/>
      <w:bookmarkStart w:id="808" w:name="Tc_kbX8AaAmqkOOndyG7x0NTg_48_2"/>
      <w:bookmarkStart w:id="809" w:name="Tc_J1WaPiCVHU6gXO7_lyU_OA_48_0"/>
      <w:bookmarkStart w:id="810" w:name="Tc_08niR8WT50WEFsIpBEfkvw_47_20"/>
      <w:bookmarkStart w:id="811" w:name="Tc_5rJieN1gF0mzUTUhx5RNXQ_47_14"/>
      <w:bookmarkStart w:id="812" w:name="Tc_iGl41qqvgEydlCeFKhac1w_47_11"/>
      <w:bookmarkStart w:id="813" w:name="Tc_t55kZzxfcEGCYIX09hu5ZQ_47_8"/>
      <w:bookmarkStart w:id="814" w:name="Tc_uARCWVdjgkiPKI7i-QqUuQ_47_5"/>
      <w:bookmarkStart w:id="815" w:name="Tc_ZcaTLw7ns0eEDyDtQIvUlA_47_2"/>
      <w:bookmarkStart w:id="816" w:name="Tc_DzprfHHGsUetqkkOhFkXpg_47_0"/>
      <w:bookmarkStart w:id="817" w:name="Tc_B2lK34T6MUqDebWdEAYEdw_46_23"/>
      <w:bookmarkStart w:id="818" w:name="Tc_P38J-6PWM0iJ3nt2yQavig_46_20"/>
      <w:bookmarkStart w:id="819" w:name="Tc_umKVmIRoZ0GTcQH854q0QQ_46_17"/>
      <w:bookmarkStart w:id="820" w:name="Tc_Ka3jAPWyrkiBXKtFZ0fmWg_46_14"/>
      <w:bookmarkStart w:id="821" w:name="Tc_dBF3IDwZjEqHwfUm2Qhteg_46_11"/>
      <w:bookmarkStart w:id="822" w:name="Tc_Qo3GIeZTNUS80Iue1Ojm0w_46_5"/>
      <w:bookmarkStart w:id="823" w:name="Tc_bCxctxXrR0WlevOkLvZJrA_46_2"/>
      <w:bookmarkStart w:id="824" w:name="Tc_tFtKECCclkWpwczCS8bL8Q_46_0"/>
      <w:bookmarkStart w:id="825" w:name="Tc_vlvy5IF0A0eSmjq11OENVg_45_17"/>
      <w:bookmarkStart w:id="826" w:name="Tc_5xELyuPB-02Cd6_llDi75w_45_14"/>
      <w:bookmarkStart w:id="827" w:name="Tc_pKV1QLjjnEuaTxmAcil-ug_45_11"/>
      <w:bookmarkStart w:id="828" w:name="Tc_3vnGKZsLIka0jvHI-LPe1A_45_8"/>
      <w:bookmarkStart w:id="829" w:name="Tc_RP_sqM5OKk6sRWFbscLwKw_45_5"/>
      <w:bookmarkStart w:id="830" w:name="Tc__pibmGGXtkyXWBrFaWq7Pw_45_2"/>
      <w:bookmarkStart w:id="831" w:name="Tc_-3jbYEVDRUyStFq7EJSpTA_45_0"/>
      <w:bookmarkStart w:id="832" w:name="Tc_XY9-YFv7JU-0cTG7tOrH5A_44_22"/>
      <w:bookmarkStart w:id="833" w:name="Tc_OOSrz86uokOdGAGKuyYrYw_44_20"/>
      <w:bookmarkStart w:id="834" w:name="Tc_ffTTyYlxgUihiNM0fe-wcg_44_19"/>
      <w:bookmarkStart w:id="835" w:name="Tc_GYtsKkzS3UK1cMdZJ5tBRA_44_16"/>
      <w:bookmarkStart w:id="836" w:name="Tc_jfznYiMQ60ujB5Mj6XHqKg_44_13"/>
      <w:bookmarkStart w:id="837" w:name="Tc_7izbfDOYiUKfvFCyuFU_oQ_44_10"/>
      <w:bookmarkStart w:id="838" w:name="Tc_QMJZeQmICUu7T7FuOpjFfQ_44_5"/>
      <w:bookmarkStart w:id="839" w:name="Tc_np3fCNDV1E6Pr5nXsb6PDw_44_4"/>
      <w:bookmarkStart w:id="840" w:name="Tc_YETsYceJyEeVgvRb9zrf0A_44_2"/>
      <w:bookmarkStart w:id="841" w:name="Tc_DfkZ7gPLCUO3opQI0F-WdA_44_0"/>
      <w:bookmarkStart w:id="842" w:name="Tc_FjDmKGHxfE60vK3yyMTS5w_43_22"/>
      <w:bookmarkStart w:id="843" w:name="Tc_qhWfwLxXC0OljZKw3qTzCw_43_19"/>
      <w:bookmarkStart w:id="844" w:name="Tc_b_9oRKjONk2t2MCRBChZWQ_43_16"/>
      <w:bookmarkStart w:id="845" w:name="Tc_TzHNjtA7vk2q-wEVQ5GhRw_43_13"/>
      <w:bookmarkStart w:id="846" w:name="Tc_55YNTciCxUy5jupdznhnqw_43_10"/>
      <w:bookmarkStart w:id="847" w:name="Tc_pxP5ijP-EEaX-8qg6dHOqA_43_8"/>
      <w:bookmarkStart w:id="848" w:name="Tc_BiJZS7Nk2kGnPOq1peJqrw_43_4"/>
      <w:bookmarkStart w:id="849" w:name="Tc_31S5YPN1Kk-zLj9Ob4M1SA_43_2"/>
      <w:bookmarkStart w:id="850" w:name="Tc_-bcjLE0Q9kSvf7FX6eiEBQ_42_22"/>
      <w:bookmarkStart w:id="851" w:name="Tc_PnLt1rNrUkKZ7eeiyKTgcQ_42_19"/>
      <w:bookmarkStart w:id="852" w:name="Tc_ltsZKbsOIUyodq6HbxvGmA_42_16"/>
      <w:bookmarkStart w:id="853" w:name="Tc_Y990GPFseU2S8oQxCEaxsw_42_13"/>
      <w:bookmarkStart w:id="854" w:name="Tc_SOFxxX-6okumOCUNZZd4ag_42_8"/>
      <w:bookmarkStart w:id="855" w:name="Tc_QI2yIUgCVUOK1tqFL5n_7Q_42_2"/>
      <w:bookmarkStart w:id="856" w:name="Tc_TV37UWo210alYW1jsYkrpQ_41_22"/>
      <w:bookmarkStart w:id="857" w:name="Tc_gEkWc3akkkWg9eBNckTlYw_41_19"/>
      <w:bookmarkStart w:id="858" w:name="Tc_zAH1Oug31EOzOdaFi7pPJg_41_13"/>
      <w:bookmarkStart w:id="859" w:name="Tc_nnsSAUU37UePIwXXsW1nQQ_40_19"/>
      <w:bookmarkStart w:id="860" w:name="Tc_grDRN8bA4USN328viCo6IQ_37_22"/>
      <w:bookmarkStart w:id="861" w:name="Tc_8ssK-4Ok9kGm1-J9Dg8tFQ_37_19"/>
      <w:bookmarkStart w:id="862" w:name="Tc_CAI-h4IU20GdDShRwddfNg_37_16"/>
      <w:bookmarkStart w:id="863" w:name="Tc_xvwUE2omJEK9ygAgRcCWZg_37_13"/>
      <w:bookmarkStart w:id="864" w:name="Tc_K693_fd5X0282xDqPRHqkQ_37_10"/>
      <w:bookmarkStart w:id="865" w:name="Tc_24E2CJREJkSxOJS9GBbEww_37_4"/>
      <w:bookmarkStart w:id="866" w:name="Tc_es-AnrGt306OW38ftKbTbg_37_0"/>
      <w:bookmarkStart w:id="867" w:name="Tc_z6sMbDDqKEeguDLJ4PcIng_36_20"/>
      <w:bookmarkStart w:id="868" w:name="Tc_XdOIqv2zFkCc-MdAIfvRGQ_36_14"/>
      <w:bookmarkStart w:id="869" w:name="Tc_xIm2-UzAwEih1ch8AVCm4w_36_11"/>
      <w:bookmarkStart w:id="870" w:name="Tc_4nRPJFs1-kqz85EyiiyZmw_36_8"/>
      <w:bookmarkStart w:id="871" w:name="Tc_k3R2R9iQQkOqi1XdTetdCw_36_5"/>
      <w:bookmarkStart w:id="872" w:name="Tc_Tys_Sw_9A0uwwmhCoNdp5g_36_2"/>
      <w:bookmarkStart w:id="873" w:name="Tc_AnNJHeJki0W5Z8ihk33JAA_36_0"/>
      <w:bookmarkStart w:id="874" w:name="Tc_xIRZsIpU0EeVAs99tqzw-g_35_20"/>
      <w:bookmarkStart w:id="875" w:name="Tc_8TMjUhbrmky-CLeMb2nD2A_35_17"/>
      <w:bookmarkStart w:id="876" w:name="Tc_tWyo93_-dUmJLwNZWryAzQ_35_11"/>
      <w:bookmarkStart w:id="877" w:name="Tc_vl7dGoobEk2k40ury8DwEA_35_8"/>
      <w:bookmarkStart w:id="878" w:name="Tc_RoP1_VF4Q0yJE9eSBHcGpA_35_5"/>
      <w:bookmarkStart w:id="879" w:name="Tc_-zljuMIfo0GgnyS0xK9yIg_35_2"/>
      <w:bookmarkStart w:id="880" w:name="Tc_8FcVBs6Af0m6m5pCsGjs7g_35_0"/>
      <w:bookmarkStart w:id="881" w:name="Tc__nCO4qyoREiiU_Obwdw81Q_34_20"/>
      <w:bookmarkStart w:id="882" w:name="Tc_UW7Fy9wrbEejxU3G9-4zGQ_34_17"/>
      <w:bookmarkStart w:id="883" w:name="Tc_D8YbSXZPdEGwXwYro49jSQ_34_11"/>
      <w:bookmarkStart w:id="884" w:name="Tc_FxBhobMZe0eD_D3YNcSbFA_34_5"/>
      <w:bookmarkStart w:id="885" w:name="Tc_BnleI0ahoUm4GXJdnhkD9A_34_2"/>
      <w:bookmarkStart w:id="886" w:name="Tc_e1TiRt_iNEqBV9i5rJBDPA_34_0"/>
      <w:bookmarkStart w:id="887" w:name="Tc_uAxKImlg0UGAupdThnfHOg_33_20"/>
      <w:bookmarkStart w:id="888" w:name="Tc_Bbe2IOcYJkixfN8CsQ2ZIQ_33_17"/>
      <w:bookmarkStart w:id="889" w:name="Tc_Ph5-VzwUZUeb_NNaltU-4w_33_11"/>
      <w:bookmarkStart w:id="890" w:name="Tc_r8zC0waHA0uTeyRSSwlbSw_33_8"/>
      <w:bookmarkStart w:id="891" w:name="Tc_3M9CtJUP7EOWwrf7uW20tg_33_0"/>
      <w:bookmarkStart w:id="892" w:name="Tc_myY_UayLkEuFZCzonGj8FA_32_17"/>
      <w:bookmarkStart w:id="893" w:name="Tc_QDBsa5IryEi13e4xh09OJQ_32_14"/>
      <w:bookmarkStart w:id="894" w:name="Tc_gd_7Enp8Y0SocHwxOBWnzw_32_11"/>
      <w:bookmarkStart w:id="895" w:name="Tc_rVG50KUbh0C919k2NFHFAg_32_8"/>
      <w:bookmarkStart w:id="896" w:name="Tc_C-HEsdxn806H4nkxfmnvvg_32_5"/>
      <w:bookmarkStart w:id="897" w:name="Tc_4jwGNd9KZkii-9jALsAe1w_32_2"/>
      <w:bookmarkStart w:id="898" w:name="Tc_nH8hfdw2o0-KQAz6_4q8Ow_32_0"/>
      <w:bookmarkStart w:id="899" w:name="Tc_ogTPkWGTZE-8DjhIHNN38w_31_22"/>
      <w:bookmarkStart w:id="900" w:name="Tc_euhX4uU-3U2rqnXCtHQlLQ_31_19"/>
      <w:bookmarkStart w:id="901" w:name="Tc_Gf-unsv160KkCHdTZaWakQ_31_16"/>
      <w:bookmarkStart w:id="902" w:name="Tc_XpAz0ZBExU6iR3YF3h_2JA_31_13"/>
      <w:bookmarkStart w:id="903" w:name="Tc_ggrLCiDjnkurqkLL-m0xVg_31_10"/>
      <w:bookmarkStart w:id="904" w:name="Tc_Cg4W6O0YD0SzB8GbFJXFMg_31_4"/>
      <w:bookmarkStart w:id="905" w:name="Tc_-KoTZGZlREybs8uGe14jXw_31_0"/>
      <w:bookmarkStart w:id="906" w:name="Tc_V6KwcYfeEk6PZKeXeEb6zw_30_22"/>
      <w:bookmarkStart w:id="907" w:name="Tc_jPboJB_oa0WNDO8i0NE0Dw_30_19"/>
      <w:bookmarkStart w:id="908" w:name="Tc_z8p7yFUlyk2NsCRZCZ-tIw_30_16"/>
      <w:bookmarkStart w:id="909" w:name="Tc_uc2ifh2a10GW1DQ08VDV1Q_30_13"/>
      <w:bookmarkStart w:id="910" w:name="Tc_xOsPfhiCWkykzjZ27RawXg_30_10"/>
      <w:bookmarkStart w:id="911" w:name="Tc_yGTC8ruyGUC8vVsXSN6RHA_30_8"/>
      <w:bookmarkStart w:id="912" w:name="Tc_RBKbpn22yEazgrGGWuHNWQ_30_4"/>
      <w:bookmarkStart w:id="913" w:name="Tc_Xz_TXoGnDkWVnnLZS2nldw_30_2"/>
      <w:bookmarkStart w:id="914" w:name="Tc_xAIrsRJbHUKW0Uw-wzo10Q_29_22"/>
      <w:bookmarkStart w:id="915" w:name="Tc_gS75lwGldUes5hVxX25wVw_29_19"/>
      <w:bookmarkStart w:id="916" w:name="Tc_yJKvAU-1JkKrBUnC3kj2uQ_29_16"/>
      <w:bookmarkStart w:id="917" w:name="Tc_XOnODuaIOkaqpNSdUJNELQ_29_13"/>
      <w:bookmarkStart w:id="918" w:name="Tc_8c2_fAA-tEK4h2GP3eE9FA_29_8"/>
      <w:bookmarkStart w:id="919" w:name="Tc_1gkXGwYbS0CTsRWFMLmi_Q_29_2"/>
      <w:bookmarkStart w:id="920" w:name="Tc_eXjpJWNW502PzihhYQkS-Q_28_22"/>
      <w:bookmarkStart w:id="921" w:name="Tc_P0un4NmmT0O9ZtJh9WJ0kQ_28_19"/>
      <w:bookmarkStart w:id="922" w:name="Tc_EWsBSpi8tEqMrTEV2JWJqw_28_13"/>
      <w:bookmarkStart w:id="923" w:name="Tc_EXwqUr7LBEmj4gUjRaNAZA_27_19"/>
      <w:bookmarkStart w:id="924" w:name="Tc_0rQqxGa6VEqgUCNT2Pdpyg_26_2"/>
      <w:bookmarkStart w:id="925" w:name="Tc_-m6nnbXraEGkFuWn3N1B0w_23_22"/>
      <w:bookmarkStart w:id="926" w:name="Tc_8apsybd_g0GCVTN9iCXNlQ_23_19"/>
      <w:bookmarkStart w:id="927" w:name="Tc_5zVFdhC2FEyBfglRRMBolQ_23_16"/>
      <w:bookmarkStart w:id="928" w:name="Tc_baMVgEOkRUy8U7ICyCnfBw_23_13"/>
      <w:bookmarkStart w:id="929" w:name="Tc_SNskfwmR4EmSjIyZgKEyCg_23_10"/>
      <w:bookmarkStart w:id="930" w:name="Tc_B0YvaQzYRkuYFUfav194Hw_23_5"/>
      <w:bookmarkStart w:id="931" w:name="Tc_Z7pe6uelO0yYRcgsBku0SQ_23_4"/>
      <w:bookmarkStart w:id="932" w:name="Tc_KIEVnyDnYE-SCrJLhulrFw_23_2"/>
      <w:bookmarkStart w:id="933" w:name="Tc_J5M1gKVNxEejTVTB0bLqyQ_23_0"/>
      <w:bookmarkStart w:id="934" w:name="Tc_v7smev_Dw0CJgl0f6K_p0w_22_20"/>
      <w:bookmarkStart w:id="935" w:name="Tc_q6l_SFOgSUSaVTin1aEfsw_22_14"/>
      <w:bookmarkStart w:id="936" w:name="Tc_-r7hF7LRjkSoYuc1qkhYjA_22_11"/>
      <w:bookmarkStart w:id="937" w:name="Tc_G33mj2Idw0i6WFELyBt4QQ_22_8"/>
      <w:bookmarkStart w:id="938" w:name="Tc_CVwepaS60kK8HvbQpFWuSg_22_5"/>
      <w:bookmarkStart w:id="939" w:name="Tc_oNoy8c8DyEy77BmBefJ59w_22_2"/>
      <w:bookmarkStart w:id="940" w:name="Tc_8e_OmyZ9kkKauHjQJQy07Q_22_0"/>
      <w:bookmarkStart w:id="941" w:name="Tc_YvrQUWQ1F0qDw71eQwazYA_21_23"/>
      <w:bookmarkStart w:id="942" w:name="Tc_MXXm4MQeLUy_eT8ixvoyLw_21_20"/>
      <w:bookmarkStart w:id="943" w:name="Tc_DB-sO5vjMkeZqDG6CVLafg_21_17"/>
      <w:bookmarkStart w:id="944" w:name="Tc_DIwiJhc2bUOEnq8LB4G89w_21_14"/>
      <w:bookmarkStart w:id="945" w:name="Tc_xQn5ga7C2EOOC5Ws23Ouog_21_11"/>
      <w:bookmarkStart w:id="946" w:name="Tc_f0wv3HKpRUWehC1dgCCXVQ_21_5"/>
      <w:bookmarkStart w:id="947" w:name="Tc_ze68pjsSsEGpmr7Ft0E6ug_21_2"/>
      <w:bookmarkStart w:id="948" w:name="Tc_ZdbtQ8LrIUSHZpitu8ME_Q_21_0"/>
      <w:bookmarkStart w:id="949" w:name="Tc_N-ZOxsZb6U21Lnjp6gbwhw_20_17"/>
      <w:bookmarkStart w:id="950" w:name="Tc_xMXM1-KaykuaVh9tXhq1fg_20_14"/>
      <w:bookmarkStart w:id="951" w:name="Tc_wcvi26xox0iW-6pZgrVe7Q_20_11"/>
      <w:bookmarkStart w:id="952" w:name="Tc_r2lxtquGsEayKHjdo872UQ_20_8"/>
      <w:bookmarkStart w:id="953" w:name="Tc_NBA9dMiGeU2NthtM3yOJGw_20_5"/>
      <w:bookmarkStart w:id="954" w:name="Tc_fFIkiJo80EWLBeE1SvcKEw_20_2"/>
      <w:bookmarkStart w:id="955" w:name="Tc_YfraKNKMYEGF0Wf8B_lPwQ_20_0"/>
      <w:bookmarkStart w:id="956" w:name="Tc_CLsheqexkE-VkjZ1Od4beA_19_22"/>
      <w:bookmarkStart w:id="957" w:name="Tc_ZYFZNKSDCEi05kMnfPSxDw_19_20"/>
      <w:bookmarkStart w:id="958" w:name="Tc_jSc-KVE1tkaxe74TexTfMA_19_19"/>
      <w:bookmarkStart w:id="959" w:name="Tc_oBWFUdYik0GH1KiUsQifMA_19_16"/>
      <w:bookmarkStart w:id="960" w:name="Tc_EkCqWanfD0Ca_SYbjSa6LA_19_13"/>
      <w:bookmarkStart w:id="961" w:name="Tc_1iO6jPnXd0y1MMvcIS2PTg_19_10"/>
      <w:bookmarkStart w:id="962" w:name="Tc_R-CH7Ewi2k23xFOcAy9CtA_19_5"/>
      <w:bookmarkStart w:id="963" w:name="Tc_cpQ-rDguiEmJQLEX0DSKkw_19_4"/>
      <w:bookmarkStart w:id="964" w:name="Tc_ve8v8_Gww0afyPkTq5n5Sw_19_2"/>
      <w:bookmarkStart w:id="965" w:name="Tc_z56GvtlH8E-Aez4NTGKh7A_19_0"/>
      <w:bookmarkStart w:id="966" w:name="Tc_Ozk3UuGhr0GJAm-rKxx-9g_18_22"/>
      <w:bookmarkStart w:id="967" w:name="Tc_XSbG7T2sTEmPbyAGSJ6juw_18_19"/>
      <w:bookmarkStart w:id="968" w:name="Tc_-8xw9-TqH0mlgfL8C2xXgA_18_16"/>
      <w:bookmarkStart w:id="969" w:name="Tc_FvD652kNW0mJnajcX0vxSw_18_13"/>
      <w:bookmarkStart w:id="970" w:name="Tc_ZBLuHqXUFUy-FXv4gzQSnw_18_10"/>
      <w:bookmarkStart w:id="971" w:name="Tc_MBocdm3WKkGnplK1IRKElQ_18_8"/>
      <w:bookmarkStart w:id="972" w:name="Tc_5dqHlsA5wUCD-ALng6q-HQ_18_4"/>
      <w:bookmarkStart w:id="973" w:name="Tc_sPGKwPpz80uxUH7y51D1OA_18_2"/>
      <w:bookmarkStart w:id="974" w:name="Tc_iQYuO8fPf0WsXitGskjReg_17_22"/>
      <w:bookmarkStart w:id="975" w:name="Tc_ud-XV2htckqg7xe0pH6FHQ_17_19"/>
      <w:bookmarkStart w:id="976" w:name="Tc_zlLSSXOIgkyUAQQadMWoXw_17_16"/>
      <w:bookmarkStart w:id="977" w:name="Tc_FAZxPWbvyk-D8wUl3t_A0Q_17_13"/>
      <w:bookmarkStart w:id="978" w:name="Tc_gBGUISlg80ihplOFsm8uLQ_17_8"/>
      <w:bookmarkStart w:id="979" w:name="Tc_mGQz5jGBJE-SGn8Wn4xnvg_17_2"/>
      <w:bookmarkStart w:id="980" w:name="Tc_8oQ0ogrbWEChp9PeWScJPw_16_22"/>
      <w:bookmarkStart w:id="981" w:name="Tc_RziAbRYYhU2kUXtiWL2_jQ_16_19"/>
      <w:bookmarkStart w:id="982" w:name="Tc_klMBS27RDEyuU8twG4c88A_16_13"/>
      <w:bookmarkStart w:id="983" w:name="Tc_HT8f0fFLekC_Tq2O4iK8rA_15_19"/>
      <w:bookmarkStart w:id="984" w:name="Tc_l937SsEgwU-jE02xvEOQEw_12_22"/>
      <w:bookmarkStart w:id="985" w:name="Tc_ygPuTYuL_UyVc3U-j_U2uA_12_19"/>
      <w:bookmarkStart w:id="986" w:name="Tc_PuILv9TwzEeIS40d17FfzQ_12_16"/>
      <w:bookmarkStart w:id="987" w:name="Tc_yk2CeQDAi0yqfllj9KnHJQ_12_13"/>
      <w:bookmarkStart w:id="988" w:name="Tc_gPcntAUwJUOMbjS71GITYA_12_10"/>
      <w:bookmarkStart w:id="989" w:name="Tc_3U9f9FAYJEKiEbfqSCt_lg_12_4"/>
      <w:bookmarkStart w:id="990" w:name="Tc_3V_W5aRROUaTTO5NKo7Igg_12_0"/>
      <w:bookmarkStart w:id="991" w:name="Tc_Y4Ozo0eaT0-dulyPtN0C5w_11_20"/>
      <w:bookmarkStart w:id="992" w:name="Tc_xkmiWbgmLkOTy1w0TF9vYQ_11_14"/>
      <w:bookmarkStart w:id="993" w:name="Tc_F-S09H2e3UK__OeUrFRVRg_11_11"/>
      <w:bookmarkStart w:id="994" w:name="Tc_wFAnFFP-_kK0GfD5Qi_n4Q_11_8"/>
      <w:bookmarkStart w:id="995" w:name="Tc_YqeXlXfFQ02okHOwbpA6cA_11_5"/>
      <w:bookmarkStart w:id="996" w:name="Tc_yz_N2Vdkaki6jGx2camSYw_11_2"/>
      <w:bookmarkStart w:id="997" w:name="Tc_51ZcZdwNiEma4heZAjbThA_11_0"/>
      <w:bookmarkStart w:id="998" w:name="Tc_Vxd_rln0IUGkKg3_yKTFSg_10_20"/>
      <w:bookmarkStart w:id="999" w:name="Tc_rs9QTgXcoU-QOFeRxnHKjA_10_17"/>
      <w:bookmarkStart w:id="1000" w:name="Tc_3heL8czJ30-Ti6twsfUrfw_10_11"/>
      <w:bookmarkStart w:id="1001" w:name="Tc_yicFkMKV_EGU7enUO6Uzow_10_8"/>
      <w:bookmarkStart w:id="1002" w:name="Tc_HI6JrFBDLU2a1nGrL8Z9hg_10_5"/>
      <w:bookmarkStart w:id="1003" w:name="Tc_6ZeTRuil1kq7VC4DdKcPcg_10_2"/>
      <w:bookmarkStart w:id="1004" w:name="Tc_GgK6_Eiu2kuV4TyojDub0Q_10_0"/>
      <w:bookmarkStart w:id="1005" w:name="Tc_LWo0PcvtLUWTDreFswSBaA_9_20"/>
      <w:bookmarkStart w:id="1006" w:name="Tc_ruo1TE3cvUqizAHn96lzGw_9_17"/>
      <w:bookmarkStart w:id="1007" w:name="Tc_wy-RzBVxAU-jDvSdWh_e2Q_9_11"/>
      <w:bookmarkStart w:id="1008" w:name="Tc_BfPBxEmqU0y1cEBd_SzR-A_9_5"/>
      <w:bookmarkStart w:id="1009" w:name="Tc_H4GHZJdQ0ECV6B1fhsg3Kw_9_2"/>
      <w:bookmarkStart w:id="1010" w:name="Tc_RtxLEymcwU-V95vtucwpBw_9_0"/>
      <w:bookmarkStart w:id="1011" w:name="Tc_z9wDcs6BQU-tQ9rWq5DUSw_8_17"/>
      <w:bookmarkStart w:id="1012" w:name="Tc_AYq2Qpv3tkO3oHKRZbMZOw_8_14"/>
      <w:bookmarkStart w:id="1013" w:name="Tc_jWny8eZhWU6cr-usA3u1EQ_8_11"/>
      <w:bookmarkStart w:id="1014" w:name="Tc_6XEYf7Md30-rltxR64vZFw_8_8"/>
      <w:bookmarkStart w:id="1015" w:name="Tc_8euvWfTCOEOJiVH37aZugg_8_5"/>
      <w:bookmarkStart w:id="1016" w:name="Tc_Eujvb4xpuE-d2KBweCIJDQ_8_2"/>
      <w:bookmarkStart w:id="1017" w:name="Tc_3VN64alLpkG04K0MExiEqA_8_0"/>
      <w:bookmarkStart w:id="1018" w:name="Tc_vhZnnxZYT02sUdanNEQeLw_7_22"/>
      <w:bookmarkStart w:id="1019" w:name="Tc_q1WSmFYBt0enPXetX0ju8w_7_19"/>
      <w:bookmarkStart w:id="1020" w:name="Tc_8m6cclTc_UyrQR7KsyKqvg_7_16"/>
      <w:bookmarkStart w:id="1021" w:name="Tc_5SfnrgKJdEGAOjj2rSLx7w_7_13"/>
      <w:bookmarkStart w:id="1022" w:name="Tc_DZRR4x_hKUuWGPbsrx7hhA_7_10"/>
      <w:bookmarkStart w:id="1023" w:name="Tc_oXRjAfQQmkCvBhESgDjdpQ_7_4"/>
      <w:bookmarkStart w:id="1024" w:name="Tc_0__zOYk3N0i7Dd9Cz8TlXw_7_0"/>
      <w:bookmarkStart w:id="1025" w:name="Tc_Mun6wyhtnkSYtuQ-Ank_6g_6_22"/>
      <w:bookmarkStart w:id="1026" w:name="Tc_qh4_xHMTGUmiFyLfjS9fCQ_6_19"/>
      <w:bookmarkStart w:id="1027" w:name="Tc_wgAlVnDFe06NMFNwCimQBg_6_16"/>
      <w:bookmarkStart w:id="1028" w:name="Tc_XMtl9qMCYkOxuB14SA9CMw_6_13"/>
      <w:bookmarkStart w:id="1029" w:name="Tc_vgl_LZNOs0W4eBbbClrcUw_6_10"/>
      <w:bookmarkStart w:id="1030" w:name="Tc__AZKW8tDf02737trED7A7w_6_8"/>
      <w:bookmarkStart w:id="1031" w:name="Tc_w3eMMNeask-y6BwFD_YfQw_6_4"/>
      <w:bookmarkStart w:id="1032" w:name="Tc_iemrovdIlEaFv7sb9Tvvow_6_2"/>
      <w:bookmarkStart w:id="1033" w:name="Tc_HDFJMM89-UOCA1C_PKQm4Q_5_22"/>
      <w:bookmarkStart w:id="1034" w:name="Tc_2jUFJxRHcU-Awwkw_8AqXw_5_19"/>
      <w:bookmarkStart w:id="1035" w:name="Tc_T7lIapBrSU6RHD_LFlC2Uw_5_16"/>
      <w:bookmarkStart w:id="1036" w:name="Tc_0bVJoWZEIEeGMtqJN1FxvA_5_13"/>
      <w:bookmarkStart w:id="1037" w:name="Tc_4xkNLL2Fck-ZX2R2wQ1SGA_5_8"/>
      <w:bookmarkStart w:id="1038" w:name="Tc_WLlRaSBgHEaeF9yCK6VGPg_5_2"/>
      <w:bookmarkStart w:id="1039" w:name="Tc_uuF6yBTWu0iQqUvraFxTIA_4_22"/>
      <w:bookmarkStart w:id="1040" w:name="Tc_HbB8ju0si0a-Lia0uhi6BA_4_19"/>
      <w:bookmarkStart w:id="1041" w:name="Tc_A00gyX8cdUuIKtE-7Vbtww_4_13"/>
      <w:bookmarkStart w:id="1042" w:name="Tc_-y0xOyk9mUizX14TyXAy8Q_3_19"/>
      <w:bookmarkStart w:id="1043" w:name="Tc_2SaQRJFMfkG2tgWtNcv8Sg_2_2"/>
      <w:bookmarkStart w:id="1044" w:name="_fb181693_e669_49f2_bb1d_9129fe02484a"/>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tbl>
      <w:tblPr>
        <w:tblW w:w="11630" w:type="dxa"/>
        <w:jc w:val="left"/>
        <w:tblInd w:w="0" w:type="dxa"/>
        <w:tblLayout w:type="fixed"/>
        <w:tblCellMar>
          <w:top w:w="0" w:type="dxa"/>
          <w:left w:w="0" w:type="dxa"/>
          <w:bottom w:w="0" w:type="dxa"/>
          <w:right w:w="0" w:type="dxa"/>
        </w:tblCellMar>
      </w:tblPr>
      <w:tblGrid>
        <w:gridCol w:w="1561"/>
        <w:gridCol w:w="326"/>
        <w:gridCol w:w="826"/>
        <w:gridCol w:w="326"/>
        <w:gridCol w:w="196"/>
        <w:gridCol w:w="601"/>
        <w:gridCol w:w="109"/>
        <w:gridCol w:w="109"/>
        <w:gridCol w:w="916"/>
        <w:gridCol w:w="326"/>
        <w:gridCol w:w="249"/>
        <w:gridCol w:w="442"/>
        <w:gridCol w:w="386"/>
        <w:gridCol w:w="214"/>
        <w:gridCol w:w="657"/>
        <w:gridCol w:w="326"/>
        <w:gridCol w:w="217"/>
        <w:gridCol w:w="834"/>
        <w:gridCol w:w="326"/>
        <w:gridCol w:w="439"/>
        <w:gridCol w:w="777"/>
        <w:gridCol w:w="386"/>
        <w:gridCol w:w="213"/>
        <w:gridCol w:w="868"/>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91235" cy="175260"/>
                      <wp:effectExtent l="0" t="0" r="0" b="0"/>
                      <wp:wrapNone/>
                      <wp:docPr id="34" name="Frame34"/>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4510" cy="175260"/>
                      <wp:effectExtent l="0" t="0" r="0" b="0"/>
                      <wp:wrapNone/>
                      <wp:docPr id="36" name="Frame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81635" cy="175260"/>
                      <wp:effectExtent l="0" t="0" r="0" b="0"/>
                      <wp:wrapNone/>
                      <wp:docPr id="39" name="Frame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81660" cy="175260"/>
                      <wp:effectExtent l="0" t="0" r="0" b="0"/>
                      <wp:wrapNone/>
                      <wp:docPr id="42" name="Frame4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8115" cy="175260"/>
                      <wp:effectExtent l="0" t="0" r="0" b="0"/>
                      <wp:wrapNone/>
                      <wp:docPr id="44" name="Frame4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80670" cy="175260"/>
                      <wp:effectExtent l="0" t="0" r="0" b="0"/>
                      <wp:wrapNone/>
                      <wp:docPr id="45" name="Frame4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45110" cy="175260"/>
                      <wp:effectExtent l="0" t="0" r="0" b="0"/>
                      <wp:wrapNone/>
                      <wp:docPr id="46" name="Frame4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5890" cy="175260"/>
                      <wp:effectExtent l="0" t="0" r="0" b="0"/>
                      <wp:wrapNone/>
                      <wp:docPr id="47" name="Frame4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17195" cy="175260"/>
                      <wp:effectExtent l="0" t="0" r="0" b="0"/>
                      <wp:wrapNone/>
                      <wp:docPr id="48" name="Frame48"/>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7795" cy="175260"/>
                      <wp:effectExtent l="0" t="0" r="0" b="0"/>
                      <wp:wrapNone/>
                      <wp:docPr id="50" name="Frame5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9590" cy="175260"/>
                      <wp:effectExtent l="0" t="0" r="0" b="0"/>
                      <wp:wrapNone/>
                      <wp:docPr id="51" name="Frame5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78765" cy="175260"/>
                      <wp:effectExtent l="0" t="0" r="0" b="0"/>
                      <wp:wrapNone/>
                      <wp:docPr id="53" name="Frame53"/>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3395" cy="175260"/>
                      <wp:effectExtent l="0" t="0" r="0" b="0"/>
                      <wp:wrapNone/>
                      <wp:docPr id="54" name="Frame54"/>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45110" cy="175260"/>
                      <wp:effectExtent l="0" t="0" r="0" b="0"/>
                      <wp:wrapNone/>
                      <wp:docPr id="55" name="Frame5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5255" cy="175260"/>
                      <wp:effectExtent l="0" t="0" r="0" b="0"/>
                      <wp:wrapNone/>
                      <wp:docPr id="56" name="Frame5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51180" cy="175260"/>
                      <wp:effectExtent l="0" t="0" r="0" b="0"/>
                      <wp:wrapNone/>
                      <wp:docPr id="57" name="Frame57"/>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3" w:type="dxa"/>
            <w:gridSpan w:val="2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2024 (Predecessor)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4,732,044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86,783</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780,180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6,163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(146,692)</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(140,506)</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option exercises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(8,235)</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(8,235)</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July 30, 2024 (Predecessor)</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4,732,044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86,783</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780,213</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6,591</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(154,927)</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(148,315)</w:t>
            </w:r>
          </w:p>
        </w:tc>
      </w:tr>
      <w:tr>
        <w:trPr/>
        <w:tc>
          <w:tcPr>
            <w:tcW w:w="156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4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4"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3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12" w:space="0" w:color="000000"/>
            </w:tcBorders>
            <w:tcMar>
              <w:bottom w:w="28" w:type="dxa"/>
            </w:tcM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July 31,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13,387,636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(16,823)</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72,964</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Sponsor Earnout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1,147,500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14,535,136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(13,217)</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76,561</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43" w:type="dxa"/>
            <w:gridSpan w:val="2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 (Predecessor)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91,469</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779,908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(133,649)</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(132,023)</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Exchange preferred stock for pre-funded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(207,902)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(4,686)</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option exercises</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(21,278)</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(21,278)</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July 30, 2024 (Predecessor)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4,732,044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86,783</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780,213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(154,927)</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(148,315)</w: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July 31,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13,387,636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(16,823)</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72,964</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Sponsor Earnout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1,147,500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14,535,136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(13,217)</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76,561</w:t>
            </w:r>
          </w:p>
        </w:tc>
      </w:tr>
      <w:tr>
        <w:trPr/>
        <w:tc>
          <w:tcPr>
            <w:tcW w:w="1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12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45" w:name="_54966fa9_1282_4868_bde0_fe4f3d33bc83"/>
      <w:bookmarkEnd w:id="1045"/>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1046" w:name="CFS"/>
      <w:bookmarkEnd w:id="1046"/>
      <w:r>
        <w:rPr>
          <w:rFonts w:ascii="Times New Roman;Times;serif" w:hAnsi="Times New Roman;Times;serif"/>
          <w:b/>
          <w:sz w:val="20"/>
        </w:rPr>
        <w:t>Condensed Consolidated Statements of Cash Flows</w:t>
        <w:br/>
      </w:r>
      <w:r>
        <w:rPr>
          <w:rFonts w:ascii="Times New Roman;Times;serif" w:hAnsi="Times New Roman;Times;serif"/>
          <w:b w:val="false"/>
          <w:i/>
          <w:sz w:val="20"/>
        </w:rPr>
        <w:t xml:space="preserve">(in thousands) </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047" w:name="Tc_q9xbWcdS-UCCnBtknlfXOQ_44_9"/>
      <w:bookmarkStart w:id="1048" w:name="Tc_gd09fQR4T0-lUNYoHuwHGg_44_6"/>
      <w:bookmarkStart w:id="1049" w:name="Tc_DQ5ioaetvE6U5nThIdlCPA_44_5"/>
      <w:bookmarkStart w:id="1050" w:name="Tc_-jE8poB2vES-CYjHmjZqbQ_44_3"/>
      <w:bookmarkStart w:id="1051" w:name="Tc_q_ZiV7Fve0Gziy-PMVJoeQ_44_2"/>
      <w:bookmarkStart w:id="1052" w:name="Tc_9WzMNH4NhUWKCWNLyPRWww_44_0"/>
      <w:bookmarkStart w:id="1053" w:name="Tc_HuF3vhPrKEOje1ECiyI1Rg_43_9"/>
      <w:bookmarkStart w:id="1054" w:name="Tc_1I087RJtWU-d-nyxo-9rHA_43_6"/>
      <w:bookmarkStart w:id="1055" w:name="Tc_IhbaWPBqGEuDU6JWvKBuMw_43_5"/>
      <w:bookmarkStart w:id="1056" w:name="Tc_EG-5WMh9hUuR9Lxj0wFY-A_43_3"/>
      <w:bookmarkStart w:id="1057" w:name="Tc_ZNvoZ3g1A0OG3rYNFVnqlQ_43_2"/>
      <w:bookmarkStart w:id="1058" w:name="Tc_6TevQXrWB06Y2JAT8EMvGg_43_0"/>
      <w:bookmarkStart w:id="1059" w:name="Tc_EZqRQzHPP0aXBMs19cd-2A_42_9"/>
      <w:bookmarkStart w:id="1060" w:name="Tc_FIwVbXVIbU2B86Ry5aUKGA_42_6"/>
      <w:bookmarkStart w:id="1061" w:name="Tc_8bCPNmmpMUqqyzoqxYta0A_42_5"/>
      <w:bookmarkStart w:id="1062" w:name="Tc_zEMWe6jIr0SZdnQ0WmYEzA_42_3"/>
      <w:bookmarkStart w:id="1063" w:name="Tc_hvx3JHXfjk-LHpE-z1AIEw_42_2"/>
      <w:bookmarkStart w:id="1064" w:name="Tc_B9R9NsG2gUyj7YBGYsjeug_42_0"/>
      <w:bookmarkStart w:id="1065" w:name="Tc_CvbrgASGL0yhHl4iUqi5mQ_41_0"/>
      <w:bookmarkStart w:id="1066" w:name="Tc_fz_iSBVVhEej1c766oTrxg_40_9"/>
      <w:bookmarkStart w:id="1067" w:name="Tc_27f2_sDd7USGFmL84dKJ5A_40_6"/>
      <w:bookmarkStart w:id="1068" w:name="Tc_BFSEg5lBz0SjZEktp2tVuQ_40_5"/>
      <w:bookmarkStart w:id="1069" w:name="Tc_UfZNT5LsS0C4bTm9CM2dBA_40_3"/>
      <w:bookmarkStart w:id="1070" w:name="Tc_ugfq_WP2t0SHHMOPqX1ggw_40_2"/>
      <w:bookmarkStart w:id="1071" w:name="Tc_GQ0KApNlk0i1USoBI1fNsw_40_0"/>
      <w:bookmarkStart w:id="1072" w:name="Tc_o6RqaBH4nkmBj_TUlrqipg_39_0"/>
      <w:bookmarkStart w:id="1073" w:name="Tc_w5BZqCasCUS8vcB4vLOhrg_37_9"/>
      <w:bookmarkStart w:id="1074" w:name="Tc_mA1yZAgoh0WGAZJaDTqnXg_37_5"/>
      <w:bookmarkStart w:id="1075" w:name="Tc_KD68SoIndUOpJvEt0Jbpjg_37_2"/>
      <w:bookmarkStart w:id="1076" w:name="Tc_CPZUQE3oSEii92LxdTC5dA_37_0"/>
      <w:bookmarkStart w:id="1077" w:name="Tc_QzMgi7mNP06FsPZVaVaMSw_36_0"/>
      <w:bookmarkStart w:id="1078" w:name="Tc_LZcmr_5UeEGPiaUeM2EDxA_35_0"/>
      <w:bookmarkStart w:id="1079" w:name="Tc_GYA9BzD0UkGfSmfsONo4MQ_34_0"/>
      <w:bookmarkStart w:id="1080" w:name="Tc_mgFAskRV9keeXtenIFxeOA_33_6"/>
      <w:bookmarkStart w:id="1081" w:name="Tc_QsM6i4Kyo0OAuTHfg4psWA_33_3"/>
      <w:bookmarkStart w:id="1082" w:name="Tc_yamt1Rh2ekqnxhRsOKPmAA_33_0"/>
      <w:bookmarkStart w:id="1083" w:name="Tc_6duHgHwNnkWRA13ycOY7sA_32_6"/>
      <w:bookmarkStart w:id="1084" w:name="Tc_WhoVgEDPrk-eU30KYw0ZRA_32_3"/>
      <w:bookmarkStart w:id="1085" w:name="Tc_70ehrtGawEqj2OZBuNc06g_32_0"/>
      <w:bookmarkStart w:id="1086" w:name="Tc_yZcZGvoXUkKNnjVa1XOF9g_31_6"/>
      <w:bookmarkStart w:id="1087" w:name="Tc_sIA15ELErE-mnlIkoRwUuw_31_3"/>
      <w:bookmarkStart w:id="1088" w:name="Tc_ABcvGW4prU2OYiQ-jlF5ew_31_0"/>
      <w:bookmarkStart w:id="1089" w:name="Tc_8yogeOrSh0iqS4nKjddPnw_30_0"/>
      <w:bookmarkStart w:id="1090" w:name="Tc_0KXbafavpEW8C2nGe-zDNQ_29_0"/>
      <w:bookmarkStart w:id="1091" w:name="Tc_1s29FmN7KEq49ILXbb5ImQ_28_0"/>
      <w:bookmarkStart w:id="1092" w:name="Tc_BDlneAYhukWOsLVvqejZCw_27_0"/>
      <w:bookmarkStart w:id="1093" w:name="Tc_m3VMDcu81k2T3Qbg7WmdnQ_26_0"/>
      <w:bookmarkStart w:id="1094" w:name="Tc_o-dJthKVwEOXDXrjjj0-kA_25_10"/>
      <w:bookmarkStart w:id="1095" w:name="Tc_dfUN0633rUGP7Vr-44V8QA_25_6"/>
      <w:bookmarkStart w:id="1096" w:name="Tc_OZu89HB5fkurhyHP17AMNQ_25_0"/>
      <w:bookmarkStart w:id="1097" w:name="Tc_RL4424QVfUKiGy-lR8vzng_24_0"/>
      <w:bookmarkStart w:id="1098" w:name="Tc_K8foJbg6i0m4tM6J_1iYjw_23_0"/>
      <w:bookmarkStart w:id="1099" w:name="Tc_0fp0z6SRqU6T3OIsxYLc4w_22_6"/>
      <w:bookmarkStart w:id="1100" w:name="Tc_X1ILO7SPdEGzcsga8AOanQ_22_3"/>
      <w:bookmarkStart w:id="1101" w:name="Tc_PF286tUickqVZpig_2_erA_22_0"/>
      <w:bookmarkStart w:id="1102" w:name="Tc_OcIOlzmhDkS6rPkzk6HmLQ_21_0"/>
      <w:bookmarkStart w:id="1103" w:name="Tc_C63rjZuDw0q_5ENM2QYhHA_20_0"/>
      <w:bookmarkStart w:id="1104" w:name="Tc_FJZiWbckEkSwUCuE80Fh3g_19_0"/>
      <w:bookmarkStart w:id="1105" w:name="Tc_8VVoURnmJkC9Pwv9ni5Z6g_18_0"/>
      <w:bookmarkStart w:id="1106" w:name="Tc_9eSzxAq4z0WyWTwcnbFbbw_17_0"/>
      <w:bookmarkStart w:id="1107" w:name="Tc_TFF-vMy7a0WJEMYhmkmxcQ_16_0"/>
      <w:bookmarkStart w:id="1108" w:name="Tc_0Jst3ViOMECistceF3aV0A_15_0"/>
      <w:bookmarkStart w:id="1109" w:name="Tc_2J21yIqFYUay4x7a7VvGAw_14_0"/>
      <w:bookmarkStart w:id="1110" w:name="Tc_4k5-LEJ3YkS3Q78lec8PoQ_13_6"/>
      <w:bookmarkStart w:id="1111" w:name="Tc_NEb2qFkXYkexaE421bAusg_13_0"/>
      <w:bookmarkStart w:id="1112" w:name="Tc_OKYjKF1svkaH4OtLt0L8tA_12_6"/>
      <w:bookmarkStart w:id="1113" w:name="Tc_qgeL2K8VF0ybZ4JyBxKZ6A_12_3"/>
      <w:bookmarkStart w:id="1114" w:name="Tc_zUXOxW4_FkCAVHjjVetgMw_12_0"/>
      <w:bookmarkStart w:id="1115" w:name="Tc_6_5Ivd8pTUO7RQ_wzMsC6w_11_3"/>
      <w:bookmarkStart w:id="1116" w:name="Tc_-ZVJz97U00mD096TPmEA4g_11_0"/>
      <w:bookmarkStart w:id="1117" w:name="Tc_zlcB2QLEf0WMfZnu2BY0hw_10_6"/>
      <w:bookmarkStart w:id="1118" w:name="Tc_13LYmiI2Ykyud6F4n5cL0w_10_0"/>
      <w:bookmarkStart w:id="1119" w:name="Tc_cVRlCAqIKkeId8hJvHKzqw_9_3"/>
      <w:bookmarkStart w:id="1120" w:name="Tc_6X1p-WU2pkqynAIi7p5ibw_9_0"/>
      <w:bookmarkStart w:id="1121" w:name="Tc_CIdKpzly50yn7XiQKDFd1w_8_0"/>
      <w:bookmarkStart w:id="1122" w:name="Tc_f3JXNyyGXkivdi1R6z7i1g_7_0"/>
      <w:bookmarkStart w:id="1123" w:name="Tc_7d7q1xDM-0mTBcBbMy6hog_6_9"/>
      <w:bookmarkStart w:id="1124" w:name="Tc_QTR3Lo422EmRz5Z_13-Gyw_6_5"/>
      <w:bookmarkStart w:id="1125" w:name="Tc_HtoHpT4xJkuKG8tvUKdk9g_6_2"/>
      <w:bookmarkStart w:id="1126" w:name="Tc_3dV5o6Gr60GbwDtv2XPNOg_6_0"/>
      <w:bookmarkStart w:id="1127" w:name="Tc_iCs9DSbtuEKzeP5rVFwuug_5_0"/>
      <w:bookmarkStart w:id="1128" w:name="Tc_fxKjFx-j00G9DpUcFrKd6w_4_9"/>
      <w:bookmarkStart w:id="1129" w:name="Tc_A45k5fCA5kWxoVW8i8syXA_4_5"/>
      <w:bookmarkStart w:id="1130" w:name="Tc_IADgljd_xECpCXgk2g1KyQ_3_9"/>
      <w:bookmarkStart w:id="1131" w:name="Tc_iZC5yfv1f0azwiL6x-1_PQ_3_5"/>
      <w:bookmarkStart w:id="1132" w:name="Tc_RrZ8taf0rUC1lfDveSnB6w_3_2"/>
      <w:bookmarkStart w:id="1133" w:name="Tc_V0E7Yr-qWEaC48fK652YEw_2_5"/>
      <w:bookmarkStart w:id="1134" w:name="Tc_WuHQAWC8iEeLirniBbdqqw_2_2"/>
      <w:bookmarkStart w:id="1135" w:name="Tc_2HPTStIniUKI-jSzVlNZZw_1_2"/>
      <w:bookmarkStart w:id="1136" w:name="_5e98d05c_3c54_494f_9c35_03fe724e4755"/>
      <w:bookmarkStart w:id="1137" w:name="Tc_q9xbWcdS-UCCnBtknlfXOQ_44_9"/>
      <w:bookmarkStart w:id="1138" w:name="Tc_gd09fQR4T0-lUNYoHuwHGg_44_6"/>
      <w:bookmarkStart w:id="1139" w:name="Tc_DQ5ioaetvE6U5nThIdlCPA_44_5"/>
      <w:bookmarkStart w:id="1140" w:name="Tc_-jE8poB2vES-CYjHmjZqbQ_44_3"/>
      <w:bookmarkStart w:id="1141" w:name="Tc_q_ZiV7Fve0Gziy-PMVJoeQ_44_2"/>
      <w:bookmarkStart w:id="1142" w:name="Tc_9WzMNH4NhUWKCWNLyPRWww_44_0"/>
      <w:bookmarkStart w:id="1143" w:name="Tc_HuF3vhPrKEOje1ECiyI1Rg_43_9"/>
      <w:bookmarkStart w:id="1144" w:name="Tc_1I087RJtWU-d-nyxo-9rHA_43_6"/>
      <w:bookmarkStart w:id="1145" w:name="Tc_IhbaWPBqGEuDU6JWvKBuMw_43_5"/>
      <w:bookmarkStart w:id="1146" w:name="Tc_EG-5WMh9hUuR9Lxj0wFY-A_43_3"/>
      <w:bookmarkStart w:id="1147" w:name="Tc_ZNvoZ3g1A0OG3rYNFVnqlQ_43_2"/>
      <w:bookmarkStart w:id="1148" w:name="Tc_6TevQXrWB06Y2JAT8EMvGg_43_0"/>
      <w:bookmarkStart w:id="1149" w:name="Tc_EZqRQzHPP0aXBMs19cd-2A_42_9"/>
      <w:bookmarkStart w:id="1150" w:name="Tc_FIwVbXVIbU2B86Ry5aUKGA_42_6"/>
      <w:bookmarkStart w:id="1151" w:name="Tc_8bCPNmmpMUqqyzoqxYta0A_42_5"/>
      <w:bookmarkStart w:id="1152" w:name="Tc_zEMWe6jIr0SZdnQ0WmYEzA_42_3"/>
      <w:bookmarkStart w:id="1153" w:name="Tc_hvx3JHXfjk-LHpE-z1AIEw_42_2"/>
      <w:bookmarkStart w:id="1154" w:name="Tc_B9R9NsG2gUyj7YBGYsjeug_42_0"/>
      <w:bookmarkStart w:id="1155" w:name="Tc_CvbrgASGL0yhHl4iUqi5mQ_41_0"/>
      <w:bookmarkStart w:id="1156" w:name="Tc_fz_iSBVVhEej1c766oTrxg_40_9"/>
      <w:bookmarkStart w:id="1157" w:name="Tc_27f2_sDd7USGFmL84dKJ5A_40_6"/>
      <w:bookmarkStart w:id="1158" w:name="Tc_BFSEg5lBz0SjZEktp2tVuQ_40_5"/>
      <w:bookmarkStart w:id="1159" w:name="Tc_UfZNT5LsS0C4bTm9CM2dBA_40_3"/>
      <w:bookmarkStart w:id="1160" w:name="Tc_ugfq_WP2t0SHHMOPqX1ggw_40_2"/>
      <w:bookmarkStart w:id="1161" w:name="Tc_GQ0KApNlk0i1USoBI1fNsw_40_0"/>
      <w:bookmarkStart w:id="1162" w:name="Tc_o6RqaBH4nkmBj_TUlrqipg_39_0"/>
      <w:bookmarkStart w:id="1163" w:name="Tc_w5BZqCasCUS8vcB4vLOhrg_37_9"/>
      <w:bookmarkStart w:id="1164" w:name="Tc_mA1yZAgoh0WGAZJaDTqnXg_37_5"/>
      <w:bookmarkStart w:id="1165" w:name="Tc_KD68SoIndUOpJvEt0Jbpjg_37_2"/>
      <w:bookmarkStart w:id="1166" w:name="Tc_CPZUQE3oSEii92LxdTC5dA_37_0"/>
      <w:bookmarkStart w:id="1167" w:name="Tc_QzMgi7mNP06FsPZVaVaMSw_36_0"/>
      <w:bookmarkStart w:id="1168" w:name="Tc_LZcmr_5UeEGPiaUeM2EDxA_35_0"/>
      <w:bookmarkStart w:id="1169" w:name="Tc_GYA9BzD0UkGfSmfsONo4MQ_34_0"/>
      <w:bookmarkStart w:id="1170" w:name="Tc_mgFAskRV9keeXtenIFxeOA_33_6"/>
      <w:bookmarkStart w:id="1171" w:name="Tc_QsM6i4Kyo0OAuTHfg4psWA_33_3"/>
      <w:bookmarkStart w:id="1172" w:name="Tc_yamt1Rh2ekqnxhRsOKPmAA_33_0"/>
      <w:bookmarkStart w:id="1173" w:name="Tc_6duHgHwNnkWRA13ycOY7sA_32_6"/>
      <w:bookmarkStart w:id="1174" w:name="Tc_WhoVgEDPrk-eU30KYw0ZRA_32_3"/>
      <w:bookmarkStart w:id="1175" w:name="Tc_70ehrtGawEqj2OZBuNc06g_32_0"/>
      <w:bookmarkStart w:id="1176" w:name="Tc_yZcZGvoXUkKNnjVa1XOF9g_31_6"/>
      <w:bookmarkStart w:id="1177" w:name="Tc_sIA15ELErE-mnlIkoRwUuw_31_3"/>
      <w:bookmarkStart w:id="1178" w:name="Tc_ABcvGW4prU2OYiQ-jlF5ew_31_0"/>
      <w:bookmarkStart w:id="1179" w:name="Tc_8yogeOrSh0iqS4nKjddPnw_30_0"/>
      <w:bookmarkStart w:id="1180" w:name="Tc_0KXbafavpEW8C2nGe-zDNQ_29_0"/>
      <w:bookmarkStart w:id="1181" w:name="Tc_1s29FmN7KEq49ILXbb5ImQ_28_0"/>
      <w:bookmarkStart w:id="1182" w:name="Tc_BDlneAYhukWOsLVvqejZCw_27_0"/>
      <w:bookmarkStart w:id="1183" w:name="Tc_m3VMDcu81k2T3Qbg7WmdnQ_26_0"/>
      <w:bookmarkStart w:id="1184" w:name="Tc_o-dJthKVwEOXDXrjjj0-kA_25_10"/>
      <w:bookmarkStart w:id="1185" w:name="Tc_dfUN0633rUGP7Vr-44V8QA_25_6"/>
      <w:bookmarkStart w:id="1186" w:name="Tc_OZu89HB5fkurhyHP17AMNQ_25_0"/>
      <w:bookmarkStart w:id="1187" w:name="Tc_RL4424QVfUKiGy-lR8vzng_24_0"/>
      <w:bookmarkStart w:id="1188" w:name="Tc_K8foJbg6i0m4tM6J_1iYjw_23_0"/>
      <w:bookmarkStart w:id="1189" w:name="Tc_0fp0z6SRqU6T3OIsxYLc4w_22_6"/>
      <w:bookmarkStart w:id="1190" w:name="Tc_X1ILO7SPdEGzcsga8AOanQ_22_3"/>
      <w:bookmarkStart w:id="1191" w:name="Tc_PF286tUickqVZpig_2_erA_22_0"/>
      <w:bookmarkStart w:id="1192" w:name="Tc_OcIOlzmhDkS6rPkzk6HmLQ_21_0"/>
      <w:bookmarkStart w:id="1193" w:name="Tc_C63rjZuDw0q_5ENM2QYhHA_20_0"/>
      <w:bookmarkStart w:id="1194" w:name="Tc_FJZiWbckEkSwUCuE80Fh3g_19_0"/>
      <w:bookmarkStart w:id="1195" w:name="Tc_8VVoURnmJkC9Pwv9ni5Z6g_18_0"/>
      <w:bookmarkStart w:id="1196" w:name="Tc_9eSzxAq4z0WyWTwcnbFbbw_17_0"/>
      <w:bookmarkStart w:id="1197" w:name="Tc_TFF-vMy7a0WJEMYhmkmxcQ_16_0"/>
      <w:bookmarkStart w:id="1198" w:name="Tc_0Jst3ViOMECistceF3aV0A_15_0"/>
      <w:bookmarkStart w:id="1199" w:name="Tc_2J21yIqFYUay4x7a7VvGAw_14_0"/>
      <w:bookmarkStart w:id="1200" w:name="Tc_4k5-LEJ3YkS3Q78lec8PoQ_13_6"/>
      <w:bookmarkStart w:id="1201" w:name="Tc_NEb2qFkXYkexaE421bAusg_13_0"/>
      <w:bookmarkStart w:id="1202" w:name="Tc_OKYjKF1svkaH4OtLt0L8tA_12_6"/>
      <w:bookmarkStart w:id="1203" w:name="Tc_qgeL2K8VF0ybZ4JyBxKZ6A_12_3"/>
      <w:bookmarkStart w:id="1204" w:name="Tc_zUXOxW4_FkCAVHjjVetgMw_12_0"/>
      <w:bookmarkStart w:id="1205" w:name="Tc_6_5Ivd8pTUO7RQ_wzMsC6w_11_3"/>
      <w:bookmarkStart w:id="1206" w:name="Tc_-ZVJz97U00mD096TPmEA4g_11_0"/>
      <w:bookmarkStart w:id="1207" w:name="Tc_zlcB2QLEf0WMfZnu2BY0hw_10_6"/>
      <w:bookmarkStart w:id="1208" w:name="Tc_13LYmiI2Ykyud6F4n5cL0w_10_0"/>
      <w:bookmarkStart w:id="1209" w:name="Tc_cVRlCAqIKkeId8hJvHKzqw_9_3"/>
      <w:bookmarkStart w:id="1210" w:name="Tc_6X1p-WU2pkqynAIi7p5ibw_9_0"/>
      <w:bookmarkStart w:id="1211" w:name="Tc_CIdKpzly50yn7XiQKDFd1w_8_0"/>
      <w:bookmarkStart w:id="1212" w:name="Tc_f3JXNyyGXkivdi1R6z7i1g_7_0"/>
      <w:bookmarkStart w:id="1213" w:name="Tc_7d7q1xDM-0mTBcBbMy6hog_6_9"/>
      <w:bookmarkStart w:id="1214" w:name="Tc_QTR3Lo422EmRz5Z_13-Gyw_6_5"/>
      <w:bookmarkStart w:id="1215" w:name="Tc_HtoHpT4xJkuKG8tvUKdk9g_6_2"/>
      <w:bookmarkStart w:id="1216" w:name="Tc_3dV5o6Gr60GbwDtv2XPNOg_6_0"/>
      <w:bookmarkStart w:id="1217" w:name="Tc_iCs9DSbtuEKzeP5rVFwuug_5_0"/>
      <w:bookmarkStart w:id="1218" w:name="Tc_fxKjFx-j00G9DpUcFrKd6w_4_9"/>
      <w:bookmarkStart w:id="1219" w:name="Tc_A45k5fCA5kWxoVW8i8syXA_4_5"/>
      <w:bookmarkStart w:id="1220" w:name="Tc_IADgljd_xECpCXgk2g1KyQ_3_9"/>
      <w:bookmarkStart w:id="1221" w:name="Tc_iZC5yfv1f0azwiL6x-1_PQ_3_5"/>
      <w:bookmarkStart w:id="1222" w:name="Tc_RrZ8taf0rUC1lfDveSnB6w_3_2"/>
      <w:bookmarkStart w:id="1223" w:name="Tc_V0E7Yr-qWEaC48fK652YEw_2_5"/>
      <w:bookmarkStart w:id="1224" w:name="Tc_WuHQAWC8iEeLirniBbdqqw_2_2"/>
      <w:bookmarkStart w:id="1225" w:name="Tc_2HPTStIniUKI-jSzVlNZZw_1_2"/>
      <w:bookmarkStart w:id="1226" w:name="_5e98d05c_3c54_494f_9c35_03fe724e4755"/>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tbl>
      <w:tblPr>
        <w:tblW w:w="10205" w:type="dxa"/>
        <w:jc w:val="left"/>
        <w:tblInd w:w="0" w:type="dxa"/>
        <w:tblLayout w:type="fixed"/>
        <w:tblCellMar>
          <w:top w:w="0" w:type="dxa"/>
          <w:left w:w="0" w:type="dxa"/>
          <w:bottom w:w="0" w:type="dxa"/>
          <w:right w:w="0" w:type="dxa"/>
        </w:tblCellMar>
      </w:tblPr>
      <w:tblGrid>
        <w:gridCol w:w="5027"/>
        <w:gridCol w:w="109"/>
        <w:gridCol w:w="196"/>
        <w:gridCol w:w="709"/>
        <w:gridCol w:w="326"/>
        <w:gridCol w:w="440"/>
        <w:gridCol w:w="1361"/>
        <w:gridCol w:w="326"/>
        <w:gridCol w:w="109"/>
        <w:gridCol w:w="346"/>
        <w:gridCol w:w="1256"/>
      </w:tblGrid>
      <w:tr>
        <w:trPr/>
        <w:tc>
          <w:tcPr>
            <w:tcW w:w="5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192145" cy="175260"/>
                      <wp:effectExtent l="0" t="0" r="0" b="0"/>
                      <wp:wrapNone/>
                      <wp:docPr id="58" name="Frame58"/>
                      <a:graphic xmlns:a="http://schemas.openxmlformats.org/drawingml/2006/main">
                        <a:graphicData uri="http://schemas.microsoft.com/office/word/2010/wordprocessingShape">
                          <wps:wsp>
                            <wps:cNvSpPr txBox="1"/>
                            <wps:spPr>
                              <a:xfrm>
                                <a:off x="0" y="0"/>
                                <a:ext cx="319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50215" cy="175260"/>
                      <wp:effectExtent l="0" t="0" r="0" b="0"/>
                      <wp:wrapNone/>
                      <wp:docPr id="61" name="Frame6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79400" cy="175260"/>
                      <wp:effectExtent l="0" t="0" r="0" b="0"/>
                      <wp:wrapNone/>
                      <wp:docPr id="63" name="Frame63"/>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64235" cy="175260"/>
                      <wp:effectExtent l="0" t="0" r="0" b="0"/>
                      <wp:wrapNone/>
                      <wp:docPr id="64" name="Frame64"/>
                      <a:graphic xmlns:a="http://schemas.openxmlformats.org/drawingml/2006/main">
                        <a:graphicData uri="http://schemas.microsoft.com/office/word/2010/wordprocessingShape">
                          <wps:wsp>
                            <wps:cNvSpPr txBox="1"/>
                            <wps:spPr>
                              <a:xfrm>
                                <a:off x="0" y="0"/>
                                <a:ext cx="86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97560" cy="175260"/>
                      <wp:effectExtent l="0" t="0" r="0" b="0"/>
                      <wp:wrapNone/>
                      <wp:docPr id="68" name="Frame68"/>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6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50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8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0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326" w:type="dxa"/>
            <w:tcBorders/>
            <w:vAlign w:val="center"/>
          </w:tcPr>
          <w:p>
            <w:pPr>
              <w:pStyle w:val="TableContents"/>
              <w:bidi w:val="0"/>
              <w:spacing w:before="0" w:after="0"/>
              <w:ind w:left="0" w:right="0" w:hanging="0"/>
              <w:jc w:val="center"/>
              <w:rPr/>
            </w:pPr>
            <w:r>
              <w:rPr/>
              <w:t>​</w:t>
            </w:r>
          </w:p>
        </w:tc>
        <w:tc>
          <w:tcPr>
            <w:tcW w:w="1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3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50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w:t>
            </w:r>
          </w:p>
        </w:tc>
        <w:tc>
          <w:tcPr>
            <w:tcW w:w="3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July 30</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left"/>
              <w:rPr/>
            </w:pPr>
            <w:r>
              <w:rPr/>
              <w:t>​</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(21,778)</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(21,278)</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income to 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left"/>
              <w:rPr/>
            </w:pPr>
            <w:r>
              <w:rPr/>
              <w:t>​</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 </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inventory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term loan discount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convertible notes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1,891</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operating assets and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 </w:t>
            </w:r>
          </w:p>
        </w:tc>
        <w:tc>
          <w:tcPr>
            <w:tcW w:w="136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right"/>
              <w:rPr/>
            </w:pPr>
            <w:r>
              <w:rPr/>
              <w:t>​</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1,053</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 </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(1,814)</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(2,628)</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4,802</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transaction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 </w:t>
            </w:r>
          </w:p>
        </w:tc>
        <w:tc>
          <w:tcPr>
            <w:tcW w:w="1361"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7,446</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2,119</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1,734</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(3,616)</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(14,876)</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(6,358)</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(15,990)</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left"/>
              <w:rPr/>
            </w:pPr>
            <w:r>
              <w:rPr/>
              <w:t>​</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(865)</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left"/>
              <w:rPr/>
            </w:pPr>
            <w:r>
              <w:rPr/>
              <w:t>​</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convertible notes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1361"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16,500</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non-convertible term loan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15,633</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Effect of foreign currency translation on cash and cash equivalents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change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(15,913)</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 </w:t>
            </w:r>
          </w:p>
        </w:tc>
        <w:tc>
          <w:tcPr>
            <w:tcW w:w="13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(6,894)</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beginning of period</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20,586</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35,154</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4,673</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28,260</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w:t>
            </w:r>
          </w:p>
        </w:tc>
      </w:tr>
      <w:tr>
        <w:trPr/>
        <w:tc>
          <w:tcPr>
            <w:tcW w:w="50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1361"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left"/>
              <w:rPr/>
            </w:pPr>
            <w:r>
              <w:rPr/>
              <w:t>​</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6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6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w:t>
            </w:r>
          </w:p>
        </w:tc>
      </w:tr>
      <w:tr>
        <w:trPr/>
        <w:tc>
          <w:tcPr>
            <w:tcW w:w="50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recorded for operating lease right-of-use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w:t>
            </w:r>
          </w:p>
        </w:tc>
      </w:tr>
      <w:tr>
        <w:trPr/>
        <w:tc>
          <w:tcPr>
            <w:tcW w:w="50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Exchange preferred stock for pre-funded warrants</w:t>
            </w:r>
          </w:p>
        </w:tc>
        <w:tc>
          <w:tcPr>
            <w:tcW w:w="109" w:type="dxa"/>
            <w:tcBorders/>
            <w:vAlign w:val="center"/>
          </w:tcPr>
          <w:p>
            <w:pPr>
              <w:pStyle w:val="TableContents"/>
              <w:bidi w:val="0"/>
              <w:spacing w:before="0" w:after="0"/>
              <w:ind w:left="0" w:right="0" w:hanging="0"/>
              <w:jc w:val="left"/>
              <w:rPr/>
            </w:pPr>
            <w:r>
              <w:rPr/>
              <w:t>​</w:t>
            </w:r>
          </w:p>
        </w:tc>
        <w:tc>
          <w:tcPr>
            <w:tcW w:w="19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9"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6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4,332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27" w:name="_f7f816b9_ec1c_4bb8_bfcc_05b8f8306e95"/>
      <w:bookmarkEnd w:id="1227"/>
      <w:r>
        <w:rPr>
          <w:rFonts w:ascii="Times New Roman;Times;serif" w:hAnsi="Times New Roman;Times;serif"/>
          <w:b/>
          <w:sz w:val="20"/>
        </w:rPr>
        <w:t xml:space="preserve">Adagio Medical Holdings, Inc. </w:t>
      </w:r>
    </w:p>
    <w:p>
      <w:pPr>
        <w:pStyle w:val="TextBody"/>
        <w:bidi w:val="0"/>
        <w:spacing w:before="0" w:after="0"/>
        <w:ind w:left="0" w:right="0" w:hanging="0"/>
        <w:jc w:val="center"/>
        <w:rPr>
          <w:rFonts w:ascii="Times New Roman;Times;serif" w:hAnsi="Times New Roman;Times;serif"/>
          <w:b/>
          <w:sz w:val="20"/>
        </w:rPr>
      </w:pPr>
      <w:bookmarkStart w:id="1228" w:name="NOTES"/>
      <w:bookmarkEnd w:id="1228"/>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both"/>
        <w:rPr>
          <w:rFonts w:ascii="Times New Roman;Times;serif" w:hAnsi="Times New Roman;Times;serif"/>
          <w:b/>
          <w:sz w:val="20"/>
        </w:rPr>
      </w:pPr>
      <w:bookmarkStart w:id="1229" w:name="_Hlk211787769"/>
      <w:bookmarkStart w:id="1230" w:name="_Hlk197967109"/>
      <w:bookmarkEnd w:id="1229"/>
      <w:bookmarkEnd w:id="1230"/>
      <w:r>
        <w:rPr>
          <w:rFonts w:ascii="Times New Roman;Times;serif" w:hAnsi="Times New Roman;Times;serif"/>
          <w:b/>
          <w:sz w:val="20"/>
        </w:rPr>
        <w:t>Note 1 - Description of Organization and Business Operations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hanging="0"/>
        <w:jc w:val="left"/>
        <w:rPr/>
      </w:pPr>
      <w:r>
        <w:rPr/>
        <w:t>​</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20"/>
        </w:rPr>
        <w:t>Adagio Medical Holdings, Inc. (formerly known as Aja Holdco, Inc.), together with its wholly-owned subsidiaries (collectively, the “Company” or the “Successor”), is a medical technology company focused on the development and commercialization of ablation technologies for the treatment of cardiac arrhythmias. The Company is currently focused on the treatment of ventricular arrhythmias with its purpose-built vCLAS™ Cryoablation System, which is CE Marked and is currently under evaluation in the Company’s FULCRUM-VT U.S. IDE Pivotal Study, which completed enrollment in October 2025. In April 2025, the Company received Breakthrough Device designation from the FDA for the Company’s vCLAS</w:t>
      </w:r>
      <w:r>
        <w:rPr>
          <w:rFonts w:ascii="Times New Roman;Times;serif" w:hAnsi="Times New Roman;Times;serif"/>
          <w:sz w:val="15"/>
        </w:rPr>
        <w:t xml:space="preserve">TM </w:t>
      </w:r>
      <w:r>
        <w:rPr>
          <w:rFonts w:ascii="Times New Roman;Times;serif" w:hAnsi="Times New Roman;Times;serif"/>
          <w:sz w:val="20"/>
        </w:rPr>
        <w:t>Cryoablation System for the treatment of drug-refractory, recurrent, sustained monomorphic ventricular tachycardia in patients with ischemic or non-ischemic structural heart disease. The Company’s technologies are based on its proprietary ultra-low temperature cryoablation (“ULTC”) platform, which is designed to produce durable, contiguous, transmural lesions anywhere in the heart using the Company’s differentiated catheters and consoles. Legacy Adagio (as defined below) received CE Mark in Europe for its iCLAS™ Cryoablation System for atrial fibrillation and vCLAS</w:t>
      </w:r>
      <w:r>
        <w:rPr>
          <w:rFonts w:ascii="Times New Roman;Times;serif" w:hAnsi="Times New Roman;Times;serif"/>
          <w:sz w:val="15"/>
        </w:rPr>
        <w:t>TM</w:t>
      </w:r>
      <w:r>
        <w:rPr>
          <w:rFonts w:ascii="Times New Roman;Times;serif" w:hAnsi="Times New Roman;Times;serif"/>
          <w:sz w:val="20"/>
        </w:rPr>
        <w:t xml:space="preserve"> Cryoablation System for ventricular tachycardia (“VT”) in June 2020 and March 2024, respectively. The Company is also currently developing a next-generation ULTC technology for VT, the design of which is faster, smaller and more flexible than its predecessor vCLAS device. This next generation device, which was designed to improve customer usability, requires only a single freeze. The Company has also developed pulsed field cryoablation (“PFCA”), a dual therapy platform technology that combines the Company’s proprietary ultralow temperature technology with pulsed field ablation (“PFA”). The Company is headquartered in Laguna Hills, California.</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3 - Forward Merger</w:t>
      </w:r>
      <w:r>
        <w:rPr>
          <w:rFonts w:ascii="Times New Roman;Times;serif" w:hAnsi="Times New Roman;Times;serif"/>
          <w:sz w:val="20"/>
        </w:rPr>
        <w:t xml:space="preserve"> for details of the Business Combination.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Common Stock (as defined below) began trading on the Nasdaq Capital Market on August 1, 2024, under the symbol “ADGM”.</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accounting principles generally accepted in the United States of America (“U.S. GAAP” ) applicable to a going concern, which contemplates the realization of assets and the satisfaction of liabilities in the normal course of business. The Company has limited revenue and has experienced recurring operating losses and negative cash flows from operations since its inception and anticipates that it will continue to do so for at least the next several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2025, the Company had cash and cash equivalents of $4.7 million and an accumulated deficit of $92.3 million. For the three and nine months ended September 30, 2025 (Successor), and for the periods from July 31, 2024 to September 30, 2024 (Successor), and January 1, 2024 to July 30, 2024 (Predecessor), net (loss) income was $(10.1) million, $(21.8) million, $3.6 million, and $(21.3) million, respectively.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30, 2025 (Successor), and for the periods from July 31, 2024 to September 30, 2024 (Successor), and January 1, 2024 to July 30, 2024 (Predecessor), net cash used in operating activities was $14.9 million, $6.4 million, and $16.0 million,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October 2025, the Company announced a private placement of its common stock (or pre-funded warrants to purchase common stock in lieu thereof) and accompanying warrants to purchase shares of common stock, for aggregate gross proceeds of approximately $19 million (excluding up to $31 million of additional potential gross proceeds from the cash exercise of the common stock warrants) (the “Private Placement”). Refer to </w:t>
      </w:r>
      <w:r>
        <w:rPr>
          <w:rFonts w:ascii="Times New Roman;Times;serif" w:hAnsi="Times New Roman;Times;serif"/>
          <w:i/>
          <w:sz w:val="20"/>
        </w:rPr>
        <w:t>Note 19 – Subsequent Events</w:t>
      </w:r>
      <w:r>
        <w:rPr>
          <w:rFonts w:ascii="Times New Roman;Times;serif" w:hAnsi="Times New Roman;Times;serif"/>
          <w:sz w:val="20"/>
        </w:rPr>
        <w:t xml:space="preserve">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ASC 205-40, Presentation of Financial Statements — Going Concern, the Company evaluates at each annual and interim reporting period whether conditions or events, considered in the aggregate, raise substantial doubt about its ability to continue as a going concern within one year after the date that the condensed consolidated financial statements are issued. As of the report date, the Company believes its existing cash and cash equivalents, including the proceeds received from the Private Placement, are sufficient to fund its operating and capital expenditure requirements for at least 12 months from the date of issuance of these unaudited interim condensed consolidated financial statements. If the Company's available cash and cash equivalents are insufficient to satisfy its liquidity requirements, the Company may need to raise additional capital to fund its operations. No assurance can be given as to whether additional needed financing will be available on terms acceptable to the Company, if at all. If sufficient funds on acceptable terms are not available when needed, the Company may be required to suspend or forego certain planned activities. Failure to manage discretionary spending or raise additional financing, as needed, would adversely impact the Company’s ability to achieve its intended business objectives and have an adverse effect on its results of operations and future prospects.</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Note 2 - Summary of Significant Accounting Policies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Basis of </w:t>
      </w:r>
      <w:r>
        <w:rPr>
          <w:rFonts w:ascii="Times New Roman;Times;serif" w:hAnsi="Times New Roman;Times;serif"/>
          <w:b/>
          <w:i/>
          <w:sz w:val="20"/>
          <w:shd w:fill="FFFFFF" w:val="clear"/>
        </w:rPr>
        <w:t>Presentation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condensed consolidated financial statements have been prepared in accordance with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information and disclosures normally included in consolidated financial statements presented in accordance with U.S. GAAP have been condensed or omitted. Accordingly, these unaudited condensed consolidated financial statements should be read in conjunction with the audited consolidated financial statements and the related notes included in the Company’s Annual Report on Form 10-K for the year ended December 31, 2024 (the “Annual Report”) filed with the Securities and Exchange Commission, or SEC, on March 27,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the Business Combination, for accounting purposes, ListCo is the acquirer and Legacy Adagio is the accounting acquiree and predecessor. The financial statement presentation includes the financial statements of Legacy Adagio as “Predecessor” for the periods prior to the Closing Date (the “Predecessor Period(s)”), and of the Company as “Successor” for the periods after the Closing Date (the “Successor Period(s)”), including the consolidation of Legacy Adagio and ARYA. The Successor Period includes the Company’s results of operations and cash flows for the periods from July 31, 2024, through September 30, 2025.</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Unaudited </w:t>
      </w:r>
      <w:r>
        <w:rPr>
          <w:rFonts w:ascii="Times New Roman;Times;serif" w:hAnsi="Times New Roman;Times;serif"/>
          <w:b/>
          <w:i/>
          <w:sz w:val="20"/>
          <w:shd w:fill="FFFFFF" w:val="clear"/>
        </w:rPr>
        <w:t>Interim</w:t>
      </w:r>
      <w:r>
        <w:rPr>
          <w:rFonts w:ascii="Times New Roman;Times;serif" w:hAnsi="Times New Roman;Times;serif"/>
          <w:b/>
          <w:i/>
          <w:sz w:val="20"/>
        </w:rPr>
        <w:t xml:space="preserve"> Financial Information</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condensed consolidated balance sheet as of September 30, 2025 (Successor); the condensed consolidated statements of operations and comprehensive (loss) income and condensed consolidated statements of convertible preferred stock and stockholders’ equity (deficit) for the three and nine months ended September 30, 2025 (Successor) and for the periods from July 31, 2024 to September 30, 2024 (Successor), July 1, 2024 to July 30, 2024 (Predecessor), and January 1, 2024 to July 30, 2024 (Predecessor); the condensed consolidated statements of cash flows for the nine months ended September 30, 2025 (Successor) and for the periods from January 1, 2024 to July 30, 2024 (Predecessor) and July 31, 2024 to September 30, 2024 (Successor); and the related footnote disclosures.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unaudited interim condensed consolidated financial statements have been prepared in accordance with U.S. generally accepted accounting principles (“U.S. GAAP”) and, in management’s opinion, include all adjustments, consisting only of normal recurring adjustments, necessary for a fair presentation of the Company’s financial position as of September 30, 2025 (Successor), and its results of operations and comprehensive income (loss) for the three and nine months ended September 30, 2025 (Successor), and for the periods from July 31, 2024 to September 30, 2024 (Successor) and January 1, 2024 to July 30, 2024 (Predecessor), and its cash flows for the nine months ended September 30, 2025 (Successor) and for the periods from July 31, 2024 to September 30, 2024 (Successor) and January 1, 2024 to July 30, 2024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results for the three and nine months ended September 30, 2025 (Successor), and for the periods from July 31, 2024 to September 30, 2024 (Successor) and January 1, 2024 to July 30, 2024 (Predecessor), are not necessarily indicative of the results that may be expected for the year ending December 31, 2025, or for any other interim period.</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Emerging </w:t>
      </w:r>
      <w:r>
        <w:rPr>
          <w:rFonts w:ascii="Times New Roman;Times;serif" w:hAnsi="Times New Roman;Times;serif"/>
          <w:b/>
          <w:i/>
          <w:sz w:val="20"/>
          <w:shd w:fill="FFFFFF" w:val="clear"/>
        </w:rPr>
        <w:t>Growth</w:t>
      </w:r>
      <w:r>
        <w:rPr>
          <w:rFonts w:ascii="Times New Roman;Times;serif" w:hAnsi="Times New Roman;Times;serif"/>
          <w:b/>
          <w:i/>
          <w:sz w:val="20"/>
        </w:rPr>
        <w:t xml:space="preserve">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(the “JOBS Act”).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Principles of </w:t>
      </w:r>
      <w:r>
        <w:rPr>
          <w:rFonts w:ascii="Times New Roman;Times;serif" w:hAnsi="Times New Roman;Times;serif"/>
          <w:b/>
          <w:i/>
          <w:sz w:val="20"/>
          <w:shd w:fill="FFFFFF" w:val="clear"/>
        </w:rPr>
        <w:t>Consolidation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Adagio Medical Holdings, Inc., and its wholly owned subsidiaries. All intercompany balances and transactions have been eliminated in consolidation.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Use of Estimates and </w:t>
      </w:r>
      <w:r>
        <w:rPr>
          <w:rFonts w:ascii="Times New Roman;Times;serif" w:hAnsi="Times New Roman;Times;serif"/>
          <w:b/>
          <w:i/>
          <w:sz w:val="20"/>
          <w:shd w:fill="FFFFFF" w:val="clear"/>
        </w:rPr>
        <w:t>Assumptions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Segments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Concentrations</w:t>
      </w:r>
      <w:r>
        <w:rPr>
          <w:rFonts w:ascii="Times New Roman;Times;serif" w:hAnsi="Times New Roman;Times;serif"/>
          <w:b/>
          <w:i/>
          <w:sz w:val="20"/>
        </w:rPr>
        <w:t xml:space="preserve"> of Credit Risk and Off-Balance Sheet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The Company generates product revenue primarily from the sale of catheters (the “Consumables”) used with the Company’s consoles (“Consoles”). The Company sells its products directly to hospitals and medical centers. To a lesser extent, the Company also generates lease revenue from the implied rental of Consoles loaned to customers at no charge.</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pStyle w:val="TextBody"/>
        <w:bidi w:val="0"/>
        <w:spacing w:before="120" w:after="0"/>
        <w:ind w:left="1080" w:right="0" w:hanging="0"/>
        <w:jc w:val="left"/>
        <w:rPr/>
      </w:pPr>
      <w:r>
        <w:rPr>
          <w:caps w:val="false"/>
          <w:smallCaps w:val="false"/>
        </w:rPr>
        <w:t>•</w:t>
      </w:r>
      <w:r>
        <w:rPr>
          <w:rFonts w:ascii="Times New Roman;Times;serif" w:hAnsi="Times New Roman;Times;serif"/>
          <w:sz w:val="20"/>
        </w:rPr>
        <w:t>Step 1: Identify the contract with the customer.</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2: Identify the performance obligations in the contract.</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3: Determine the transaction price.</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Step 4: Allocate the transaction price to the performance obligations in the contract.</w:t>
      </w:r>
    </w:p>
    <w:p>
      <w:pPr>
        <w:pStyle w:val="TextBody"/>
        <w:bidi w:val="0"/>
        <w:spacing w:before="0" w:after="120"/>
        <w:ind w:left="1080" w:right="0" w:hanging="0"/>
        <w:jc w:val="left"/>
        <w:rPr/>
      </w:pPr>
      <w:r>
        <w:rPr>
          <w:caps w:val="false"/>
          <w:smallCaps w:val="false"/>
        </w:rPr>
        <w:t>•</w:t>
      </w:r>
      <w:r>
        <w:rPr>
          <w:rFonts w:ascii="Times New Roman;Times;serif" w:hAnsi="Times New Roman;Times;serif"/>
          <w:sz w:val="20"/>
        </w:rPr>
        <w:t>Step 5: Recognize revenue when, or as, the Company satisfies a performance obligation.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Revenue allocated to the lease components was not material for the three and nine months ended September 30, 2025 (Successor), and for the periods from January 1, 2024 to July 30, 2024 (Predecessor) and July 31, 2024 to September 30, 2024 (Successor).</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 xml:space="preserve">Revenue from sales to customers of the Consumables is classified as revenue in the Company's condensed consolidated statements of operations and comprehensive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val="false"/>
          <w:i/>
          <w:sz w:val="20"/>
        </w:rPr>
        <w:t xml:space="preserve">Other </w:t>
      </w:r>
      <w:r>
        <w:rPr>
          <w:rFonts w:ascii="Times New Roman;Times;serif" w:hAnsi="Times New Roman;Times;serif"/>
          <w:b w:val="false"/>
          <w:i/>
          <w:sz w:val="20"/>
          <w:shd w:fill="FFFFFF" w:val="clear"/>
        </w:rPr>
        <w:t>Revenue</w:t>
      </w:r>
      <w:r>
        <w:rPr>
          <w:rFonts w:ascii="Times New Roman;Times;serif" w:hAnsi="Times New Roman;Times;serif"/>
          <w:b/>
          <w:i/>
          <w:sz w:val="20"/>
        </w:rPr>
        <w:t xml:space="preserve"> </w:t>
      </w:r>
      <w:r>
        <w:rPr>
          <w:rFonts w:ascii="Times New Roman;Times;serif" w:hAnsi="Times New Roman;Times;serif"/>
          <w:b w:val="false"/>
          <w:i/>
          <w:sz w:val="20"/>
        </w:rPr>
        <w:t>Considerations</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Revenue is reported net of sales tax. The Company has made the accounting policy election not to recognize a separate performance obligation for the shipment of products to the customer but to account for it as fulfillment cost.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Any incremental costs to obtain contracts are recorded as selling, general and administrative expense as incurred due to the short duration of the Company’s contracts.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nine months ended September 30, 2025 (Successor) no revenue was recognized. For the periods from January 1, 2024 to July 30, 2024 (Predecessor) and from July 31, 2024 to September 30, 2024 (Successor), revenue was generated only from European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Inventory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Inventory consists of raw materials, work-in-process, and finished products and is valued at the lower of cost or net realizable value. The method by which those amounts are removed from the inventory is first-in first-out.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Property and equipment are recorded at cost, less accumulated depreciation. Depreciation and amortization are provided using the straight-line method over the estimated useful lives of the related assets,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 years, or, in the case of leasehold improvements, over the remaining life of the lease term. Specifically, Consoles had a five-year useful life as of December 31, 2023, and effective on January 1, 2024, the useful life of Consoles was changed to three years to better reflect the estimated periods during which these Consoles will remain in service. The impact of the change in the estimated useful life of Consoles is not material to the Predecessor Periods or Successor Periods, nor to the future remaining life of the Consoles.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include equipment that is loaned to customers and located at customer premises. The Company retains ownership of the equipment held for evaluation by customers and has the right to remove the equipment if it is not being utilized according to expectations.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Intangible</w:t>
      </w:r>
      <w:r>
        <w:rPr>
          <w:rFonts w:ascii="Times New Roman;Times;serif" w:hAnsi="Times New Roman;Times;serif"/>
          <w:b/>
          <w:i/>
          <w:sz w:val="20"/>
        </w:rPr>
        <w:t xml:space="preserve"> Assets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NewRoman" w:hAnsi="TimesNewRoman"/>
          <w:sz w:val="20"/>
          <w:shd w:fill="FFFFFF" w:val="clear"/>
        </w:rPr>
        <w:t>The Company’s intangible assets subject to amortization and other long-lived assets, are reviewed </w:t>
      </w:r>
      <w:r>
        <w:rPr>
          <w:rFonts w:ascii="Times New Roman;Times;serif" w:hAnsi="Times New Roman;Times;serif"/>
          <w:sz w:val="20"/>
        </w:rPr>
        <w:t>for impairment in accordance with ASC 360</w:t>
      </w:r>
      <w:r>
        <w:rPr>
          <w:rFonts w:ascii="TimesNewRoman" w:hAnsi="TimesNewRoman"/>
          <w:sz w:val="20"/>
          <w:shd w:fill="FFFFFF" w:val="clear"/>
        </w:rPr>
        <w:t>,</w:t>
      </w:r>
      <w:r>
        <w:rPr>
          <w:rFonts w:ascii="Times New Roman;Times;serif" w:hAnsi="Times New Roman;Times;serif"/>
          <w:sz w:val="20"/>
          <w:shd w:fill="FFFFFF" w:val="clear"/>
        </w:rPr>
        <w:t> </w:t>
      </w:r>
      <w:r>
        <w:rPr>
          <w:rFonts w:ascii="TimesNewRoman" w:hAnsi="TimesNewRoman"/>
          <w:sz w:val="20"/>
          <w:shd w:fill="FFFFFF" w:val="clear"/>
        </w:rPr>
        <w:t>Property, Plant and Equipment,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 and the loss is recognized in the condensed consolidated statements of operations.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w:t>
      </w:r>
      <w:r>
        <w:rPr>
          <w:rFonts w:ascii="TimesNewRoman" w:hAnsi="TimesNewRoman"/>
          <w:sz w:val="20"/>
          <w:shd w:fill="FFFFFF" w:val="clear"/>
        </w:rPr>
        <w:t>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No</w:t>
      </w:r>
      <w:r>
        <w:rPr>
          <w:rFonts w:ascii="Times New Roman;Times;serif" w:hAnsi="Times New Roman;Times;serif"/>
          <w:sz w:val="20"/>
          <w:shd w:fill="FFFFFF" w:val="clear"/>
        </w:rPr>
        <w:t xml:space="preserve"> </w:t>
      </w:r>
      <w:r>
        <w:rPr>
          <w:rFonts w:ascii="TimesNewRoman" w:hAnsi="TimesNewRoman"/>
          <w:sz w:val="20"/>
          <w:shd w:fill="FFFFFF" w:val="clear"/>
        </w:rPr>
        <w:t>impairment charges were recorded for the three and nine months ended September 30, 2025 (Successor) and for the period from July 31, 2024 to September 30, 2024 (Successor). Legacy Adagio did not have material intangible assets.</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accordance with ASC 350, Intangibles – Goodwill and Other, the Company tests goodwill for impairment at the reporting unit level. The Company has one reporting unit for the goodwill impairment testing purposes. 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 No goodwill impairment charges were recorded for the three and nine months ended September 30, 2025 (Successor) and for the period from July 31, 2024 to September 30, 2024 (Successor). Legacy Adagio did not have any goodwill.</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Concentrations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had one supplier exceed 10% of total accounts payable as of September 30, 2025 (Successor), representing 45% of accounts payable. The Company had two suppliers exceed 10% of total accounts payable as of December 31, 2024 (Successor), representing 55% of accounts payable.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five and ten largest suppliers accounted for approximately 26% and 40%, respectively, of the Company’s expenditures for the nine months ended September 30, 2025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five and ten largest suppliers accounted for approximately 60% and 81%, respectively, of the Company’s expenditures for the periods from January 1, 2024 to July 30, 2024 (Predecessor) and July 31, 2024 to September 30, 2024 (Successor).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Impairment</w:t>
      </w:r>
      <w:r>
        <w:rPr>
          <w:rFonts w:ascii="Times New Roman;Times;serif" w:hAnsi="Times New Roman;Times;serif"/>
          <w:b/>
          <w:i/>
          <w:sz w:val="20"/>
        </w:rPr>
        <w:t xml:space="preserve"> of Long-Lived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 For the nine months ended September 30, 2025 (Successor) and for the periods from January 1, 2024 to July 30, 2024 (Predecessor) and July 31, 2024 to September 30, 2024 (Successor), the Company determined that no impairment of long-lived assets was indicated.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Foreign Currency </w:t>
      </w:r>
      <w:r>
        <w:rPr>
          <w:rFonts w:ascii="Times New Roman;Times;serif" w:hAnsi="Times New Roman;Times;serif"/>
          <w:b/>
          <w:i/>
          <w:sz w:val="20"/>
          <w:shd w:fill="FFFFFF" w:val="clear"/>
        </w:rPr>
        <w:t>Translation</w:t>
      </w:r>
      <w:r>
        <w:rPr>
          <w:rFonts w:ascii="Times New Roman;Times;serif" w:hAnsi="Times New Roman;Times;serif"/>
          <w:b/>
          <w:i/>
          <w:sz w:val="20"/>
        </w:rPr>
        <w:t xml:space="preserve"> and Transactions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condensed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condensed consolidated balance sheets and foreign currency translation adjustment in the condensed consolidated statements of operations and comprehensive (loss) income.</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Leases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its lease property under ASC 842. Under this guidance, arrangements meeting the definition of a lease are classified as operating or financing leases, and are recorded on the condensed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uses the implicit rate in the lease agreement, when readily available, or its incremental borrowing rate as the basis to calculate the present value of future lease payments at lease commencement. The incremental borrowing rate represents the rate the Company would have to pay to borrow funds on a collateralized basis over a similar term and in a similar economic environment.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calculating the right-of-use asset and lease liability, the Company elected to combine lease and non-lease components for its real estate leases. The Company adopted the policy election to exclude short-term leases having initial terms of twelve months or less from the initial recognition provisions of ASC 842. Refer to </w:t>
      </w:r>
      <w:r>
        <w:rPr>
          <w:rFonts w:ascii="Times New Roman;Times;serif" w:hAnsi="Times New Roman;Times;serif"/>
          <w:i/>
          <w:sz w:val="20"/>
        </w:rPr>
        <w:t>Note 11 - Operating Leases</w:t>
      </w:r>
      <w:r>
        <w:rPr>
          <w:rFonts w:ascii="Times New Roman;Times;serif" w:hAnsi="Times New Roman;Times;serif"/>
          <w:sz w:val="20"/>
        </w:rPr>
        <w:t xml:space="preserve">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implied rental agreements for its Consoles qualify as operating leases and as such, revenue is recognized in accordance with ASC 842, Leases and ASC 606, Revenue from Contracts with Customers. No revenue was allocated to the lease components for the three and nine months ended September 30, 2025 (Successor). Revenue allocated to the lease components was not significant for the periods from January 1, 2024 to July 30, 2024 (Predecessor) and July 31, 2024 to September 30, 2024 (Successor).</w:t>
      </w:r>
    </w:p>
    <w:p>
      <w:pPr>
        <w:pStyle w:val="TextBody"/>
        <w:bidi w:val="0"/>
        <w:spacing w:before="0" w:after="0"/>
        <w:ind w:left="0" w:right="0" w:firstLine="36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revenue includes raw materials, direct labor, manufacturing overhead, shipping and receiving costs and other less significant indirect costs related to the production of the Company’s products. Cost of revenue also includes the depreciation expense of Consoles loaned to the customers.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costs are expensed as incurred.</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corporate and financial matters, professional fees for accounting and consulting services, marketing costs and insurance costs. The Company expenses all selling, general, and administrative costs as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w:t>
      </w:r>
      <w:r>
        <w:rPr>
          <w:rFonts w:ascii="Times New Roman;Times;serif" w:hAnsi="Times New Roman;Times;serif"/>
          <w:b/>
          <w:i/>
          <w:sz w:val="20"/>
          <w:shd w:fill="FFFFFF" w:val="clear"/>
        </w:rPr>
        <w:t>Value</w:t>
      </w:r>
      <w:r>
        <w:rPr>
          <w:rFonts w:ascii="Times New Roman;Times;serif" w:hAnsi="Times New Roman;Times;serif"/>
          <w:b/>
          <w:i/>
          <w:sz w:val="20"/>
        </w:rPr>
        <w:t xml:space="preserv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Level 1-Quoted prices in active markets for identical assets or liabilities.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2-Observable inputs other than Level 1 prices for similar assets or liabilities that are directly or indirectly observable in the marketplace.</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w:t>
      </w:r>
      <w:r>
        <w:rPr>
          <w:rFonts w:ascii="Times New Roman;Times;serif" w:hAnsi="Times New Roman;Times;serif"/>
          <w:b/>
          <w:i/>
          <w:sz w:val="20"/>
          <w:shd w:fill="FFFFFF" w:val="clear"/>
        </w:rPr>
        <w:t>Option</w:t>
      </w:r>
      <w:r>
        <w:rPr>
          <w:rFonts w:ascii="Times New Roman;Times;serif" w:hAnsi="Times New Roman;Times;serif"/>
          <w:b/>
          <w:i/>
          <w:sz w:val="20"/>
        </w:rPr>
        <w:t xml:space="preserve"> for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permitted under ASC 825, Financial Instruments (“ASC 825”), Legacy Adagio elected the fair value option to account for the convertible securities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and the Company elected the fair value option to account for the Convertible Securities Notes, in order to measure those liabilities at amounts that more accurately reflect the current economic environment in which the Legacy Adagio and the Company operated.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Convertible Securities Notes mentioned above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a result of applying the fair value option, direct costs and fees related to the issuance of the Convertible Securities Notes were expensed as incurred (i.e., not recognized as deferred costs). Refer to </w:t>
      </w:r>
      <w:r>
        <w:rPr>
          <w:rFonts w:ascii="Times New Roman;Times;serif" w:hAnsi="Times New Roman;Times;serif"/>
          <w:i/>
          <w:sz w:val="20"/>
        </w:rPr>
        <w:t>Note 4 - Fair Value Measurements</w:t>
      </w:r>
      <w:r>
        <w:rPr>
          <w:rFonts w:ascii="Times New Roman;Times;serif" w:hAnsi="Times New Roman;Times;serif"/>
          <w:sz w:val="20"/>
        </w:rPr>
        <w:t xml:space="preserve"> for further detail.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Convert Warrants (as defined below) issued along with the Convertible Securities Notes, and PIPE Pre-funded Warrants (as defined below) issued in the 2024 PIPE Financing (as defined below), which are classified as liabilities. The Company also has PIPE Base Warrants (as defined below) issued in the 2024 PIPE Financing, which are classified as equity. Legacy Adagio has certain common stock warrants (“SVB Warrants”) issued along with the SVB Term Loan (as defined below) and pre-funded warrants to purchase Series E preferred stock (“Series E Pre-funded Warrants”), which were both classified as liabilities.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and Legacy Adagio determine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condensed consolidated statements of operations and comprehensive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condensed consolidated balance sheets as current or non-current based on whether or not net-cash settlement of the derivative instrument could be required within twelve months of the condensed consolidated balance sheet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 related to the warrants.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Term Loan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the Predecessor term loan at residual value on the date of issuance. The expected life of the term loan is the contractual term ending on the maturity date. The Company classifies the term loan as current liabilities within twelve months of the maturity date or when otherwise due. Interest expense is recognized in the condensed consolidated statements of operations and comprehensive (loss) income over the contractual term of the loan. Refer to </w:t>
      </w:r>
      <w:r>
        <w:rPr>
          <w:rFonts w:ascii="Times New Roman;Times;serif" w:hAnsi="Times New Roman;Times;serif"/>
          <w:i/>
          <w:sz w:val="20"/>
        </w:rPr>
        <w:t>Note 9 - Debt</w:t>
      </w:r>
      <w:r>
        <w:rPr>
          <w:rFonts w:ascii="Times New Roman;Times;serif" w:hAnsi="Times New Roman;Times;serif"/>
          <w:sz w:val="20"/>
        </w:rPr>
        <w:t xml:space="preserve"> for additional information related to the term loan.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Preferred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records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the Legacy Adagio preferred stock was considered to be contingently redeemable, the Legacy Adagio preferred stock was classified outside of permanent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 Refer to </w:t>
      </w:r>
      <w:r>
        <w:rPr>
          <w:rFonts w:ascii="Times New Roman;Times;serif" w:hAnsi="Times New Roman;Times;serif"/>
          <w:i/>
          <w:sz w:val="20"/>
        </w:rPr>
        <w:t>Note 14 - Stock-Based Compensation</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Due to the absence of an active market for Legacy Adagio common stock, the Company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the Company considered the fair value of the common stock as of the grant date. The fair value of the common stock is determined based upon a variety of factors, including the Company’s financial position, historical performance and operating results, the Company’s stage of development, the progress of the Company’s research and development programs, the prices at which the Company sold its convertible preferred stock, the superior rights, preferences and privileges of the Company’s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condensed consolidated financial statements. Deferred tax assets and liabilities are determined based on the difference between the condensed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or penalties on its condensed consolidated balance sheets and did not recognize any interest or penalties in its condensed consolidated statements of operations and comprehensive income (loss) for the nine months ended September 30, 2025 (Successor) and for the periods from January 1, 2024 to July 30, 2024 (Predecessor) and July 31, 2024 to September 30, 2024 (Successor),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date, there have been no interest or penalties charged in relation to the unrecognized tax benefits. Refer to </w:t>
      </w:r>
      <w:r>
        <w:rPr>
          <w:rFonts w:ascii="Times New Roman;Times;serif" w:hAnsi="Times New Roman;Times;serif"/>
          <w:i/>
          <w:sz w:val="20"/>
        </w:rPr>
        <w:t>Note 16 - Income Taxes</w:t>
      </w:r>
      <w:r>
        <w:rPr>
          <w:rFonts w:ascii="Times New Roman;Times;serif" w:hAnsi="Times New Roman;Times;serif"/>
          <w:sz w:val="20"/>
        </w:rPr>
        <w:t xml:space="preserve"> for additional details.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Recent Accounting Pronouncements</w:t>
      </w:r>
      <w:r>
        <w:rPr>
          <w:rFonts w:ascii="Times New Roman;Times;serif" w:hAnsi="Times New Roman;Times;serif"/>
          <w:sz w:val="20"/>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ASU 2023-09, Income Taxes (Topics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new standard will be effective for public reporting for the annual periods beginning the year ended December 31, 2025. The new standard permits early adoption and can be applied prospectively or retrospectively. The Company is currently assessing the effect that the updated standard will have on its financial statement disclosures.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2024, the FASB issued ASU 2024-03, Disaggregation of Income Statement Expenses,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3 – Forward Merger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13, 2024, ARYA, ListCo, ARYA Merger Sub, and Company Merger Sub, entered into a Business Combination Agreement, which was amended by the Consent and Amendment No. 1 to the Business Combination Agreement, dated as of June 25,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Description of the Transaction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issued and outstanding Class A ordinary share of ARYA, par value $0.0001</w:t>
            </w:r>
            <w:r>
              <w:rPr>
                <w:caps w:val="false"/>
                <w:smallCaps w:val="false"/>
              </w:rPr>
              <w:t xml:space="preserve"> </w:t>
            </w:r>
            <w:r>
              <w:rPr>
                <w:rFonts w:ascii="Times New Roman;Times;serif" w:hAnsi="Times New Roman;Times;serif"/>
                <w:b w:val="false"/>
                <w:i w:val="false"/>
                <w:caps w:val="false"/>
                <w:smallCaps w:val="false"/>
                <w:sz w:val="20"/>
              </w:rPr>
              <w:t>per share, was automatically cancelled, extinguished and converted into one</w:t>
            </w:r>
            <w:r>
              <w:rPr>
                <w:caps w:val="false"/>
                <w:smallCaps w:val="false"/>
              </w:rPr>
              <w:t xml:space="preserve"> </w:t>
            </w:r>
            <w:r>
              <w:rPr>
                <w:rFonts w:ascii="Times New Roman;Times;serif" w:hAnsi="Times New Roman;Times;serif"/>
                <w:b w:val="false"/>
                <w:i w:val="false"/>
                <w:caps w:val="false"/>
                <w:smallCaps w:val="false"/>
                <w:sz w:val="20"/>
              </w:rPr>
              <w:t>share of common stock, par value $0.0001</w:t>
            </w:r>
            <w:r>
              <w:rPr>
                <w:caps w:val="false"/>
                <w:smallCaps w:val="false"/>
              </w:rPr>
              <w:t xml:space="preserve"> </w:t>
            </w:r>
            <w:r>
              <w:rPr>
                <w:rFonts w:ascii="Times New Roman;Times;serif" w:hAnsi="Times New Roman;Times;serif"/>
                <w:b w:val="false"/>
                <w:i w:val="false"/>
                <w:caps w:val="false"/>
                <w:smallCaps w:val="false"/>
                <w:sz w:val="20"/>
              </w:rPr>
              <w:t xml:space="preserve">per share, of the Company (“Company’s common stock”). </w:t>
            </w:r>
          </w:p>
        </w:tc>
      </w:tr>
    </w:tbl>
    <w:p>
      <w:pPr>
        <w:pStyle w:val="TextBody"/>
        <w:bidi w:val="0"/>
        <w:spacing w:before="0" w:after="0"/>
        <w:ind w:left="144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8"/>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issued and outstanding Class B ordinary share of ARYA, par value $0.0001</w:t>
            </w:r>
            <w:r>
              <w:rPr>
                <w:caps w:val="false"/>
                <w:smallCaps w:val="false"/>
              </w:rPr>
              <w:t xml:space="preserve"> </w:t>
            </w:r>
            <w:r>
              <w:rPr>
                <w:rFonts w:ascii="Times New Roman;Times;serif" w:hAnsi="Times New Roman;Times;serif"/>
                <w:b w:val="false"/>
                <w:i w:val="false"/>
                <w:caps w:val="false"/>
                <w:smallCaps w:val="false"/>
                <w:sz w:val="20"/>
              </w:rPr>
              <w:t>per share, was automatically cancelled, extinguished and converted into the right to receive one</w:t>
            </w:r>
            <w:r>
              <w:rPr>
                <w:caps w:val="false"/>
                <w:smallCaps w:val="false"/>
              </w:rPr>
              <w:t xml:space="preserve"> </w:t>
            </w:r>
            <w:r>
              <w:rPr>
                <w:rFonts w:ascii="Times New Roman;Times;serif" w:hAnsi="Times New Roman;Times;serif"/>
                <w:b w:val="false"/>
                <w:i w:val="false"/>
                <w:caps w:val="false"/>
                <w:smallCaps w:val="false"/>
                <w:sz w:val="20"/>
              </w:rPr>
              <w:t>share of the Company’s common stock, other than (i) 1,000,000</w:t>
            </w:r>
            <w:r>
              <w:rPr>
                <w:caps w:val="false"/>
                <w:smallCaps w:val="false"/>
              </w:rPr>
              <w:t xml:space="preserve"> </w:t>
            </w:r>
            <w:r>
              <w:rPr>
                <w:rFonts w:ascii="Times New Roman;Times;serif" w:hAnsi="Times New Roman;Times;serif"/>
                <w:b w:val="false"/>
                <w:i w:val="false"/>
                <w:caps w:val="false"/>
                <w:smallCaps w:val="false"/>
                <w:sz w:val="20"/>
              </w:rPr>
              <w:t>Class B ordinary shares that were forfeited by ARYA Sciences Holdings IV, a Cayman Islands exempted company (the “Sponsor”), and issued to the PIPE Investors (as defined below), including the Perceptive PIPE Investor (as defined below); (ii) 1,147,500</w:t>
            </w:r>
            <w:r>
              <w:rPr>
                <w:caps w:val="false"/>
                <w:smallCaps w:val="false"/>
              </w:rPr>
              <w:t xml:space="preserve"> </w:t>
            </w:r>
            <w:r>
              <w:rPr>
                <w:rFonts w:ascii="Times New Roman;Times;serif" w:hAnsi="Times New Roman;Times;serif"/>
                <w:b w:val="false"/>
                <w:i w:val="false"/>
                <w:caps w:val="false"/>
                <w:smallCaps w:val="false"/>
                <w:sz w:val="20"/>
              </w:rPr>
              <w:t>shares of the Company’s common stock issuable to the Sponsor that are subject to share trigger price vesting and will vest if, prior to the tenth anniversary of the Closing, the post-closing share price of the Company equals or exceeds $24.00</w:t>
            </w:r>
            <w:r>
              <w:rPr>
                <w:caps w:val="false"/>
                <w:smallCaps w:val="false"/>
              </w:rPr>
              <w:t xml:space="preserve"> </w:t>
            </w:r>
            <w:r>
              <w:rPr>
                <w:rFonts w:ascii="Times New Roman;Times;serif" w:hAnsi="Times New Roman;Times;serif"/>
                <w:b w:val="false"/>
                <w:i w:val="false"/>
                <w:caps w:val="false"/>
                <w:smallCaps w:val="false"/>
                <w:sz w:val="20"/>
              </w:rPr>
              <w:t>per share for any 20</w:t>
            </w:r>
            <w:r>
              <w:rPr>
                <w:caps w:val="false"/>
                <w:smallCaps w:val="false"/>
              </w:rPr>
              <w:t xml:space="preserve"> </w:t>
            </w:r>
            <w:r>
              <w:rPr>
                <w:rFonts w:ascii="Times New Roman;Times;serif" w:hAnsi="Times New Roman;Times;serif"/>
                <w:b w:val="false"/>
                <w:i w:val="false"/>
                <w:caps w:val="false"/>
                <w:smallCaps w:val="false"/>
                <w:sz w:val="20"/>
              </w:rPr>
              <w:t>trading days within any 30</w:t>
            </w:r>
            <w:r>
              <w:rPr>
                <w:caps w:val="false"/>
                <w:smallCaps w:val="false"/>
              </w:rPr>
              <w:t xml:space="preserve"> </w:t>
            </w:r>
            <w:r>
              <w:rPr>
                <w:rFonts w:ascii="Times New Roman;Times;serif" w:hAnsi="Times New Roman;Times;serif"/>
                <w:b w:val="false"/>
                <w:i w:val="false"/>
                <w:caps w:val="false"/>
                <w:smallCaps w:val="false"/>
                <w:sz w:val="20"/>
              </w:rPr>
              <w:t>trading day period (the “Share Trigger Price Vesting”).</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of Legacy Adagio (other than the Series E Pre-funded Warrants) was terminated in accordance with the terms of the applicable warrant agreement.</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convertible promissory notes of Legacy Adagio (excluding the Bridge Financing Notes (as defined below) and the 2024 Bridge Financing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5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share of Legacy Adagio preferred stock, par value $0.001</w:t>
            </w:r>
            <w:r>
              <w:rPr>
                <w:caps w:val="false"/>
                <w:smallCaps w:val="false"/>
              </w:rPr>
              <w:t xml:space="preserve"> </w:t>
            </w:r>
            <w:r>
              <w:rPr>
                <w:rFonts w:ascii="Times New Roman;Times;serif" w:hAnsi="Times New Roman;Times;serif"/>
                <w:b w:val="false"/>
                <w:i w:val="false"/>
                <w:caps w:val="false"/>
                <w:smallCaps w:val="false"/>
                <w:sz w:val="20"/>
              </w:rPr>
              <w:t>per share, that was issued and outstanding was automatically converted into shares of Legacy Adagio common stock on a one-to-one basis.</w:t>
            </w:r>
          </w:p>
        </w:tc>
      </w:tr>
    </w:tbl>
    <w:p>
      <w:pPr>
        <w:pStyle w:val="TextBody"/>
        <w:bidi w:val="0"/>
        <w:spacing w:before="0" w:after="0"/>
        <w:ind w:left="144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186"/>
        <w:gridCol w:w="9895"/>
      </w:tblGrid>
      <w:tr>
        <w:trPr/>
        <w:tc>
          <w:tcPr>
            <w:tcW w:w="124" w:type="dxa"/>
            <w:tcBorders/>
            <w:vAlign w:val="center"/>
          </w:tcPr>
          <w:p>
            <w:pPr>
              <w:pStyle w:val="TableContents"/>
              <w:bidi w:val="0"/>
              <w:spacing w:before="0" w:after="283"/>
              <w:jc w:val="left"/>
              <w:rPr>
                <w:sz w:val="4"/>
                <w:szCs w:val="4"/>
              </w:rPr>
            </w:pPr>
            <w:r>
              <w:rPr>
                <w:sz w:val="4"/>
                <w:szCs w:val="4"/>
              </w:rPr>
            </w:r>
          </w:p>
        </w:tc>
        <w:tc>
          <w:tcPr>
            <w:tcW w:w="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tc>
      </w:tr>
    </w:tbl>
    <w:p>
      <w:pPr>
        <w:pStyle w:val="TextBody"/>
        <w:bidi w:val="0"/>
        <w:spacing w:before="0" w:after="0"/>
        <w:ind w:left="144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was cancelled and extinguished in exchange for options to purchase shares of the Company’s common stock, and each issued and outstanding Legacy Adagio equity award (other than an In-the-Money Adagio Options) was automatically cancelled and extinguished for no consideration, and each holder thereof ceased to have any rights with respect thereto.</w:t>
            </w:r>
          </w:p>
        </w:tc>
      </w:tr>
    </w:tbl>
    <w:p>
      <w:pPr>
        <w:pStyle w:val="TextBody"/>
        <w:bidi w:val="0"/>
        <w:spacing w:before="0" w:after="0"/>
        <w:ind w:left="144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1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$7.0</w:t>
            </w:r>
            <w:r>
              <w:rPr>
                <w:caps w:val="false"/>
                <w:smallCaps w:val="false"/>
              </w:rPr>
              <w:t xml:space="preserve"> </w:t>
            </w:r>
            <w:r>
              <w:rPr>
                <w:rFonts w:ascii="Times New Roman;Times;serif" w:hAnsi="Times New Roman;Times;serif"/>
                <w:b w:val="false"/>
                <w:i w:val="false"/>
                <w:caps w:val="false"/>
                <w:smallCaps w:val="false"/>
                <w:sz w:val="20"/>
              </w:rPr>
              <w:t>million of 2024 Bridge Financing Notes were converted into Convertible Securities Notes and Convert Warrants (as defined below).</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committed financing valued at $64.5 million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2024 PIPE Financing included:</w:t>
      </w:r>
    </w:p>
    <w:p>
      <w:pPr>
        <w:pStyle w:val="TextBody"/>
        <w:bidi w:val="0"/>
        <w:spacing w:before="0" w:after="0"/>
        <w:ind w:left="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Commitments by certain Other PIPE Investors that were shareholders of ARYA to not to redeem 247,700 Class A shares of ARYA, resulting in the issuance of 405,772 shares of Company’s common stock and 343,756 Base Warrants.</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Agreements by certain Other PIPE Investors to purchase 1,036,666 shares of the Company’s common stock, 1,440,000 Base Warrants, and 670,000 PIPE Pre-funded Warrants for a cash investment of $12 million in the Company.</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p>
      <w:pPr>
        <w:pStyle w:val="TextBody"/>
        <w:bidi w:val="0"/>
        <w:spacing w:before="0" w:after="0"/>
        <w:ind w:left="1080" w:right="0" w:firstLine="360"/>
        <w:jc w:val="both"/>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xml:space="preserve">An additional cash investment of $15.9 million by the Perceptive PIPE Investor for a total of 2,250,352 shares of New Adagio Common Stock and 1,905,069 units of Base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231" w:name="Tc_XDnZoLuxDUabe_h1n3gcLg_10_2"/>
      <w:bookmarkStart w:id="1232" w:name="Tc_PD7hT_ZdHEik_FcH6P95tw_10_0"/>
      <w:bookmarkStart w:id="1233" w:name="Tc_un0FG9ROAEOwIQMX8ymvNQ_9_2"/>
      <w:bookmarkStart w:id="1234" w:name="Tc_qMb5Ps45Lk2r-__M_GhGlg_9_0"/>
      <w:bookmarkStart w:id="1235" w:name="Tc_IckxI-hS7EOM0-V2tZ50Aw_8_2"/>
      <w:bookmarkStart w:id="1236" w:name="Tc_cLJoqqKKqUSMpdzUkXbhUA_8_0"/>
      <w:bookmarkStart w:id="1237" w:name="Tc_Ro_E3Qcl6E-vMOKI9Dn2XQ_7_0"/>
      <w:bookmarkStart w:id="1238" w:name="Tc_76VduHLeaUqO05svTv2Khg_5_2"/>
      <w:bookmarkStart w:id="1239" w:name="Tc_5Fj0rDP8DkKlg74j2sCg5A_5_0"/>
      <w:bookmarkStart w:id="1240" w:name="Tc_DpANlPSCLU-JJhLyTgTy2A_4_2"/>
      <w:bookmarkStart w:id="1241" w:name="Tc_or1zbiKUW0mWT3594aTIcg_4_0"/>
      <w:bookmarkStart w:id="1242" w:name="Tc_5jkC6l0sakiZxE-BS7jE0Q_3_0"/>
      <w:bookmarkStart w:id="1243" w:name="Tc_GmjWF47UkkWy-QlYj-67Nw_2_0"/>
      <w:bookmarkStart w:id="1244" w:name="Tc_bX2Y2Fkt1kGwSCUfegLxQg_1_0"/>
      <w:bookmarkStart w:id="1245" w:name="_2f449bbd_a8ad_41bc_b739_ec9868a42fa6"/>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Acquisition Method of Accounting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Business Combination has been accounted for as a forward-merger in accordance with U.S. GAAP. Under this method of accounting, ListCo has been treated as the “accounting acquirer” and Legacy Adagio as the “accounting acquiree” for financial reporting purposes. Accordingly, for accounting purposes, the Business Combination has been accounted for using the acquisition method of accounting. The acquisition method of accounting is based on ASC 805 and uses the fair value concepts defined in ASC 820. ASC 805 requires, among other things, that assets acquired, and liabilities assumed be recognized at their fair values as of the acquisition date, with limited exceptions per ASC 805-20-30-12 through 30-23. As such, under the acquisition method of accounting, ListCo’s assets and liabilities retain their carrying amounts, and the assets and liabilities of Legacy Adagio, including any intangible assets recognized in connection with the Business Combination, are recorded at their fair values as of the acquisition date, except as otherwise required. The excess of the purchase price over the estimated fair values of net assets acquired is recorded as 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acquisition method of accounting, ListCo was considered to be the accounting acquirer based on the terms of the Business Combination. Upon consummation of the Business Combination, the cash on hand resulted in the equity at risk being considered insufficient for Legacy Adagio to finance its activities without additional subordinated financial support. Therefore, Legacy Adagio was considered a Variable Interest Entity and the primary beneficiary of Legacy Adagio was treated as the accounting acquirer.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ListCo is the primary beneficiary of Legacy Adagio. ListCo holds 100% of the voting rights of Legacy Adagio and controls the Board of Directors of Legacy Adagio. Therefore, ListCo has the sole power to control the significant activities that impact Legacy Adagio’s economic performance. ListCo’s equity interest in Legacy Adagio results in the right to receive benefits and the obligation to absorb the losses of Legacy Adagio that could be significant to ListCo.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is a summary of the purchase price calculation (in thousands except share and per share data):</w:t>
      </w:r>
    </w:p>
    <w:p>
      <w:pPr>
        <w:pStyle w:val="TextBody"/>
        <w:bidi w:val="0"/>
        <w:spacing w:before="0" w:after="0"/>
        <w:ind w:left="0" w:right="0" w:firstLine="360"/>
        <w:jc w:val="both"/>
        <w:rPr/>
      </w:pPr>
      <w:r>
        <w:rPr/>
        <w:t>​</w:t>
      </w:r>
    </w:p>
    <w:tbl>
      <w:tblPr>
        <w:tblW w:w="9584" w:type="dxa"/>
        <w:jc w:val="left"/>
        <w:tblInd w:w="0" w:type="dxa"/>
        <w:tblLayout w:type="fixed"/>
        <w:tblCellMar>
          <w:top w:w="0" w:type="dxa"/>
          <w:left w:w="0" w:type="dxa"/>
          <w:bottom w:w="0" w:type="dxa"/>
          <w:right w:w="0" w:type="dxa"/>
        </w:tblCellMar>
      </w:tblPr>
      <w:tblGrid>
        <w:gridCol w:w="8071"/>
        <w:gridCol w:w="326"/>
        <w:gridCol w:w="211"/>
        <w:gridCol w:w="976"/>
      </w:tblGrid>
      <w:tr>
        <w:trPr/>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19760" cy="175260"/>
                      <wp:effectExtent l="0" t="0" r="0" b="0"/>
                      <wp:wrapNone/>
                      <wp:docPr id="71" name="Frame7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the Company’s common stock issued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replacement stock options granted to Legacy Adagio’s option holders by the Company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and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6,779,356</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Multiplied by the Company’s common stock price at the Closing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45,015</w:t>
            </w:r>
          </w:p>
        </w:tc>
      </w:tr>
      <w:tr>
        <w:trPr/>
        <w:tc>
          <w:tcPr>
            <w:tcW w:w="8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PIPE Base Warrants issued in lieu of settling Bridge Financing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3,540,000</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Multiplied by estimated value of PIPE Base Warrants at the Closing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fair value of PIPE Base Warrants issued in lieu of settling Bridge Financing Notes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8,531</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purchase price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53,546</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46" w:name="Tc_cEV1Mqs8L0WA3f9ewTMYaw_23_2"/>
      <w:bookmarkStart w:id="1247" w:name="Tc_aEkXSpB3WEO6e1hTixrkCg_23_0"/>
      <w:bookmarkStart w:id="1248" w:name="Tc_PbUIUdN2ek6sSUFPjHwKJA_22_2"/>
      <w:bookmarkStart w:id="1249" w:name="Tc_q-D5gDP5sEKMTghCeuS66A_22_0"/>
      <w:bookmarkStart w:id="1250" w:name="Tc_o3JcKcIswUCftuKQKqxb4A_21_0"/>
      <w:bookmarkStart w:id="1251" w:name="Tc_YoL99IbPxE-Cr1h0d6vUyQ_20_0"/>
      <w:bookmarkStart w:id="1252" w:name="Tc_TTMpEQ_uq0CQFv_h-ZiNAQ_19_0"/>
      <w:bookmarkStart w:id="1253" w:name="Tc_A1tEhGPIV0G520E_8fr57A_18_0"/>
      <w:bookmarkStart w:id="1254" w:name="Tc__VQVnof56UuIwIdwdCuASg_17_0"/>
      <w:bookmarkStart w:id="1255" w:name="Tc_s3L4PdTQYkKb8O7q8cZjMA_16_0"/>
      <w:bookmarkStart w:id="1256" w:name="Tc_jbwsQlKztUmrxLNXYoMmkA_15_2"/>
      <w:bookmarkStart w:id="1257" w:name="Tc_d96MhXnGKUmDaR8siyq3Xg_15_0"/>
      <w:bookmarkStart w:id="1258" w:name="Tc_jxnJ-nzRe02iTq-uyNFEuA_14_0"/>
      <w:bookmarkStart w:id="1259" w:name="Tc_Z2_h59IDRU2M0V9_AVujZw_12_2"/>
      <w:bookmarkStart w:id="1260" w:name="Tc_De-X0xitCkumL5tMqRooqQ_12_0"/>
      <w:bookmarkStart w:id="1261" w:name="Tc_fr3aM4FBHUO9yexlAvpSGw_11_0"/>
      <w:bookmarkStart w:id="1262" w:name="Tc_23VW88Qc_0KlyZ6q7wFytw_10_0"/>
      <w:bookmarkStart w:id="1263" w:name="Tc_3YZOzs8ybUer0TeJzqqXKg_9_0"/>
      <w:bookmarkStart w:id="1264" w:name="Tc_TAgDWwoQZE26Yy-a_OkGkA_8_0"/>
      <w:bookmarkStart w:id="1265" w:name="Tc_8wr4pLWAdEiVghz7RokJNw_7_0"/>
      <w:bookmarkStart w:id="1266" w:name="Tc_SehqmfQyG0qymZYT64GtBg_6_0"/>
      <w:bookmarkStart w:id="1267" w:name="Tc_GCdqk5LyZUCA8YLH3t7uEQ_5_0"/>
      <w:bookmarkStart w:id="1268" w:name="Tc_ybCn9ndw-UadKQO03urHOg_4_0"/>
      <w:bookmarkStart w:id="1269" w:name="Tc_K75yN-fi4Uum592Z7geq3Q_3_0"/>
      <w:bookmarkStart w:id="1270" w:name="Tc_Cp_uHUnHyE6NrgqpyA4zMw_2_2"/>
      <w:bookmarkStart w:id="1271" w:name="Tc_7mmcqvX4R0ydbwsd4qYKXA_2_0"/>
      <w:bookmarkStart w:id="1272" w:name="Tc_C3fVMY6jgUa3UbXeU7YDWw_1_0"/>
      <w:bookmarkStart w:id="1273" w:name="_6c48935b_ef46_42a9_9b34_a1b991f1e1b8"/>
      <w:bookmarkStart w:id="1274" w:name="OLE_LINK2"/>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Pr>
          <w:rFonts w:ascii="Times New Roman;Times;serif" w:hAnsi="Times New Roman;Times;serif"/>
          <w:sz w:val="20"/>
        </w:rPr>
        <w:t>The allocation of the purchase price was as follows (audited, in thousands):</w:t>
      </w:r>
    </w:p>
    <w:p>
      <w:pPr>
        <w:pStyle w:val="TextBody"/>
        <w:bidi w:val="0"/>
        <w:spacing w:before="0" w:after="0"/>
        <w:ind w:left="0" w:right="0" w:firstLine="360"/>
        <w:jc w:val="both"/>
        <w:rPr/>
      </w:pPr>
      <w:r>
        <w:rPr/>
        <w:t>​</w:t>
      </w:r>
    </w:p>
    <w:tbl>
      <w:tblPr>
        <w:tblW w:w="4469" w:type="dxa"/>
        <w:jc w:val="left"/>
        <w:tblInd w:w="0" w:type="dxa"/>
        <w:tblLayout w:type="fixed"/>
        <w:tblCellMar>
          <w:top w:w="0" w:type="dxa"/>
          <w:left w:w="0" w:type="dxa"/>
          <w:bottom w:w="0" w:type="dxa"/>
          <w:right w:w="0" w:type="dxa"/>
        </w:tblCellMar>
      </w:tblPr>
      <w:tblGrid>
        <w:gridCol w:w="3151"/>
        <w:gridCol w:w="326"/>
        <w:gridCol w:w="211"/>
        <w:gridCol w:w="78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00885" cy="175260"/>
                      <wp:effectExtent l="0" t="0" r="0" b="0"/>
                      <wp:wrapNone/>
                      <wp:docPr id="72" name="Frame72"/>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5" name="Frame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77,252</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long-term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53,546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Goodwill represents the excess of the total purchase consideration over the fair value of the underlying net assets and captures the value attributable to future economic benefits arising from future technology development beyond the existing pipeline of identified IPR&amp;D projects.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acquired intangible assets consist of developed technology and IPR&amp;D, which were valued at $26.2 million at the Closing using the cost approach. This approach considers an asset’s replacement cost (direct and indirect) adjusted, where applicable, for obsolescence to estimate the replacement cost of the asset’s current service potential (i.e., remaining useful life and cash-flow generating capacity). Obsolescence for an acquired intangible asset may include functional (technological) obsolescence and economic (external) obsolescence. The Company has determined the estimated useful life of five years for developed technology based on consideration of the economic benefit of the asset. Refer to </w:t>
      </w:r>
      <w:r>
        <w:rPr>
          <w:rFonts w:ascii="Times New Roman;Times;serif" w:hAnsi="Times New Roman;Times;serif"/>
          <w:i/>
          <w:sz w:val="20"/>
        </w:rPr>
        <w:t>Note 7- Goodwill and Intangible Assets</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the transactions that occurred concurrently with the Closing Date of the Business Combination were reflected “on the line”. “On the line” describes those transactions triggered by the consummation of the Business Combination that are not recognized in the consolidated financial statements of the Predecessor nor the Successor as they are not directly attributable to either period but instead were contingent on the Business Combination.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75" w:name="Tc_KEK_O2G_ukGPvUnEwlqowQ_11_9"/>
      <w:bookmarkStart w:id="1276" w:name="Tc_MMRkdaVnaUuAzSd2lL6NQg_11_6"/>
      <w:bookmarkStart w:id="1277" w:name="Tc_rfZNcPGYvke2g7kc_dzQpg_11_0"/>
      <w:bookmarkStart w:id="1278" w:name="Tc_iUIxuTY4WkGL2Vekaeoq3w_10_10"/>
      <w:bookmarkStart w:id="1279" w:name="Tc_yjpG618ey0ObDLLLJcsUtA_10_4"/>
      <w:bookmarkStart w:id="1280" w:name="Tc_6-PxNjezCU-2xk7Ri82NPg_10_0"/>
      <w:bookmarkStart w:id="1281" w:name="Tc_E38PvnZedUaVQdYY63iaGw_9_10"/>
      <w:bookmarkStart w:id="1282" w:name="Tc_MfiC-vJNwEqKOWNyLQdjbQ_9_0"/>
      <w:bookmarkStart w:id="1283" w:name="Tc_DOMLabn-IUylBmKMJSBrQA_8_10"/>
      <w:bookmarkStart w:id="1284" w:name="Tc_kt6EQ4KBf0yWaQoe0gO9iA_8_4"/>
      <w:bookmarkStart w:id="1285" w:name="Tc_CCa1WZh6-E2wlVvrbQ6Jaw_8_0"/>
      <w:bookmarkStart w:id="1286" w:name="Tc_oXGgVIyE7E-wQ8RMDs-o2w_7_10"/>
      <w:bookmarkStart w:id="1287" w:name="Tc_CGfOAWd0e0q4T1-Uof1Iqg_7_7"/>
      <w:bookmarkStart w:id="1288" w:name="Tc_QiR7Ix59hUGbeW7lGcoMYw_7_4"/>
      <w:bookmarkStart w:id="1289" w:name="Tc_UxIKYqyZhUue_jdL8SRJDw_7_0"/>
      <w:bookmarkStart w:id="1290" w:name="Tc_M4avKy_nLEOvikLx4gn7ow_6_10"/>
      <w:bookmarkStart w:id="1291" w:name="Tc_59J4LcJwl0CrG2WLJ_V-7Q_6_4"/>
      <w:bookmarkStart w:id="1292" w:name="Tc_8Ctl2U-4tEqOlH-cuqBRIQ_6_0"/>
      <w:bookmarkStart w:id="1293" w:name="Tc_0AHyk8BiUkWS-GnTaKq0HQ_5_10"/>
      <w:bookmarkStart w:id="1294" w:name="Tc_MuYrWxX5i0KBmVlwXP59Pw_5_4"/>
      <w:bookmarkStart w:id="1295" w:name="Tc_7JUC22Sg00ipTZgpUMsEjg_5_0"/>
      <w:bookmarkStart w:id="1296" w:name="Tc_kcpEd2iTbk2ixoR0ovU1dA_4_7"/>
      <w:bookmarkStart w:id="1297" w:name="Tc_Oxn9Q_GJvE-0A7OwoRt92w_4_4"/>
      <w:bookmarkStart w:id="1298" w:name="Tc_x1yPq4wadUGJmq13PK38Ug_4_2"/>
      <w:bookmarkStart w:id="1299" w:name="Tc_xx3_1shr3Uae7_Z24iAA1g_4_0"/>
      <w:bookmarkStart w:id="1300" w:name="Tc_vNdWx9zLJ0iCQeYInU-F8Q_3_9"/>
      <w:bookmarkStart w:id="1301" w:name="Tc_hranQOglqUC2r00iVtXJew_3_6"/>
      <w:bookmarkStart w:id="1302" w:name="Tc_u3RjkvqvUEOuPldPv4CHgQ_3_4"/>
      <w:bookmarkStart w:id="1303" w:name="Tc_PZ0o0ARhhEiX2AVtEmM0sQ_3_0"/>
      <w:bookmarkStart w:id="1304" w:name="Tc_WXuITE-BBUai2Zmq-xTBBg_2_9"/>
      <w:bookmarkStart w:id="1305" w:name="Tc_r-dLRxQXREyRwW4ipV_k_A_2_6"/>
      <w:bookmarkStart w:id="1306" w:name="Tc_X-uKex4YZU2hCU9g2hmcRg_2_4"/>
      <w:bookmarkStart w:id="1307" w:name="Tc_AOm77jc9ikeb820ot4YuhA_2_2"/>
      <w:bookmarkStart w:id="1308" w:name="_135e7b0a_0636_4beb_b148_9d1fbdc2c52f"/>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r>
        <w:rPr>
          <w:rFonts w:ascii="Times New Roman;Times;serif" w:hAnsi="Times New Roman;Times;serif"/>
          <w:sz w:val="20"/>
        </w:rPr>
        <w:t>The number of shares of common stock issued and amounts recorded on the line within stockholders’ equity (deficit) are reflected below to arrive at the opening consolidated balance sheet of the Successor (in thousands except share data).</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700"/>
        <w:gridCol w:w="326"/>
        <w:gridCol w:w="1147"/>
        <w:gridCol w:w="326"/>
        <w:gridCol w:w="913"/>
        <w:gridCol w:w="326"/>
        <w:gridCol w:w="211"/>
        <w:gridCol w:w="676"/>
        <w:gridCol w:w="326"/>
        <w:gridCol w:w="266"/>
        <w:gridCol w:w="988"/>
      </w:tblGrid>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28345" cy="175260"/>
                      <wp:effectExtent l="0" t="0" r="0" b="0"/>
                      <wp:wrapNone/>
                      <wp:docPr id="76" name="Frame76"/>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79755" cy="175260"/>
                      <wp:effectExtent l="0" t="0" r="0" b="0"/>
                      <wp:wrapNone/>
                      <wp:docPr id="78" name="Frame78"/>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9260" cy="175260"/>
                      <wp:effectExtent l="0" t="0" r="0" b="0"/>
                      <wp:wrapNone/>
                      <wp:docPr id="81" name="Frame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68910" cy="175260"/>
                      <wp:effectExtent l="0" t="0" r="0" b="0"/>
                      <wp:wrapNone/>
                      <wp:docPr id="83" name="Frame8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27380" cy="175260"/>
                      <wp:effectExtent l="0" t="0" r="0" b="0"/>
                      <wp:wrapNone/>
                      <wp:docPr id="84" name="Frame84"/>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54" w:type="dxa"/>
            <w:gridSpan w:val="2"/>
            <w:tcBorders/>
            <w:vAlign w:val="center"/>
          </w:tcPr>
          <w:p>
            <w:pPr>
              <w:pStyle w:val="TableContents"/>
              <w:bidi w:val="0"/>
              <w:spacing w:before="0" w:after="0"/>
              <w:ind w:left="0" w:right="0" w:hanging="0"/>
              <w:jc w:val="center"/>
              <w:rPr/>
            </w:pPr>
            <w:r>
              <w:rPr/>
              <w:t>​</w:t>
            </w:r>
          </w:p>
        </w:tc>
      </w:tr>
      <w:tr>
        <w:trPr/>
        <w:tc>
          <w:tcPr>
            <w:tcW w:w="4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center"/>
              <w:rPr/>
            </w:pPr>
            <w:r>
              <w:rPr/>
              <w:t>    </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Common Stock </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APIC</w:t>
            </w:r>
          </w:p>
        </w:tc>
        <w:tc>
          <w:tcPr>
            <w:tcW w:w="326" w:type="dxa"/>
            <w:tcBorders/>
            <w:vAlign w:val="center"/>
          </w:tcPr>
          <w:p>
            <w:pPr>
              <w:pStyle w:val="TableContents"/>
              <w:bidi w:val="0"/>
              <w:spacing w:before="0" w:after="0"/>
              <w:ind w:left="0" w:right="0" w:hanging="0"/>
              <w:jc w:val="center"/>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Deficit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ListCo closing equity as of July 30, 2024 </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 carried over from ARYA</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(14,089)</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of cash proceeds in the 2024 PIPE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3,287,018</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23,433</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convertible promissory Notes</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355,100</w:t>
            </w:r>
          </w:p>
        </w:tc>
        <w:tc>
          <w:tcPr>
            <w:tcW w:w="326"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3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Class A ordinary shares and Class B ordinary shares</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2,089,000</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Class A ordinary shares subject to redemption</w:t>
            </w:r>
          </w:p>
        </w:tc>
        <w:tc>
          <w:tcPr>
            <w:tcW w:w="32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123,520</w:t>
            </w:r>
          </w:p>
        </w:tc>
        <w:tc>
          <w:tcPr>
            <w:tcW w:w="326" w:type="dxa"/>
            <w:tcBorders/>
            <w:vAlign w:val="center"/>
          </w:tcPr>
          <w:p>
            <w:pPr>
              <w:pStyle w:val="TableContents"/>
              <w:bidi w:val="0"/>
              <w:spacing w:before="0" w:after="0"/>
              <w:ind w:left="0" w:right="0" w:hanging="0"/>
              <w:jc w:val="right"/>
              <w:rPr/>
            </w:pPr>
            <w:r>
              <w:rPr/>
              <w:t>​</w:t>
            </w:r>
          </w:p>
        </w:tc>
        <w:tc>
          <w:tcPr>
            <w:tcW w:w="9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3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center"/>
              <w:rPr/>
            </w:pPr>
            <w:r>
              <w:rPr/>
              <w:t>​</w:t>
            </w:r>
          </w:p>
        </w:tc>
        <w:tc>
          <w:tcPr>
            <w:tcW w:w="988" w:type="dxa"/>
            <w:tcBorders/>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for acquisition of Legacy Adagio</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53,546</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center"/>
              <w:rPr/>
            </w:pPr>
            <w:r>
              <w:rPr/>
              <w:t>​</w:t>
            </w:r>
          </w:p>
        </w:tc>
        <w:tc>
          <w:tcPr>
            <w:tcW w:w="988" w:type="dxa"/>
            <w:tcBorders/>
            <w:shd w:fill="CCEEFF" w:val="clear"/>
            <w:vAlign w:val="center"/>
          </w:tcPr>
          <w:p>
            <w:pPr>
              <w:pStyle w:val="TableContents"/>
              <w:bidi w:val="0"/>
              <w:spacing w:before="0" w:after="0"/>
              <w:ind w:left="0" w:right="0" w:hanging="0"/>
              <w:jc w:val="right"/>
              <w:rPr/>
            </w:pPr>
            <w:r>
              <w:rPr/>
              <w:t>—</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shares issued and reclassification of Class A ordinary shares subject to non-redemption agreements and open market subscription agreements</w:t>
            </w:r>
          </w:p>
        </w:tc>
        <w:tc>
          <w:tcPr>
            <w:tcW w:w="326" w:type="dxa"/>
            <w:tcBorders/>
            <w:vAlign w:val="center"/>
          </w:tcPr>
          <w:p>
            <w:pPr>
              <w:pStyle w:val="TableContents"/>
              <w:bidi w:val="0"/>
              <w:spacing w:before="0" w:after="0"/>
              <w:ind w:left="0" w:right="0" w:hanging="0"/>
              <w:jc w:val="left"/>
              <w:rPr/>
            </w:pPr>
            <w:r>
              <w:rPr/>
              <w:t>​</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761,229</w:t>
            </w:r>
          </w:p>
        </w:tc>
        <w:tc>
          <w:tcPr>
            <w:tcW w:w="326" w:type="dxa"/>
            <w:tcBorders/>
            <w:vAlign w:val="center"/>
          </w:tcPr>
          <w:p>
            <w:pPr>
              <w:pStyle w:val="TableContents"/>
              <w:bidi w:val="0"/>
              <w:spacing w:before="0" w:after="0"/>
              <w:ind w:left="0" w:right="0" w:hanging="0"/>
              <w:jc w:val="righ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326" w:type="dxa"/>
            <w:tcBorders/>
            <w:vAlign w:val="center"/>
          </w:tcPr>
          <w:p>
            <w:pPr>
              <w:pStyle w:val="TableContents"/>
              <w:bidi w:val="0"/>
              <w:spacing w:before="0" w:after="0"/>
              <w:ind w:left="0" w:right="0" w:hanging="0"/>
              <w:jc w:val="righ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Successor’s opening equity (deficit) as of July 31, 2024 (Successor)</w:t>
            </w:r>
          </w:p>
        </w:tc>
        <w:tc>
          <w:tcPr>
            <w:tcW w:w="326" w:type="dxa"/>
            <w:tcBorders/>
            <w:shd w:fill="CCEEFF" w:val="clear"/>
            <w:vAlign w:val="center"/>
          </w:tcPr>
          <w:p>
            <w:pPr>
              <w:pStyle w:val="TableContents"/>
              <w:bidi w:val="0"/>
              <w:spacing w:before="0" w:after="0"/>
              <w:ind w:left="0" w:right="0" w:hanging="0"/>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13,387,636</w:t>
            </w:r>
          </w:p>
        </w:tc>
        <w:tc>
          <w:tcPr>
            <w:tcW w:w="326" w:type="dxa"/>
            <w:tcBorders/>
            <w:shd w:fill="CCEEFF" w:val="clear"/>
            <w:vAlign w:val="center"/>
          </w:tcPr>
          <w:p>
            <w:pPr>
              <w:pStyle w:val="TableContents"/>
              <w:bidi w:val="0"/>
              <w:spacing w:before="0" w:after="0"/>
              <w:ind w:left="0" w:right="0" w:hanging="0"/>
              <w:jc w:val="righ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89,786</w:t>
            </w:r>
          </w:p>
        </w:tc>
        <w:tc>
          <w:tcPr>
            <w:tcW w:w="326" w:type="dxa"/>
            <w:tcBorders/>
            <w:shd w:fill="CCEEFF" w:val="clear"/>
            <w:vAlign w:val="center"/>
          </w:tcPr>
          <w:p>
            <w:pPr>
              <w:pStyle w:val="TableContents"/>
              <w:bidi w:val="0"/>
              <w:spacing w:before="0" w:after="0"/>
              <w:ind w:left="0" w:right="0" w:hanging="0"/>
              <w:jc w:val="righ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(16,823)</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pPr>
      <w:bookmarkStart w:id="1309" w:name="Tc_ZHM1cIpY_UaopVj8B2GefA_14_8"/>
      <w:bookmarkStart w:id="1310" w:name="Tc_7W_ivzaPn0yamKGaZwb7oQ_14_6"/>
      <w:bookmarkStart w:id="1311" w:name="Tc_o_Ap-bwyQEGwIYQ7sVx5tw_14_5"/>
      <w:bookmarkStart w:id="1312" w:name="Tc_p-_lAOYcFUOYif-7t_yF8w_14_3"/>
      <w:bookmarkStart w:id="1313" w:name="Tc_fO7KFcq4bEKBXfPJU7Mukg_14_2"/>
      <w:bookmarkStart w:id="1314" w:name="Tc_g_I4N2DHiEKCyJ7yjQoUXA_14_0"/>
      <w:bookmarkStart w:id="1315" w:name="Tc_pny_Mr2lokm6Me3Gh-kJUg_13_8"/>
      <w:bookmarkStart w:id="1316" w:name="Tc_JQWkUcnzRk2B_WdChTIqig_13_6"/>
      <w:bookmarkStart w:id="1317" w:name="Tc_4l5kTCasbEiCi68cs35pHg_13_5"/>
      <w:bookmarkStart w:id="1318" w:name="Tc_jISEINr320OzFSaxkr4-Og_13_3"/>
      <w:bookmarkStart w:id="1319" w:name="Tc_e3p094LEK0miN5z6tep8UA_13_2"/>
      <w:bookmarkStart w:id="1320" w:name="Tc__49NxmkIeEC3e9riQOggzQ_13_0"/>
      <w:bookmarkStart w:id="1321" w:name="Tc_Qvj54www1EWxwhjqTLai-w_12_0"/>
      <w:bookmarkStart w:id="1322" w:name="Tc_3BDQRbI4_0axpDwtsbTV-Q_11_9"/>
      <w:bookmarkStart w:id="1323" w:name="Tc_WnCyU6kw80mEsLZOa0vELA_11_8"/>
      <w:bookmarkStart w:id="1324" w:name="Tc_1-GzCOmAm0yAU_409_PQ7w_11_6"/>
      <w:bookmarkStart w:id="1325" w:name="Tc_3HFEANHaAk6rl06qFnGvMg_11_5"/>
      <w:bookmarkStart w:id="1326" w:name="Tc_gqDhl4yCtEGVQo3WSaBaRA_11_2"/>
      <w:bookmarkStart w:id="1327" w:name="Tc_fkhzF7liSE6xpDk4yVjzZA_11_0"/>
      <w:bookmarkStart w:id="1328" w:name="Tc_R6nr4f-eAUe2Ylc1RsCpdA_10_0"/>
      <w:bookmarkStart w:id="1329" w:name="Tc_Z1jmZzFZQUug_PFGkn27kA_9_8"/>
      <w:bookmarkStart w:id="1330" w:name="Tc_AVvXnBMpd0q2qjf3-79M_g_9_5"/>
      <w:bookmarkStart w:id="1331" w:name="Tc_KE36v62Xx0iDBEkrSyISEw_9_2"/>
      <w:bookmarkStart w:id="1332" w:name="Tc_vNwivVG3oEmbqGnLVIqhpA_9_0"/>
      <w:bookmarkStart w:id="1333" w:name="Tc_E0F4uIXhM0ORabGV3UKbCw_6_8"/>
      <w:bookmarkStart w:id="1334" w:name="Tc_N50neLKl1EShwMYEZLfeAw_6_6"/>
      <w:bookmarkStart w:id="1335" w:name="Tc_B4Uh55ECqkiZCdyxDP3zbw_6_5"/>
      <w:bookmarkStart w:id="1336" w:name="Tc_bkyiJwi43EupQLEjwK7nrw_6_3"/>
      <w:bookmarkStart w:id="1337" w:name="Tc_8IRXsGLqe0G9yHlhTrLrbg_6_2"/>
      <w:bookmarkStart w:id="1338" w:name="Tc_qIVwC_FYGU21V-3C770g1g_6_0"/>
      <w:bookmarkStart w:id="1339" w:name="Tc_ChP6gom1EkeZqyqTsuvrhA_5_8"/>
      <w:bookmarkStart w:id="1340" w:name="Tc_VE2XwUasRk6i09QQT6Vp2g_5_6"/>
      <w:bookmarkStart w:id="1341" w:name="Tc_1_YVwdrtxEGVm_QYHY9RPA_5_5"/>
      <w:bookmarkStart w:id="1342" w:name="Tc_rt5hRtRV5ESe3nZDFozlIw_5_3"/>
      <w:bookmarkStart w:id="1343" w:name="Tc_nxX7-y1S20K6L2wCBlB49g_5_2"/>
      <w:bookmarkStart w:id="1344" w:name="Tc_RGStSP9l0kGugPoD3nvC7Q_5_0"/>
      <w:bookmarkStart w:id="1345" w:name="Tc_gHwTO68aJE-ySXvhi9MwtA_4_0"/>
      <w:bookmarkStart w:id="1346" w:name="Tc_UYY9O3ZRQUCN4LmqSigYuA_3_9"/>
      <w:bookmarkStart w:id="1347" w:name="Tc_iuAo0q952UaLmVm90W8b7Q_3_8"/>
      <w:bookmarkStart w:id="1348" w:name="Tc_ekOD8BMaFke-Xko3lLk3Ew_3_6"/>
      <w:bookmarkStart w:id="1349" w:name="Tc_Uq-vISQIfkO3U0RtI46oAw_3_5"/>
      <w:bookmarkStart w:id="1350" w:name="Tc_Q3IcseehcEGaKEQ6SGYVxw_3_2"/>
      <w:bookmarkStart w:id="1351" w:name="Tc_XC2a4KOfi0WE0aowSUDLbw_3_0"/>
      <w:bookmarkStart w:id="1352" w:name="Tc_qXg5FBULYUSYKMtjgS7vLQ_2_0"/>
      <w:bookmarkStart w:id="1353" w:name="Tc_UQbnR48j6kqWqY8I1zv_yw_1_8"/>
      <w:bookmarkStart w:id="1354" w:name="Tc_Uw9AgzDhI0WwrNC_2WkeEg_1_5"/>
      <w:bookmarkStart w:id="1355" w:name="Tc_d7MB_A_kDkauJ9GlVL5YVQ_1_2"/>
      <w:bookmarkStart w:id="1356" w:name="Tc_7W38mCKro06pijQAWl4yhg_1_0"/>
      <w:bookmarkStart w:id="1357" w:name="_e62e2488_cd5a_4d85_9fdc_358eeb85b595"/>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 Fair Value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include its money market accounts (included as part of cash and cash equivalents), accounts receivable, accounts payable, common stock warrant liabilities (i.e. Convert Warrants and SVB Warrants), pre-funded warrant liabilities (i.e. PIPE Pre-funded Warrants), and convertible notes payables (i.e. Convertible Securities Notes and Legacy Adagio Convertible Notes). The recorded carrying amounts of cash and equivalents, accounts receivable and accounts payable approximates fair value due to their short-term nature. The convertible notes, common stock warrant liabilities, and pre-funded warrant liabilities are carried at fair value.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Assets and liabilities recognized at fair value on a recurring basis in the condensed consolidated balance sheets consist of cash equivalents, common stock warrant liabilities, pre-funded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the Company’s financial instruments at fair value based on the fair value hierarchy for each class of instrument (in thousands):</w:t>
      </w:r>
    </w:p>
    <w:p>
      <w:pPr>
        <w:pStyle w:val="TextBody"/>
        <w:bidi w:val="0"/>
        <w:spacing w:before="0" w:after="0"/>
        <w:ind w:left="0" w:right="0" w:firstLine="360"/>
        <w:jc w:val="both"/>
        <w:rPr/>
      </w:pPr>
      <w:r>
        <w:rPr/>
        <w:t>​</w:t>
      </w:r>
    </w:p>
    <w:tbl>
      <w:tblPr>
        <w:tblW w:w="8258" w:type="dxa"/>
        <w:jc w:val="left"/>
        <w:tblInd w:w="0" w:type="dxa"/>
        <w:tblLayout w:type="fixed"/>
        <w:tblCellMar>
          <w:top w:w="0" w:type="dxa"/>
          <w:left w:w="0" w:type="dxa"/>
          <w:bottom w:w="0" w:type="dxa"/>
          <w:right w:w="0" w:type="dxa"/>
        </w:tblCellMar>
      </w:tblPr>
      <w:tblGrid>
        <w:gridCol w:w="4831"/>
        <w:gridCol w:w="326"/>
        <w:gridCol w:w="211"/>
        <w:gridCol w:w="676"/>
        <w:gridCol w:w="326"/>
        <w:gridCol w:w="239"/>
        <w:gridCol w:w="391"/>
        <w:gridCol w:w="326"/>
        <w:gridCol w:w="211"/>
        <w:gridCol w:w="721"/>
      </w:tblGrid>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83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September 30, 2025 (Successor)</w:t>
            </w:r>
          </w:p>
        </w:tc>
        <w:tc>
          <w:tcPr>
            <w:tcW w:w="326" w:type="dxa"/>
            <w:tcBorders/>
            <w:vAlign w:val="center"/>
          </w:tcPr>
          <w:p>
            <w:pPr>
              <w:pStyle w:val="TableContents"/>
              <w:bidi w:val="0"/>
              <w:spacing w:before="0" w:after="0"/>
              <w:ind w:left="0" w:right="0" w:hanging="0"/>
              <w:jc w:val="both"/>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both"/>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both"/>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8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4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pPr>
            <w:r>
              <w:rPr/>
              <w:t>—</w:t>
            </w:r>
          </w:p>
        </w:tc>
      </w:tr>
      <w:tr>
        <w:trPr/>
        <w:tc>
          <w:tcPr>
            <w:tcW w:w="48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 (including accrued interest)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21,191</w:t>
            </w:r>
          </w:p>
        </w:tc>
      </w:tr>
      <w:tr>
        <w:trPr/>
        <w:tc>
          <w:tcPr>
            <w:tcW w:w="48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48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83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December 31, 2024 (Successor)</w:t>
            </w:r>
          </w:p>
        </w:tc>
        <w:tc>
          <w:tcPr>
            <w:tcW w:w="326" w:type="dxa"/>
            <w:tcBorders/>
            <w:vAlign w:val="center"/>
          </w:tcPr>
          <w:p>
            <w:pPr>
              <w:pStyle w:val="TableContents"/>
              <w:bidi w:val="0"/>
              <w:spacing w:before="0" w:after="0"/>
              <w:ind w:left="0" w:right="0" w:hanging="0"/>
              <w:jc w:val="both"/>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8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4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19,014</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pPr>
            <w:r>
              <w:rPr/>
              <w:t>—</w:t>
            </w:r>
          </w:p>
        </w:tc>
      </w:tr>
      <w:tr>
        <w:trPr/>
        <w:tc>
          <w:tcPr>
            <w:tcW w:w="483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 (including accrued interest*)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17,180</w:t>
            </w:r>
          </w:p>
        </w:tc>
      </w:tr>
      <w:tr>
        <w:trPr/>
        <w:tc>
          <w:tcPr>
            <w:tcW w:w="48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152</w:t>
            </w:r>
          </w:p>
        </w:tc>
      </w:tr>
    </w:tbl>
    <w:p>
      <w:pPr>
        <w:pStyle w:val="TextBody"/>
        <w:bidi w:val="0"/>
        <w:spacing w:before="0" w:after="0"/>
        <w:ind w:left="0" w:right="0" w:firstLine="360"/>
        <w:jc w:val="both"/>
        <w:rPr>
          <w:rFonts w:ascii="Times New Roman;Times;serif" w:hAnsi="Times New Roman;Times;serif"/>
          <w:i/>
          <w:sz w:val="18"/>
        </w:rPr>
      </w:pPr>
      <w:r>
        <w:rPr>
          <w:rFonts w:ascii="Times New Roman;Times;serif" w:hAnsi="Times New Roman;Times;serif"/>
          <w:i/>
          <w:sz w:val="18"/>
        </w:rPr>
        <w:t>*Accrued interest as of December 31, 2024 is recorded within “Other Accrued Liabilities.”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transfers made among the three levels in the fair value hierarchy for the nine months ended September 30, 2025 and for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Legacy Adagio Convertible Notes (Predecessor)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Bridge Financing Notes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27, 2022, Legacy Adagio entered into a note purchase agreement with investors for the issuance and sale of convertible promissory notes with an aggregate principal amount of $9.5 million at an interest rate of eight percent (8.0%) per annum. On April 4, 2023, November 28, 2023, and February 13, 2024, the October 2022 Convertible Notes were amended. Upon the consummation of the Business Combination, the principal and the accrued interest of the October 2022 Convertible Notes were converted into shares of Legacy Adagio common stock. Further, on the Closing Date, Legacy Adagio common stock was converted to the Company’s common stock based on the exchange ratio set forth in the Business Combination Agreement. Refer to </w:t>
      </w:r>
      <w:r>
        <w:rPr>
          <w:rFonts w:ascii="Times New Roman;Times;serif" w:hAnsi="Times New Roman;Times;serif"/>
          <w:i/>
          <w:sz w:val="20"/>
        </w:rPr>
        <w:t>Note 9 - Debt</w:t>
      </w:r>
      <w:r>
        <w:rPr>
          <w:rFonts w:ascii="Times New Roman;Times;serif" w:hAnsi="Times New Roman;Times;serif"/>
          <w:sz w:val="20"/>
        </w:rPr>
        <w:t xml:space="preserve"> for details.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4, 2023, Legacy Adagio issued a $5.0 million convertible promissory note to Perceptive PIPE Investor that matured upon the termination of the Business Combination Agreement in accordance with its terms. The April 2023 Convertible Notes accrued simple interest at eight percent (8.0%) per annum. Additionally, Legacy Adagio obtained the right to issue up to $10.0 million in additional convertible promissory notes. On February 13, 2023, November 28, 2023, and February 13, 2024, the April 2023 Convertible Notes were amended. Prior to the Closing Date, the $15.0 million convertible promissory note had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a $2.0 million convertible promissory note to Perceptive PIPE Investor that matured upon the termination of the Business Combination Agreement in accordance with its terms. The November 2023 Convertible Notes accrued simple interest at eight percent (8.0%) per annum. Additionally, Legacy Adagio obtained the right to issue up to $6.0 million in additional convertible promissory notes (“Delayed Draw Commitment”). On December 13, 2023, December 28, 2023, and February 13, 2024, the November 2023 Convertible Notes were amended. Prior to the Closing Date, the $8.0 million convertible promissory note had been drawn by Legacy Adagio.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13, 2024, Legacy Adagio issued a $7.0 million convertible promissory note to Perceptive PIPE Investor that matured upon the termination of the Business Combination Agreement in accordance with its terms. The 2024 Bridge Financing Note accrued simple interest at eight percent (8.0%) per annum. Prior to the Closing Date, the $7.0 million convertible promissory note had been drawn by Legacy Adagio. Upon the consummation of the Business Combination, the 2024 Bridge Financing Note of $7.0 million converted into $7.0 million of the Company’s Convertible Securities Notes and 525,000 Convert Warrants.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May 21, 2024, Legacy Adagio issued a $3.0 million convertible promissory note to Perceptive PIPE Investor that matured upon the termination of the Business Combination Agreement in accordance with its terms. The May 2024 Convertible Notes accrued simple interest at eight percent (8.0%) per annum. Prior to the Closing Date, the $3.0 million convertible promissory note had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Legacy Adagio issued a $2.5 million convertible promissory note to Perceptive PIPE Investor that matured upon the termination of the Business Combination Agreement in accordance with its terms. The June 2024 Convertible Notes accrued simple interest at eight percent (8.0%) per annum. Prior to the Closing Date, the $2.5 million convertible promissory note had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to Perceptive PIPE Investor that matured upon the termination of the Business Combination Agreement in accordance with its terms. It accrued simple interest at eight percent (8.0%) per annum. Prior to the Closing Date, the $1.0 million convertible promissory note had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the principal of Bridge Financing Notes, along with its accrued but unpaid interest, was converted into the shares of the Company’s common stock and Base Warrants as part of the 2024 PIPE Financing.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measured Legacy Adagio Convertible Notes at fair value based on significant inputs not observable in the market, which caused them to be classified as Level 3 measurements within the fair value hierarchy.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bookmarkStart w:id="1358" w:name="Tc_PEpvlGJV0k-v9kdWQyoDSg_5_2"/>
      <w:bookmarkStart w:id="1359" w:name="Tc_q9J93by2_kejVd7qWSIexg_5_0"/>
      <w:bookmarkStart w:id="1360" w:name="Tc_cxetahX5IUqV5XTK3a8zpA_4_0"/>
      <w:bookmarkStart w:id="1361" w:name="Tc_oUT3vlDiJEWpDDdyrvczaw_3_0"/>
      <w:bookmarkStart w:id="1362" w:name="Tc_IYy-9HAESkmTFhER5y1HEA_2_2"/>
      <w:bookmarkStart w:id="1363" w:name="Tc_QbF9F5nYAk6wQtvEeydluA_2_0"/>
      <w:bookmarkStart w:id="1364" w:name="Tc_adGg8d_94kS5Qt6NjYqn2w_1_0"/>
      <w:bookmarkStart w:id="1365" w:name="_b275e483_14ff_408b_8296_9b75e6b56869"/>
      <w:bookmarkStart w:id="1366" w:name="Tc_qKC5797FjkiaTWzwKVtqRA_7_6"/>
      <w:bookmarkStart w:id="1367" w:name="Tc_k33vnzjTC0Cjl1PAVWQWEg_7_3"/>
      <w:bookmarkStart w:id="1368" w:name="Tc_WeO9Xsn4sU28vBz-PIlZUw_7_0"/>
      <w:bookmarkStart w:id="1369" w:name="Tc_qNhbJITQNkWELTqT3Z1SWQ_6_6"/>
      <w:bookmarkStart w:id="1370" w:name="Tc_aK657M7aiEC8Oq46L0ZQGA_6_3"/>
      <w:bookmarkStart w:id="1371" w:name="Tc_tH-cAyvuhUmEaD1usrmAeg_6_0"/>
      <w:bookmarkStart w:id="1372" w:name="Tc_i6Hh9Acs1Eq5Ha0OivD_Jg_5_0"/>
      <w:bookmarkStart w:id="1373" w:name="Tc_lPVIovmNZ0W59QW8chF7OA_4_6"/>
      <w:bookmarkStart w:id="1374" w:name="Tc_vfhW51UhZE-WIQFhv4hf6w_4_3"/>
      <w:bookmarkStart w:id="1375" w:name="Tc_X8mwSVK6ak-aIIxPXVHtxQ_4_0"/>
      <w:bookmarkStart w:id="1376" w:name="Tc_BX9g9R-pU02R9uSb4br-gA_3_4"/>
      <w:bookmarkStart w:id="1377" w:name="Tc_pYNdwEYfF0y7L57z1k6KPQ_3_1"/>
      <w:bookmarkStart w:id="1378" w:name="Tc_iYO3VNMWEU-dGyv3oF_k9g_3_0"/>
      <w:bookmarkStart w:id="1379" w:name="Tc_086w7O3liUWjUVrbAWgBIg_2_5"/>
      <w:bookmarkStart w:id="1380" w:name="Tc_Qi1hGSU-tU-CRXhfdVcRJA_2_2"/>
      <w:bookmarkStart w:id="1381" w:name="Tc_Hg7TQu59G0qT-rYs4BhTww_2_0"/>
      <w:bookmarkStart w:id="1382" w:name="Tc_RP9PE2AY6kWottLIYvCm6w_1_5"/>
      <w:bookmarkStart w:id="1383" w:name="Tc_M0Qvhu0e6Ue_Tpg6Rm9cWQ_1_2"/>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r>
        <w:rPr>
          <w:rFonts w:ascii="Times New Roman;Times;serif" w:hAnsi="Times New Roman;Times;serif"/>
          <w:b/>
          <w:i/>
          <w:sz w:val="20"/>
        </w:rPr>
        <w:t>Convertible Securities Notes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the $20.0 million Convertible Securities Notes to the Convert Investors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Times;serif" w:hAnsi="Times New Roman;Times;serif"/>
          <w:i/>
          <w:sz w:val="20"/>
        </w:rPr>
        <w:t>Note 9 - Debt</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measures the Convertible Securities Notes at fair value based on significant inputs not observable in the market, which caused them to be classified as Level 3 measurements within the fair value hierarchy.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utilized the binomial lattice model to value the Convertible Securities Notes as of September 30, 2025, and December 31, 2024. The following table summarizes the significant inputs as of the valuation dates:</w:t>
      </w:r>
    </w:p>
    <w:p>
      <w:pPr>
        <w:pStyle w:val="TextBody"/>
        <w:bidi w:val="0"/>
        <w:spacing w:before="0" w:after="0"/>
        <w:ind w:left="0" w:right="0" w:firstLine="360"/>
        <w:jc w:val="both"/>
        <w:rPr/>
      </w:pPr>
      <w:r>
        <w:rPr/>
        <w:t>​</w:t>
      </w:r>
    </w:p>
    <w:tbl>
      <w:tblPr>
        <w:tblW w:w="5790" w:type="dxa"/>
        <w:jc w:val="left"/>
        <w:tblInd w:w="0" w:type="dxa"/>
        <w:tblLayout w:type="fixed"/>
        <w:tblCellMar>
          <w:top w:w="0" w:type="dxa"/>
          <w:left w:w="0" w:type="dxa"/>
          <w:bottom w:w="0" w:type="dxa"/>
          <w:right w:w="0" w:type="dxa"/>
        </w:tblCellMar>
      </w:tblPr>
      <w:tblGrid>
        <w:gridCol w:w="2161"/>
        <w:gridCol w:w="326"/>
        <w:gridCol w:w="976"/>
        <w:gridCol w:w="570"/>
        <w:gridCol w:w="211"/>
        <w:gridCol w:w="920"/>
        <w:gridCol w:w="62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72235" cy="175260"/>
                      <wp:effectExtent l="0" t="0" r="0" b="0"/>
                      <wp:wrapNone/>
                      <wp:docPr id="85" name="Frame8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19760" cy="175260"/>
                      <wp:effectExtent l="0" t="0" r="0" b="0"/>
                      <wp:wrapNone/>
                      <wp:docPr id="87" name="Frame8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61950" cy="175260"/>
                      <wp:effectExtent l="0" t="0" r="0" b="0"/>
                      <wp:wrapNone/>
                      <wp:docPr id="88" name="Frame88"/>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84200" cy="175260"/>
                      <wp:effectExtent l="0" t="0" r="0" b="0"/>
                      <wp:wrapNone/>
                      <wp:docPr id="90" name="Frame90"/>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97510" cy="175260"/>
                      <wp:effectExtent l="0" t="0" r="0" b="0"/>
                      <wp:wrapNone/>
                      <wp:docPr id="91" name="Frame91"/>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11"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Securities Notes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211"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570"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626" w:type="dxa"/>
            <w:tcBorders/>
            <w:shd w:fill="CCEEFF" w:val="clear"/>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570"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626"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5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5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convertible promissory notes measured at fair value for the nine months ended September 30, 2025 (Successor) (in thousands):</w:t>
      </w:r>
    </w:p>
    <w:p>
      <w:pPr>
        <w:pStyle w:val="TextBody"/>
        <w:bidi w:val="0"/>
        <w:spacing w:before="0" w:after="0"/>
        <w:ind w:left="0" w:right="0" w:firstLine="360"/>
        <w:jc w:val="both"/>
        <w:rPr/>
      </w:pPr>
      <w:r>
        <w:rPr/>
        <w:t>​</w:t>
      </w:r>
    </w:p>
    <w:tbl>
      <w:tblPr>
        <w:tblW w:w="7162" w:type="dxa"/>
        <w:jc w:val="left"/>
        <w:tblInd w:w="0" w:type="dxa"/>
        <w:tblLayout w:type="fixed"/>
        <w:tblCellMar>
          <w:top w:w="0" w:type="dxa"/>
          <w:left w:w="0" w:type="dxa"/>
          <w:bottom w:w="0" w:type="dxa"/>
          <w:right w:w="0" w:type="dxa"/>
        </w:tblCellMar>
      </w:tblPr>
      <w:tblGrid>
        <w:gridCol w:w="6061"/>
        <w:gridCol w:w="109"/>
        <w:gridCol w:w="211"/>
        <w:gridCol w:w="781"/>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848735" cy="175260"/>
                      <wp:effectExtent l="0" t="0" r="0" b="0"/>
                      <wp:wrapNone/>
                      <wp:docPr id="92" name="Frame92"/>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Convertible Securities Notes - Nine Months Ended September 30, 2025 (Successor)</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17,180</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21,191</w:t>
            </w:r>
          </w:p>
        </w:tc>
      </w:tr>
    </w:tbl>
    <w:p>
      <w:pPr>
        <w:pStyle w:val="TextBody"/>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of December 31, 2024, the balance includes accrued interest, which is recorded within “Other Accrued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(Predecessor)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Series E Pre-funded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the Legacy Adagio issued to a certain investor the Series E Pre-funded Warrants to purchase the Legacy Adagio’s Series E Preferred Stock, in exchange for the investor’s existing holding of Series E Preferred Stock. The exercise price of the pre-funded warrants was $0.001 per warrant share. The Company measured the pre-funded warrants at fair value based on the indicated fair value of Series E Preferred Stock, which is not observable in the market. The measurement caused the pre-funded warrant to be classified as Level 3 measurements within the fair value hierarchy. Changes in the fair value of the pre-funded warrants were recognized as warrant liabilities fair value adjustment within the condensed consolidated statements of operations and comprehensive loss.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value of the Series E Pre-funded Warrants was based on the fair value of the Series E Preferred Stock minus the exercise price. As of June 30, 2024, the Company estimated the fair value of the Series E Preferred Stock by applying a conversion factor of 1.08 to the indicated fair value of Legacy Adagio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July 31, 2024, prior to the Closing, the Company estimated the fair value of Series E Pre-funded Warrants based on the observed closing stock price of ARYA as of July 31, 2024, multiplied by the actual number of shares that the Series E Pre-funded Warrants converted into. The estimated fair value of the Series E Pre-funded Warrants as of June 30, 2024, and July 31, 2024, prior to the Closing was $0.3 million and $0.2 million, respectively. The change in fair value for the period from July 1, 2024, to July 30, 2024 (Predecessor) was $0.1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Series E Pre-funded Warrants were automatically cancelled and extinguished and converted into shares of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SVB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in conjunction with the Loan and Security Agreement (“LSA”) with Silicon Valley Bank (“SVB Term Loan”), Legacy Adagio issued Initial Warrants (as defined below) to purchase shares of common stock of the Company, and a contingent right to obtain an additional share of the common stock upon the non-occurrence of the Interest Only Milestone (as defined below). The Company measured SVB Warrants at fair value based on significant inputs not observable in the market, which caused them to be classified as Level 3 measurements within the fair value hierarchy. Changes in the fair value of the common stock warrants related to updated assumptions and estimates were recognized as warrant liabilities fair value adjustment within the condensed consolidated statements of operations and comprehensive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material changes in fair value for the periods from July 1, 2024 to July 30, 2024 (Predecessor), and from January 1, 2024 to July 30, 2024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SVB Warrants were terminated prior to the consummation of the Business Combination as the fair market value of Legacy Adagio common stock is lower than the warrant exercise price before the Closing.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(Successor)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Convert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1,500,000 Convert Warrants in connection with the issuance of the $20.0 million Convertible Securities Notes.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384" w:name="Tc_8utTBnUFJkmc7e5vi9Ij0g_5_2"/>
      <w:bookmarkStart w:id="1385" w:name="Tc_m4U-t761dk2S5Wkoh_sUyw_5_0"/>
      <w:bookmarkStart w:id="1386" w:name="Tc_HttSaA7WfE-NlSrnz_zOpw_4_0"/>
      <w:bookmarkStart w:id="1387" w:name="Tc_ydo6MT5Hh0Sxr0IT582IAg_3_3"/>
      <w:bookmarkStart w:id="1388" w:name="Tc_EHAaQYh6O0mFi_VEHYdOUA_3_0"/>
      <w:bookmarkStart w:id="1389" w:name="Tc_EVaqtDq44U6r3eHGShh7PQ_2_2"/>
      <w:bookmarkStart w:id="1390" w:name="Tc_mXJhdO1rIkyCC19aVXeiyQ_2_0"/>
      <w:bookmarkStart w:id="1391" w:name="Tc_xK1InEizvk-iy5RafR6ADw_1_0"/>
      <w:bookmarkStart w:id="1392" w:name="_e597adf5_ae63_4a7f_a1a4_3345a44e4dbd"/>
      <w:bookmarkStart w:id="1393" w:name="Tc_GLdSnyXZOkOMsQwtn0uqng_7_0"/>
      <w:bookmarkStart w:id="1394" w:name="Tc_zg8A6zrDg0ii7UtdPIjkSQ_6_7"/>
      <w:bookmarkStart w:id="1395" w:name="Tc_0qqA-xbjbU6F5arMWQ_K1g_6_6"/>
      <w:bookmarkStart w:id="1396" w:name="Tc_txnxyHGfWkmGqIweZ2703w_6_4"/>
      <w:bookmarkStart w:id="1397" w:name="Tc_n7phtGn1gEiPONc55DLcBg_6_3"/>
      <w:bookmarkStart w:id="1398" w:name="Tc_kg1mGIYpXkyvyyXWZVVZug_6_0"/>
      <w:bookmarkStart w:id="1399" w:name="Tc_7ZmgClAIZkudNoPsdheODw_5_7"/>
      <w:bookmarkStart w:id="1400" w:name="Tc_fmRj3K1liEqnnk_7W1fZ7A_5_4"/>
      <w:bookmarkStart w:id="1401" w:name="Tc_L_wyBODP9kGfscAq4tHV0Q_5_0"/>
      <w:bookmarkStart w:id="1402" w:name="Tc_5vFygqCwB0igt3eF80R7YA_4_7"/>
      <w:bookmarkStart w:id="1403" w:name="Tc_-u9PVBPkyUKLePUa957fGg_4_4"/>
      <w:bookmarkStart w:id="1404" w:name="Tc_VwSd0e_zJ0SUyQ4SNoXdtw_4_0"/>
      <w:bookmarkStart w:id="1405" w:name="Tc_RGSTbxAXJk2IxmKO34G4Pg_3_5"/>
      <w:bookmarkStart w:id="1406" w:name="Tc_2vbSqGEYgEWNMHBsym_Udw_3_2"/>
      <w:bookmarkStart w:id="1407" w:name="Tc_sHeKHppoZE6z3yKtQe-ghw_3_0"/>
      <w:bookmarkStart w:id="1408" w:name="Tc_0YiZuoDPdE2FaMHvC98PoA_2_5"/>
      <w:bookmarkStart w:id="1409" w:name="Tc_zanlxXDkyUa2MnhpcaOoGw_2_2"/>
      <w:bookmarkStart w:id="1410" w:name="Tc__rnfquKqyk64epC2yO5Kqw_2_0"/>
      <w:bookmarkStart w:id="1411" w:name="Tc_FnWvQUREQ0G5YVoyRIP4Ww_1_5"/>
      <w:bookmarkStart w:id="1412" w:name="Tc_scWhrTC2VkSlFMLkuJMV3A_1_2"/>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Pr>
          <w:rFonts w:ascii="Times New Roman;Times;serif" w:hAnsi="Times New Roman;Times;serif"/>
          <w:sz w:val="20"/>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Convert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condensed consolidated statements of operations and comprehensive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Convert Warrants are classified as Level 3 measurements within the fair value hierarchy. The Company utilized the Black-Scholes Merton option model to value the Convertible Securities Notes as of September 30, 2025, and December 31, 2024. The following table summarizes the significant inputs as of the valuation dates:</w:t>
      </w:r>
    </w:p>
    <w:p>
      <w:pPr>
        <w:pStyle w:val="TextBody"/>
        <w:bidi w:val="0"/>
        <w:spacing w:before="0" w:after="0"/>
        <w:ind w:left="0" w:right="0" w:firstLine="360"/>
        <w:jc w:val="both"/>
        <w:rPr/>
      </w:pPr>
      <w:r>
        <w:rPr/>
        <w:t>​</w:t>
      </w:r>
    </w:p>
    <w:tbl>
      <w:tblPr>
        <w:tblW w:w="5874" w:type="dxa"/>
        <w:jc w:val="left"/>
        <w:tblInd w:w="0" w:type="dxa"/>
        <w:tblLayout w:type="fixed"/>
        <w:tblCellMar>
          <w:top w:w="0" w:type="dxa"/>
          <w:left w:w="0" w:type="dxa"/>
          <w:bottom w:w="0" w:type="dxa"/>
          <w:right w:w="0" w:type="dxa"/>
        </w:tblCellMar>
      </w:tblPr>
      <w:tblGrid>
        <w:gridCol w:w="2131"/>
        <w:gridCol w:w="109"/>
        <w:gridCol w:w="481"/>
        <w:gridCol w:w="1065"/>
        <w:gridCol w:w="271"/>
        <w:gridCol w:w="467"/>
        <w:gridCol w:w="1034"/>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53185" cy="175260"/>
                      <wp:effectExtent l="0" t="0" r="0" b="0"/>
                      <wp:wrapNone/>
                      <wp:docPr id="96" name="Frame9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05435" cy="175260"/>
                      <wp:effectExtent l="0" t="0" r="0" b="0"/>
                      <wp:wrapNone/>
                      <wp:docPr id="98" name="Frame9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76275" cy="175260"/>
                      <wp:effectExtent l="0" t="0" r="0" b="0"/>
                      <wp:wrapNone/>
                      <wp:docPr id="99" name="Frame99"/>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72085" cy="175260"/>
                      <wp:effectExtent l="0" t="0" r="0" b="0"/>
                      <wp:wrapNone/>
                      <wp:docPr id="100" name="Frame10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96545" cy="175260"/>
                      <wp:effectExtent l="0" t="0" r="0" b="0"/>
                      <wp:wrapNone/>
                      <wp:docPr id="101" name="Frame101"/>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56590" cy="175260"/>
                      <wp:effectExtent l="0" t="0" r="0" b="0"/>
                      <wp:wrapNone/>
                      <wp:docPr id="102" name="Frame102"/>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0660" cy="175260"/>
                      <wp:effectExtent l="0" t="0" r="0" b="0"/>
                      <wp:wrapNone/>
                      <wp:docPr id="103" name="Frame10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71" w:type="dxa"/>
            <w:tcBorders/>
            <w:vAlign w:val="center"/>
          </w:tcPr>
          <w:p>
            <w:pPr>
              <w:pStyle w:val="TableContents"/>
              <w:bidi w:val="0"/>
              <w:spacing w:before="0" w:after="0"/>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 Warrants</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271" w:type="dxa"/>
            <w:tcBorders/>
            <w:vAlign w:val="center"/>
          </w:tcPr>
          <w:p>
            <w:pPr>
              <w:pStyle w:val="TableContents"/>
              <w:bidi w:val="0"/>
              <w:spacing w:before="0" w:after="0"/>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price</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271"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c>
          <w:tcPr>
            <w:tcW w:w="271"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left"/>
              <w:rPr/>
            </w:pPr>
            <w:r>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 Warrants measured at fair value for the nine months ended September 30, 2025 (Successor) (in thousands):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6217" w:type="dxa"/>
        <w:jc w:val="left"/>
        <w:tblInd w:w="0" w:type="dxa"/>
        <w:tblLayout w:type="fixed"/>
        <w:tblCellMar>
          <w:top w:w="0" w:type="dxa"/>
          <w:left w:w="0" w:type="dxa"/>
          <w:bottom w:w="0" w:type="dxa"/>
          <w:right w:w="0" w:type="dxa"/>
        </w:tblCellMar>
      </w:tblPr>
      <w:tblGrid>
        <w:gridCol w:w="5371"/>
        <w:gridCol w:w="109"/>
        <w:gridCol w:w="211"/>
        <w:gridCol w:w="526"/>
      </w:tblGrid>
      <w:tr>
        <w:trPr/>
        <w:tc>
          <w:tcPr>
            <w:tcW w:w="5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410585" cy="175260"/>
                      <wp:effectExtent l="0" t="0" r="0" b="0"/>
                      <wp:wrapNone/>
                      <wp:docPr id="104" name="Frame104"/>
                      <a:graphic xmlns:a="http://schemas.openxmlformats.org/drawingml/2006/main">
                        <a:graphicData uri="http://schemas.microsoft.com/office/word/2010/wordprocessingShape">
                          <wps:wsp>
                            <wps:cNvSpPr txBox="1"/>
                            <wps:spPr>
                              <a:xfrm>
                                <a:off x="0" y="0"/>
                                <a:ext cx="341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34010" cy="175260"/>
                      <wp:effectExtent l="0" t="0" r="0" b="0"/>
                      <wp:wrapNone/>
                      <wp:docPr id="107" name="Frame10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Convert Warrants - Nine Months Ended September 30, 2025 (Successor)</w:t>
            </w:r>
          </w:p>
        </w:tc>
        <w:tc>
          <w:tcPr>
            <w:tcW w:w="109"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5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PIPE Pre-funded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670,000 pre-funded warrants in exchange for cash proceeds in the 2024 PIPE Financing to certain Other PIPE Investors (“PIPE Pre-funded Warrants”).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condensed consolidated statements of operations and comprehensive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PIPE Pre-funded Warrants are classified as Level 3 measurements within the fair value hierarchy. The fair value of the PIPE Pre-funded Warrants is based on the fair value of the Company’s common stock minus the exercise price.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26, 2024, 670,000 pre-funded warrant shares were exercised on a cashless basis for 663,096 shares of the Company’s common stock. The exercise price for the pre-funded warrants was $0.9705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13" w:name="Tc_7FAm92DSxEKh02DoHRVL0A_7_5"/>
      <w:bookmarkStart w:id="1414" w:name="Tc_TI8GWHOfxEuIJ9jj8VPz-g_7_2"/>
      <w:bookmarkStart w:id="1415" w:name="Tc_i55m75S9vUSx3NNNpvmFgw_7_0"/>
      <w:bookmarkStart w:id="1416" w:name="Tc_fO1XIW21lkm3IMqWPBEzAA_6_0"/>
      <w:bookmarkStart w:id="1417" w:name="Tc_WtxBqcpJWEe0FiYfO2iEjg_5_0"/>
      <w:bookmarkStart w:id="1418" w:name="Tc_mDCcrFcZ4kmgaPsKQjqUBA_4_5"/>
      <w:bookmarkStart w:id="1419" w:name="Tc_y4KtPvsYOkGgwqW-aklmJA_4_2"/>
      <w:bookmarkStart w:id="1420" w:name="Tc_d8ZdQoiFS0muoOnf1vOI5w_4_0"/>
      <w:bookmarkStart w:id="1421" w:name="Tc_RP46V2XLbEegYeXSg1Rlfw_3_5"/>
      <w:bookmarkStart w:id="1422" w:name="Tc_9_QtwjsOHkm69ghAH5ro8w_3_2"/>
      <w:bookmarkStart w:id="1423" w:name="Tc_0qia5AvAvUiKWLeu78BQ9Q_2_5"/>
      <w:bookmarkStart w:id="1424" w:name="Tc_tu-evmTGdUSbdJD2BT72yg_2_2"/>
      <w:bookmarkStart w:id="1425" w:name="Tc_efOepTUJrkaYgkAWNX6dPQ_1_5"/>
      <w:bookmarkStart w:id="1426" w:name="Tc_9DW7y9Vev0ybbL1-amBYLw_1_2"/>
      <w:bookmarkStart w:id="1427" w:name="_f14ead30_4219_4689_a226_1d0a55902da0"/>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r>
        <w:rPr>
          <w:rFonts w:ascii="Times New Roman;Times;serif" w:hAnsi="Times New Roman;Times;serif"/>
          <w:b/>
          <w:sz w:val="20"/>
        </w:rPr>
        <w:t>Note 5 - Inventory,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as of September 30, 2025, and December 31, 2024, consists of the following (in thousands):</w:t>
      </w:r>
    </w:p>
    <w:p>
      <w:pPr>
        <w:pStyle w:val="TextBody"/>
        <w:bidi w:val="0"/>
        <w:spacing w:before="0" w:after="0"/>
        <w:ind w:left="0" w:right="0" w:firstLine="360"/>
        <w:jc w:val="both"/>
        <w:rPr/>
      </w:pPr>
      <w:r>
        <w:rPr/>
        <w:t>​</w:t>
      </w:r>
    </w:p>
    <w:tbl>
      <w:tblPr>
        <w:tblW w:w="4583" w:type="dxa"/>
        <w:jc w:val="left"/>
        <w:tblInd w:w="0" w:type="dxa"/>
        <w:tblLayout w:type="fixed"/>
        <w:tblCellMar>
          <w:top w:w="0" w:type="dxa"/>
          <w:left w:w="0" w:type="dxa"/>
          <w:bottom w:w="0" w:type="dxa"/>
          <w:right w:w="0" w:type="dxa"/>
        </w:tblCellMar>
      </w:tblPr>
      <w:tblGrid>
        <w:gridCol w:w="1456"/>
        <w:gridCol w:w="326"/>
        <w:gridCol w:w="334"/>
        <w:gridCol w:w="911"/>
        <w:gridCol w:w="326"/>
        <w:gridCol w:w="292"/>
        <w:gridCol w:w="938"/>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24560" cy="175260"/>
                      <wp:effectExtent l="0" t="0" r="0" b="0"/>
                      <wp:wrapNone/>
                      <wp:docPr id="108" name="Frame10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2090" cy="175260"/>
                      <wp:effectExtent l="0" t="0" r="0" b="0"/>
                      <wp:wrapNone/>
                      <wp:docPr id="110" name="Frame110"/>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8485" cy="175260"/>
                      <wp:effectExtent l="0" t="0" r="0" b="0"/>
                      <wp:wrapNone/>
                      <wp:docPr id="111" name="Frame111"/>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5420" cy="175260"/>
                      <wp:effectExtent l="0" t="0" r="0" b="0"/>
                      <wp:wrapNone/>
                      <wp:docPr id="113" name="Frame11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95630" cy="175260"/>
                      <wp:effectExtent l="0" t="0" r="0" b="0"/>
                      <wp:wrapNone/>
                      <wp:docPr id="114" name="Frame114"/>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26"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2,566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Obsolete and expired inventory are expensed as incurred. Inventory is recorded net of obsolescence and manufacturing scrap of $0.3 million and $0.9 million as of September 30, 2025 (Successor) and December 31, 2024 (Successor), respectively. As of September 30, 2025, all the Company’s inventory is related to catheters and Consoles.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28" w:name="Tc_GRNCiO-fwkOC6-Ei1nut5A_14_5"/>
      <w:bookmarkStart w:id="1429" w:name="Tc_VcjapfLjXEaNl2poOTU1vQ_14_2"/>
      <w:bookmarkStart w:id="1430" w:name="Tc_Oy-HxuEwUEmUdx3k2KIebg_14_0"/>
      <w:bookmarkStart w:id="1431" w:name="Tc_GqgTf_dNW0mjzwiKvy_QBg_13_0"/>
      <w:bookmarkStart w:id="1432" w:name="Tc_1ZcEKkO6jEqSrZ6pwE2ZhA_12_0"/>
      <w:bookmarkStart w:id="1433" w:name="Tc_EdO_y-1U5kOGSON2RAv3kg_11_0"/>
      <w:bookmarkStart w:id="1434" w:name="Tc_DXtnjfO7LEq4p2OIgjA8Jw_10_0"/>
      <w:bookmarkStart w:id="1435" w:name="Tc_urUmnedmLEmc02o2l33t3w_9_0"/>
      <w:bookmarkStart w:id="1436" w:name="Tc_b5EqrLZTBkCrjjl_QlSyDQ_8_0"/>
      <w:bookmarkStart w:id="1437" w:name="Tc_eNGXP7CGnES2uJDOKl86bg_7_0"/>
      <w:bookmarkStart w:id="1438" w:name="Tc_EfCJHts3wUeiXp8em9aq9w_6_0"/>
      <w:bookmarkStart w:id="1439" w:name="Tc_4HrI1VbErEWM6qCJqC8SKw_5_0"/>
      <w:bookmarkStart w:id="1440" w:name="Tc_A8wBELjfKUqnpmtw1elduQ_4_5"/>
      <w:bookmarkStart w:id="1441" w:name="Tc_67o9fcRHkE2iuL3ZJpfHjA_4_2"/>
      <w:bookmarkStart w:id="1442" w:name="Tc_naHowDb3NkOGcR-s7A5qGQ_4_0"/>
      <w:bookmarkStart w:id="1443" w:name="Tc_TPMNC_QAjkSoSVlDLxsk9Q_3_5"/>
      <w:bookmarkStart w:id="1444" w:name="Tc_FvGkVs1k10KFIVTEQlenXA_3_2"/>
      <w:bookmarkStart w:id="1445" w:name="Tc_r-rmym9yOEeebsW84-kGHQ_2_5"/>
      <w:bookmarkStart w:id="1446" w:name="Tc_-szSQhm8-EqeUZC2Xv73RQ_2_2"/>
      <w:bookmarkStart w:id="1447" w:name="Tc_1U-Sdr3_9UGT0V0pl-Kv1g_1_5"/>
      <w:bookmarkStart w:id="1448" w:name="Tc_ECI3iAS7lUS15Mgc5yZnYg_1_2"/>
      <w:bookmarkStart w:id="1449" w:name="_eb2e077a_22af_431f_91ba_9007ca0b03cd"/>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Pr>
          <w:rFonts w:ascii="Times New Roman;Times;serif" w:hAnsi="Times New Roman;Times;serif"/>
          <w:b/>
          <w:sz w:val="20"/>
        </w:rPr>
        <w:t>Note 6 -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property and equipment, net, as of September 30, 2025, and December 31, 2024, consists of the following (in thousands):</w:t>
      </w:r>
    </w:p>
    <w:p>
      <w:pPr>
        <w:pStyle w:val="TextBody"/>
        <w:bidi w:val="0"/>
        <w:spacing w:before="0" w:after="0"/>
        <w:ind w:left="0" w:right="0" w:hanging="0"/>
        <w:jc w:val="left"/>
        <w:rPr/>
      </w:pPr>
      <w:r>
        <w:rPr/>
        <w:t>​</w:t>
      </w:r>
    </w:p>
    <w:tbl>
      <w:tblPr>
        <w:tblW w:w="5858" w:type="dxa"/>
        <w:jc w:val="left"/>
        <w:tblInd w:w="0" w:type="dxa"/>
        <w:tblLayout w:type="fixed"/>
        <w:tblCellMar>
          <w:top w:w="0" w:type="dxa"/>
          <w:left w:w="0" w:type="dxa"/>
          <w:bottom w:w="0" w:type="dxa"/>
          <w:right w:w="0" w:type="dxa"/>
        </w:tblCellMar>
      </w:tblPr>
      <w:tblGrid>
        <w:gridCol w:w="2731"/>
        <w:gridCol w:w="326"/>
        <w:gridCol w:w="306"/>
        <w:gridCol w:w="939"/>
        <w:gridCol w:w="326"/>
        <w:gridCol w:w="288"/>
        <w:gridCol w:w="942"/>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34185" cy="175260"/>
                      <wp:effectExtent l="0" t="0" r="0" b="0"/>
                      <wp:wrapNone/>
                      <wp:docPr id="115" name="Frame115"/>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4310" cy="175260"/>
                      <wp:effectExtent l="0" t="0" r="0" b="0"/>
                      <wp:wrapNone/>
                      <wp:docPr id="117" name="Frame117"/>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6265" cy="175260"/>
                      <wp:effectExtent l="0" t="0" r="0" b="0"/>
                      <wp:wrapNone/>
                      <wp:docPr id="118" name="Frame11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2880" cy="175260"/>
                      <wp:effectExtent l="0" t="0" r="0" b="0"/>
                      <wp:wrapNone/>
                      <wp:docPr id="120" name="Frame12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8170" cy="175260"/>
                      <wp:effectExtent l="0" t="0" r="0" b="0"/>
                      <wp:wrapNone/>
                      <wp:docPr id="121" name="Frame121"/>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Consoles</w:t>
            </w:r>
          </w:p>
        </w:tc>
        <w:tc>
          <w:tcPr>
            <w:tcW w:w="326" w:type="dxa"/>
            <w:tcBorders/>
            <w:shd w:fill="CCEEFF" w:val="clear"/>
            <w:vAlign w:val="center"/>
          </w:tcPr>
          <w:p>
            <w:pPr>
              <w:pStyle w:val="TableContents"/>
              <w:bidi w:val="0"/>
              <w:spacing w:before="0" w:after="0"/>
              <w:ind w:left="0" w:right="0" w:hanging="0"/>
              <w:jc w:val="center"/>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w:t>
            </w:r>
          </w:p>
        </w:tc>
        <w:tc>
          <w:tcPr>
            <w:tcW w:w="326" w:type="dxa"/>
            <w:tcBorders/>
            <w:shd w:fill="CCEEFF" w:val="clear"/>
            <w:vAlign w:val="center"/>
          </w:tcPr>
          <w:p>
            <w:pPr>
              <w:pStyle w:val="TableContents"/>
              <w:bidi w:val="0"/>
              <w:spacing w:before="0" w:after="0"/>
              <w:ind w:left="0" w:right="0" w:hanging="0"/>
              <w:jc w:val="center"/>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Tools and molds</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Demo equipment</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9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4,029</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 </w:t>
            </w:r>
          </w:p>
        </w:tc>
        <w:tc>
          <w:tcPr>
            <w:tcW w:w="9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(2,328)</w:t>
            </w:r>
          </w:p>
        </w:tc>
        <w:tc>
          <w:tcPr>
            <w:tcW w:w="326" w:type="dxa"/>
            <w:tcBorders/>
            <w:vAlign w:val="center"/>
          </w:tcPr>
          <w:p>
            <w:pPr>
              <w:pStyle w:val="TableContents"/>
              <w:bidi w:val="0"/>
              <w:spacing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1,961</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was $0.5 million and $0.7 million for the three and nine months ended September 30, 2025 (Successor), respectively.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was $0.7 million and $0.2 million for the periods from January 1, 2024 to July 30, 2024 (Predecessor) and July 31, 2024 to September 30, 2024 (Successor), respectively. Depreciation expense was $56.0 thousand and $0.2 million for the periods from July 1, 2024 to July 30, 2024 (Predecessor) and July 31, 2024 to September 30, 2024 (Successor), respectively.</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450" w:name="Tc_Uv-9QRVV3kiX1dITzhqsrA_4_7"/>
      <w:bookmarkStart w:id="1451" w:name="Tc_MkOmTP2gTUmjfj0AGTuNxw_4_4"/>
      <w:bookmarkStart w:id="1452" w:name="Tc_HVTdV7wOeUCrZCkp0DsgXQ_4_1"/>
      <w:bookmarkStart w:id="1453" w:name="Tc_0QJXUBGOzkq5mEhuBztXjQ_4_0"/>
      <w:bookmarkStart w:id="1454" w:name="Tc_K_0IjqgKGEaqRDYGtgZH1A_3_7"/>
      <w:bookmarkStart w:id="1455" w:name="Tc_-o78VwMwtUq5vL_6FgBaTg_3_4"/>
      <w:bookmarkStart w:id="1456" w:name="Tc_SUUHn59l7kuCBRh29M-l3A_3_1"/>
      <w:bookmarkStart w:id="1457" w:name="Tc_R2i4-Ae1qUKAR2ZoL9pI7g_2_1"/>
      <w:bookmarkStart w:id="1458" w:name="Tc_1p4KDVVYtUuUY9_rpodckw_1_1"/>
      <w:bookmarkStart w:id="1459" w:name="_0546526e_f2b0_4b48_85a8_6cf0d6323316"/>
      <w:bookmarkStart w:id="1460" w:name="Tc_AeCZqlgZbkOYwDWtDjnHxg_4_7"/>
      <w:bookmarkStart w:id="1461" w:name="Tc_ncVDq772YUesPnpCneW8FA_4_5"/>
      <w:bookmarkStart w:id="1462" w:name="Tc_xJ79_jFQyEi8NrWw4mojNA_4_4"/>
      <w:bookmarkStart w:id="1463" w:name="Tc_5psMUnqjmkiys09BxhZzxg_4_1"/>
      <w:bookmarkStart w:id="1464" w:name="Tc_i_xjTcEz0k-hbj5B32O5LQ_4_0"/>
      <w:bookmarkStart w:id="1465" w:name="Tc_ecemgMFH_kaH9TIMX2tR9A_3_7"/>
      <w:bookmarkStart w:id="1466" w:name="Tc_HC2Z0ZSAd0KPO06Fpi9Z6g_3_4"/>
      <w:bookmarkStart w:id="1467" w:name="Tc_LDFVDYLe0UedGyYmNw7qbA_3_1"/>
      <w:bookmarkStart w:id="1468" w:name="Tc_ifUTsTW-XU6UZkJL5JNiZA_2_1"/>
      <w:bookmarkStart w:id="1469" w:name="Tc_mQ2B_35PAECEJJ4Qi04Syg_1_1"/>
      <w:bookmarkStart w:id="1470" w:name="_86ed089a_bcb1_4993_9d80_78efd1bb7066"/>
      <w:bookmarkStart w:id="1471" w:name="Tc_JJh17WrwrkCsgE3usQMXbw_6_13"/>
      <w:bookmarkStart w:id="1472" w:name="Tc_cMWk6rOf60uU0gSMrUOxMA_6_10"/>
      <w:bookmarkStart w:id="1473" w:name="Tc_MdrFbLzg5ECPIuW8jxe2Aw_6_7"/>
      <w:bookmarkStart w:id="1474" w:name="Tc_lHMDn83WBUiv_KoKzaAw3w_6_4"/>
      <w:bookmarkStart w:id="1475" w:name="Tc_gY4eP5oreEKXVUthDD6iig_6_0"/>
      <w:bookmarkStart w:id="1476" w:name="Tc_r224M9w7rkSbwIkC7Sbi8A_5_14"/>
      <w:bookmarkStart w:id="1477" w:name="Tc_gOzZPUbUzUq_Ab2qW7B1EA_5_0"/>
      <w:bookmarkStart w:id="1478" w:name="Tc_Lv6vCOLFTUiiI5VnZnTb9A_4_13"/>
      <w:bookmarkStart w:id="1479" w:name="Tc_OX_vYBTozEeRcX-tBWW4Ag_4_10"/>
      <w:bookmarkStart w:id="1480" w:name="Tc_7cT9xbYUk0OzM8V9dk-Mxg_4_8"/>
      <w:bookmarkStart w:id="1481" w:name="Tc_Z5WQnyCtF06Sf1oHKTxuaA_4_7"/>
      <w:bookmarkStart w:id="1482" w:name="Tc_fn0PUgbQK0yzgUb_hJnezA_4_4"/>
      <w:bookmarkStart w:id="1483" w:name="Tc_vG-2tcixA0KnOjQXy03lXw_4_2"/>
      <w:bookmarkStart w:id="1484" w:name="Tc_qdZ-hWUCVUOfUt4Vj_DJSg_4_0"/>
      <w:bookmarkStart w:id="1485" w:name="Tc_nrU6_4hNC0axJ03G4qSEjw_3_13"/>
      <w:bookmarkStart w:id="1486" w:name="Tc_N7dT7jmNL0qz9CLjgheDKQ_3_10"/>
      <w:bookmarkStart w:id="1487" w:name="Tc_vscuQXIuV0a8P2Gcjn___Q_3_7"/>
      <w:bookmarkStart w:id="1488" w:name="Tc_VX7w1Gqki0Wm1A_PzDC7dw_3_4"/>
      <w:bookmarkStart w:id="1489" w:name="Tc_JwPyk1sfYE-5HbJMLNObCA_3_2"/>
      <w:bookmarkStart w:id="1490" w:name="Tc_Wa23UFHNZEW-xP1POgYUng_2_2"/>
      <w:bookmarkStart w:id="1491" w:name="Tc_qKRAmZ7ciEyXVEx9Ndpn9g_1_2"/>
      <w:bookmarkStart w:id="1492" w:name="Tc_dY6Yv7SFh0S7U9_8OpiKVw_5_10"/>
      <w:bookmarkStart w:id="1493" w:name="Tc_Adat3wyBe0S7-x_fg8S88A_5_8"/>
      <w:bookmarkStart w:id="1494" w:name="Tc_BA6STkYg406t6Bhc0DOQxQ_5_7"/>
      <w:bookmarkStart w:id="1495" w:name="Tc_ULgWSybfLkGrtwhFvNqv1Q_5_4"/>
      <w:bookmarkStart w:id="1496" w:name="Tc_QXI5a3yGkUq3tHjuo9FSTQ_5_0"/>
      <w:bookmarkStart w:id="1497" w:name="Tc_rNfbdeJMukewZ0sLwa7-RQ_4_10"/>
      <w:bookmarkStart w:id="1498" w:name="Tc_HbtSRWVRF0uGQeYd_0bkgg_4_8"/>
      <w:bookmarkStart w:id="1499" w:name="Tc_7wR58YpgOEar8ZZYLIUknw_4_7"/>
      <w:bookmarkStart w:id="1500" w:name="Tc_3gt82b9eFkmKBEKHUAPYWQ_4_4"/>
      <w:bookmarkStart w:id="1501" w:name="Tc_FD6T-6wkp0OJrktONovqNA_4_2"/>
      <w:bookmarkStart w:id="1502" w:name="Tc_bxc2L7zKPE6zU11xksbu7g_4_0"/>
      <w:bookmarkStart w:id="1503" w:name="Tc_sltm3zGA-Ui8zFVrBXM8sg_3_10"/>
      <w:bookmarkStart w:id="1504" w:name="Tc_lNpduXv8sUCjfTL_9A0PEA_3_7"/>
      <w:bookmarkStart w:id="1505" w:name="Tc_BsFMgEGq7E6xPxamFq5B-Q_3_4"/>
      <w:bookmarkStart w:id="1506" w:name="Tc_c64GSRLXc0Ksz0Hh7ntaww_3_2"/>
      <w:bookmarkStart w:id="1507" w:name="Tc_EcpLrJpQSk66LB3k9QfGSQ_2_2"/>
      <w:bookmarkStart w:id="1508" w:name="Tc_ohPw9PCBC02TfJEUcjDcsg_1_2"/>
      <w:bookmarkStart w:id="1509" w:name="_c2c3f98e_7d5f_4a4f_a309_f5f3975275c1"/>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r>
        <w:rPr>
          <w:rFonts w:ascii="Times New Roman;Times;serif" w:hAnsi="Times New Roman;Times;serif"/>
          <w:b/>
          <w:sz w:val="20"/>
        </w:rPr>
        <w:t>Note 7 – Goodwill and Intangible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intangible assets, net consists of the following (in thousands):</w:t>
      </w:r>
    </w:p>
    <w:p>
      <w:pPr>
        <w:pStyle w:val="TextBody"/>
        <w:bidi w:val="0"/>
        <w:spacing w:before="0" w:after="0"/>
        <w:ind w:left="0" w:right="0" w:firstLine="360"/>
        <w:jc w:val="both"/>
        <w:rPr/>
      </w:pPr>
      <w:r>
        <w:rPr/>
        <w:t>​</w:t>
      </w:r>
    </w:p>
    <w:tbl>
      <w:tblPr>
        <w:tblW w:w="9151" w:type="dxa"/>
        <w:jc w:val="left"/>
        <w:tblInd w:w="0" w:type="dxa"/>
        <w:tblLayout w:type="fixed"/>
        <w:tblCellMar>
          <w:top w:w="0" w:type="dxa"/>
          <w:left w:w="0" w:type="dxa"/>
          <w:bottom w:w="0" w:type="dxa"/>
          <w:right w:w="0" w:type="dxa"/>
        </w:tblCellMar>
      </w:tblPr>
      <w:tblGrid>
        <w:gridCol w:w="706"/>
        <w:gridCol w:w="326"/>
        <w:gridCol w:w="1441"/>
        <w:gridCol w:w="326"/>
        <w:gridCol w:w="506"/>
        <w:gridCol w:w="1369"/>
        <w:gridCol w:w="326"/>
        <w:gridCol w:w="783"/>
        <w:gridCol w:w="1287"/>
        <w:gridCol w:w="326"/>
        <w:gridCol w:w="417"/>
        <w:gridCol w:w="1338"/>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48310" cy="175260"/>
                      <wp:effectExtent l="0" t="0" r="0" b="0"/>
                      <wp:wrapNone/>
                      <wp:docPr id="122" name="Frame12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15035" cy="175260"/>
                      <wp:effectExtent l="0" t="0" r="0" b="0"/>
                      <wp:wrapNone/>
                      <wp:docPr id="124" name="Frame124"/>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21310" cy="175260"/>
                      <wp:effectExtent l="0" t="0" r="0" b="0"/>
                      <wp:wrapNone/>
                      <wp:docPr id="126" name="Frame126"/>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69315" cy="175260"/>
                      <wp:effectExtent l="0" t="0" r="0" b="0"/>
                      <wp:wrapNone/>
                      <wp:docPr id="127" name="Frame127"/>
                      <a:graphic xmlns:a="http://schemas.openxmlformats.org/drawingml/2006/main">
                        <a:graphicData uri="http://schemas.microsoft.com/office/word/2010/wordprocessingShape">
                          <wps:wsp>
                            <wps:cNvSpPr txBox="1"/>
                            <wps:spPr>
                              <a:xfrm>
                                <a:off x="0" y="0"/>
                                <a:ext cx="869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97205" cy="175260"/>
                      <wp:effectExtent l="0" t="0" r="0" b="0"/>
                      <wp:wrapNone/>
                      <wp:docPr id="129" name="Frame12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17245" cy="175260"/>
                      <wp:effectExtent l="0" t="0" r="0" b="0"/>
                      <wp:wrapNone/>
                      <wp:docPr id="130" name="Frame130"/>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4795" cy="175260"/>
                      <wp:effectExtent l="0" t="0" r="0" b="0"/>
                      <wp:wrapNone/>
                      <wp:docPr id="132" name="Frame132"/>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849630" cy="175260"/>
                      <wp:effectExtent l="0" t="0" r="0" b="0"/>
                      <wp:wrapNone/>
                      <wp:docPr id="133" name="Frame133"/>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 (years)</w:t>
            </w:r>
          </w:p>
        </w:tc>
        <w:tc>
          <w:tcPr>
            <w:tcW w:w="326" w:type="dxa"/>
            <w:tcBorders/>
            <w:vAlign w:val="center"/>
          </w:tcPr>
          <w:p>
            <w:pPr>
              <w:pStyle w:val="TableContents"/>
              <w:bidi w:val="0"/>
              <w:spacing w:before="0" w:after="0"/>
              <w:ind w:left="0" w:right="0" w:hanging="0"/>
              <w:jc w:val="left"/>
              <w:rPr/>
            </w:pPr>
            <w:r>
              <w:rPr/>
              <w:t>    </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0"/>
              <w:ind w:left="0" w:right="0" w:hanging="0"/>
              <w:jc w:val="left"/>
              <w:rPr/>
            </w:pPr>
            <w:r>
              <w:rPr/>
              <w:t>    </w:t>
            </w:r>
          </w:p>
        </w:tc>
        <w:tc>
          <w:tcPr>
            <w:tcW w:w="2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26" w:type="dxa"/>
            <w:tcBorders/>
            <w:vAlign w:val="center"/>
          </w:tcPr>
          <w:p>
            <w:pPr>
              <w:pStyle w:val="TableContents"/>
              <w:bidi w:val="0"/>
              <w:spacing w:before="0" w:after="0"/>
              <w:ind w:left="0" w:right="0" w:hanging="0"/>
              <w:jc w:val="left"/>
              <w:rPr/>
            </w:pPr>
            <w:r>
              <w:rPr/>
              <w:t>    </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26" w:type="dxa"/>
            <w:tcBorders/>
            <w:shd w:fill="CCEEFF" w:val="clear"/>
            <w:vAlign w:val="center"/>
          </w:tcPr>
          <w:p>
            <w:pPr>
              <w:pStyle w:val="TableContents"/>
              <w:bidi w:val="0"/>
              <w:spacing w:before="0" w:after="0"/>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26" w:type="dxa"/>
            <w:tcBorders/>
            <w:shd w:fill="CCEEFF" w:val="cle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c>
          <w:tcPr>
            <w:tcW w:w="326" w:type="dxa"/>
            <w:tcBorders/>
            <w:vAlign w:val="center"/>
          </w:tcPr>
          <w:p>
            <w:pPr>
              <w:pStyle w:val="TableContents"/>
              <w:bidi w:val="0"/>
              <w:spacing w:before="0" w:after="0"/>
              <w:ind w:left="0" w:right="0" w:hanging="0"/>
              <w:jc w:val="left"/>
              <w:rPr/>
            </w:pPr>
            <w:r>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was no amortization of intangible assets for the three and nine months ended September 30, 2025 (Successor).</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695"/>
        <w:gridCol w:w="326"/>
        <w:gridCol w:w="1275"/>
        <w:gridCol w:w="326"/>
        <w:gridCol w:w="373"/>
        <w:gridCol w:w="1198"/>
        <w:gridCol w:w="326"/>
        <w:gridCol w:w="537"/>
        <w:gridCol w:w="1229"/>
        <w:gridCol w:w="326"/>
        <w:gridCol w:w="211"/>
        <w:gridCol w:w="781"/>
        <w:gridCol w:w="109"/>
        <w:gridCol w:w="353"/>
        <w:gridCol w:w="1140"/>
      </w:tblGrid>
      <w:tr>
        <w:trPr/>
        <w:tc>
          <w:tcPr>
            <w:tcW w:w="1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76325" cy="175260"/>
                      <wp:effectExtent l="0" t="0" r="0" b="0"/>
                      <wp:wrapNone/>
                      <wp:docPr id="134" name="Frame134"/>
                      <a:graphic xmlns:a="http://schemas.openxmlformats.org/drawingml/2006/main">
                        <a:graphicData uri="http://schemas.microsoft.com/office/word/2010/wordprocessingShape">
                          <wps:wsp>
                            <wps:cNvSpPr txBox="1"/>
                            <wps:spPr>
                              <a:xfrm>
                                <a:off x="0" y="0"/>
                                <a:ext cx="1076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09625" cy="175260"/>
                      <wp:effectExtent l="0" t="0" r="0" b="0"/>
                      <wp:wrapNone/>
                      <wp:docPr id="136" name="Frame136"/>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36855" cy="175260"/>
                      <wp:effectExtent l="0" t="0" r="0" b="0"/>
                      <wp:wrapNone/>
                      <wp:docPr id="138" name="Frame13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760730" cy="175260"/>
                      <wp:effectExtent l="0" t="0" r="0" b="0"/>
                      <wp:wrapNone/>
                      <wp:docPr id="139" name="Frame139"/>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40995" cy="175260"/>
                      <wp:effectExtent l="0" t="0" r="0" b="0"/>
                      <wp:wrapNone/>
                      <wp:docPr id="141" name="Frame141"/>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80415" cy="175260"/>
                      <wp:effectExtent l="0" t="0" r="0" b="0"/>
                      <wp:wrapNone/>
                      <wp:docPr id="142" name="Frame142"/>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5" name="Frame1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24155" cy="175260"/>
                      <wp:effectExtent l="0" t="0" r="0" b="0"/>
                      <wp:wrapNone/>
                      <wp:docPr id="147" name="Frame14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23900" cy="175260"/>
                      <wp:effectExtent l="0" t="0" r="0" b="0"/>
                      <wp:wrapNone/>
                      <wp:docPr id="148" name="Frame148"/>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16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84"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16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 (years)</w:t>
            </w:r>
          </w:p>
        </w:tc>
        <w:tc>
          <w:tcPr>
            <w:tcW w:w="326" w:type="dxa"/>
            <w:tcBorders/>
            <w:vAlign w:val="center"/>
          </w:tcPr>
          <w:p>
            <w:pPr>
              <w:pStyle w:val="TableContents"/>
              <w:bidi w:val="0"/>
              <w:spacing w:before="0" w:after="0"/>
              <w:ind w:left="0" w:right="0" w:hanging="0"/>
              <w:jc w:val="left"/>
              <w:rPr/>
            </w:pPr>
            <w:r>
              <w:rPr/>
              <w:t>    </w:t>
            </w:r>
          </w:p>
        </w:tc>
        <w:tc>
          <w:tcPr>
            <w:tcW w:w="1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0"/>
              <w:ind w:left="0" w:right="0" w:hanging="0"/>
              <w:jc w:val="left"/>
              <w:rPr/>
            </w:pPr>
            <w:r>
              <w:rPr/>
              <w:t>    </w:t>
            </w:r>
          </w:p>
        </w:tc>
        <w:tc>
          <w:tcPr>
            <w:tcW w:w="1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4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326" w:type="dxa"/>
            <w:tcBorders/>
            <w:shd w:fill="CCEEFF" w:val="clear"/>
            <w:vAlign w:val="center"/>
          </w:tcPr>
          <w:p>
            <w:pPr>
              <w:pStyle w:val="TableContents"/>
              <w:bidi w:val="0"/>
              <w:spacing w:before="0" w:after="0"/>
              <w:ind w:left="0" w:right="0" w:hanging="0"/>
              <w:jc w:val="left"/>
              <w:rPr/>
            </w:pPr>
            <w:r>
              <w:rPr/>
              <w:t>​</w:t>
            </w:r>
          </w:p>
        </w:tc>
        <w:tc>
          <w:tcPr>
            <w:tcW w:w="127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22,100</w:t>
            </w:r>
          </w:p>
        </w:tc>
        <w:tc>
          <w:tcPr>
            <w:tcW w:w="32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(15,131)</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w:t>
            </w:r>
          </w:p>
        </w:tc>
      </w:tr>
      <w:tr>
        <w:trPr/>
        <w:tc>
          <w:tcPr>
            <w:tcW w:w="1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w:t>
            </w:r>
          </w:p>
        </w:tc>
        <w:tc>
          <w:tcPr>
            <w:tcW w:w="1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 </w:t>
            </w:r>
          </w:p>
        </w:tc>
        <w:tc>
          <w:tcPr>
            <w:tcW w:w="326" w:type="dxa"/>
            <w:tcBorders/>
            <w:vAlign w:val="center"/>
          </w:tcPr>
          <w:p>
            <w:pPr>
              <w:pStyle w:val="TableContents"/>
              <w:bidi w:val="0"/>
              <w:spacing w:before="0" w:after="0"/>
              <w:ind w:left="0" w:right="0" w:hanging="0"/>
              <w:jc w:val="left"/>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c>
          <w:tcPr>
            <w:tcW w:w="326" w:type="dxa"/>
            <w:tcBorders/>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w:t>
            </w:r>
          </w:p>
        </w:tc>
        <w:tc>
          <w:tcPr>
            <w:tcW w:w="109"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2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26,200</w:t>
            </w:r>
          </w:p>
        </w:tc>
        <w:tc>
          <w:tcPr>
            <w:tcW w:w="326" w:type="dxa"/>
            <w:tcBorders/>
            <w:shd w:fill="CCEEFF" w:val="clear"/>
            <w:vAlign w:val="center"/>
          </w:tcPr>
          <w:p>
            <w:pPr>
              <w:pStyle w:val="TableContents"/>
              <w:bidi w:val="0"/>
              <w:spacing w:before="0" w:after="0"/>
              <w:ind w:left="0" w:right="0" w:hanging="0"/>
              <w:jc w:val="left"/>
              <w:rPr/>
            </w:pPr>
            <w:r>
              <w:rPr/>
              <w:t>​</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(18,878)</w:t>
            </w:r>
          </w:p>
        </w:tc>
        <w:tc>
          <w:tcPr>
            <w:tcW w:w="109"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fourth quarter of 2024, the Company performed an impairment assessment on its indefinite lived intangible assets, and determined that as of December 31, 2024, the fair value of its intangible assets was less than the carrying amount. As a result, the Company recorded an $18.9 million impairment charge during the period from July 31, 2024, to December 31, 2024 (Successor). The impairment was driven by a sustained decline in the Company’s share price and market capitalization.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Based on the Company’s qualitative analysis, no intangible assets impairment charges were recorded for the three and nine months ended September 30, 2025 (Successor). </w:t>
      </w:r>
    </w:p>
    <w:p>
      <w:pPr>
        <w:pStyle w:val="TextBody"/>
        <w:bidi w:val="0"/>
        <w:spacing w:before="0" w:after="0"/>
        <w:ind w:left="0" w:right="0" w:firstLine="36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the changes in goodwill (in thousands):</w:t>
      </w:r>
    </w:p>
    <w:tbl>
      <w:tblPr>
        <w:tblW w:w="5447" w:type="dxa"/>
        <w:jc w:val="left"/>
        <w:tblInd w:w="0" w:type="dxa"/>
        <w:tblLayout w:type="fixed"/>
        <w:tblCellMar>
          <w:top w:w="0" w:type="dxa"/>
          <w:left w:w="0" w:type="dxa"/>
          <w:bottom w:w="0" w:type="dxa"/>
          <w:right w:w="0" w:type="dxa"/>
        </w:tblCellMar>
      </w:tblPr>
      <w:tblGrid>
        <w:gridCol w:w="886"/>
        <w:gridCol w:w="335"/>
        <w:gridCol w:w="1075"/>
        <w:gridCol w:w="326"/>
        <w:gridCol w:w="364"/>
        <w:gridCol w:w="597"/>
        <w:gridCol w:w="109"/>
        <w:gridCol w:w="373"/>
        <w:gridCol w:w="1382"/>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62610" cy="175260"/>
                      <wp:effectExtent l="0" t="0" r="0" b="0"/>
                      <wp:wrapNone/>
                      <wp:docPr id="149" name="Frame1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2725" cy="175260"/>
                      <wp:effectExtent l="0" t="0" r="0" b="0"/>
                      <wp:wrapNone/>
                      <wp:docPr id="150" name="Frame15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82625" cy="175260"/>
                      <wp:effectExtent l="0" t="0" r="0" b="0"/>
                      <wp:wrapNone/>
                      <wp:docPr id="151" name="Frame151"/>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31140" cy="175260"/>
                      <wp:effectExtent l="0" t="0" r="0" b="0"/>
                      <wp:wrapNone/>
                      <wp:docPr id="153" name="Frame15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79095" cy="175260"/>
                      <wp:effectExtent l="0" t="0" r="0" b="0"/>
                      <wp:wrapNone/>
                      <wp:docPr id="154" name="Frame154"/>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36855" cy="175260"/>
                      <wp:effectExtent l="0" t="0" r="0" b="0"/>
                      <wp:wrapNone/>
                      <wp:docPr id="156" name="Frame15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77570" cy="175260"/>
                      <wp:effectExtent l="0" t="0" r="0" b="0"/>
                      <wp:wrapNone/>
                      <wp:docPr id="157" name="Frame157"/>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456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886" w:type="dxa"/>
            <w:tcBorders/>
            <w:vAlign w:val="center"/>
          </w:tcPr>
          <w:p>
            <w:pPr>
              <w:pStyle w:val="TableContents"/>
              <w:bidi w:val="0"/>
              <w:spacing w:before="0" w:after="0"/>
              <w:ind w:left="0" w:right="0" w:hanging="0"/>
              <w:jc w:val="left"/>
              <w:rPr/>
            </w:pPr>
            <w:r>
              <w:rPr/>
              <w:t>​</w:t>
            </w:r>
          </w:p>
        </w:tc>
        <w:tc>
          <w:tcPr>
            <w:tcW w:w="456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886"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13,967</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13,967</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pPr>
      <w:r>
        <w:rPr/>
        <w:t>​</w:t>
      </w:r>
    </w:p>
    <w:tbl>
      <w:tblPr>
        <w:tblW w:w="5493" w:type="dxa"/>
        <w:jc w:val="left"/>
        <w:tblInd w:w="0" w:type="dxa"/>
        <w:tblLayout w:type="fixed"/>
        <w:tblCellMar>
          <w:top w:w="0" w:type="dxa"/>
          <w:left w:w="0" w:type="dxa"/>
          <w:bottom w:w="0" w:type="dxa"/>
          <w:right w:w="0" w:type="dxa"/>
        </w:tblCellMar>
      </w:tblPr>
      <w:tblGrid>
        <w:gridCol w:w="886"/>
        <w:gridCol w:w="335"/>
        <w:gridCol w:w="1075"/>
        <w:gridCol w:w="326"/>
        <w:gridCol w:w="211"/>
        <w:gridCol w:w="796"/>
        <w:gridCol w:w="109"/>
        <w:gridCol w:w="373"/>
        <w:gridCol w:w="1382"/>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62610" cy="175260"/>
                      <wp:effectExtent l="0" t="0" r="0" b="0"/>
                      <wp:wrapNone/>
                      <wp:docPr id="158" name="Frame1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2725" cy="175260"/>
                      <wp:effectExtent l="0" t="0" r="0" b="0"/>
                      <wp:wrapNone/>
                      <wp:docPr id="159" name="Frame15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82625" cy="175260"/>
                      <wp:effectExtent l="0" t="0" r="0" b="0"/>
                      <wp:wrapNone/>
                      <wp:docPr id="160" name="Frame160"/>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5460" cy="175260"/>
                      <wp:effectExtent l="0" t="0" r="0" b="0"/>
                      <wp:wrapNone/>
                      <wp:docPr id="163" name="Frame1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36855" cy="175260"/>
                      <wp:effectExtent l="0" t="0" r="0" b="0"/>
                      <wp:wrapNone/>
                      <wp:docPr id="165" name="Frame165"/>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877570" cy="175260"/>
                      <wp:effectExtent l="0" t="0" r="0" b="0"/>
                      <wp:wrapNone/>
                      <wp:docPr id="166" name="Frame166"/>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6" w:type="dxa"/>
            <w:tcBorders/>
            <w:vAlign w:val="center"/>
          </w:tcPr>
          <w:p>
            <w:pPr>
              <w:pStyle w:val="TableContents"/>
              <w:bidi w:val="0"/>
              <w:spacing w:before="0" w:after="0"/>
              <w:ind w:left="0" w:right="0" w:hanging="0"/>
              <w:jc w:val="left"/>
              <w:rPr/>
            </w:pPr>
            <w:r>
              <w:rPr/>
              <w:t>​</w:t>
            </w:r>
          </w:p>
        </w:tc>
        <w:tc>
          <w:tcPr>
            <w:tcW w:w="460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886" w:type="dxa"/>
            <w:tcBorders/>
            <w:vAlign w:val="center"/>
          </w:tcPr>
          <w:p>
            <w:pPr>
              <w:pStyle w:val="TableContents"/>
              <w:bidi w:val="0"/>
              <w:spacing w:before="0" w:after="0"/>
              <w:ind w:left="0" w:right="0" w:hanging="0"/>
              <w:jc w:val="left"/>
              <w:rPr/>
            </w:pPr>
            <w:r>
              <w:rPr/>
              <w:t>​</w:t>
            </w:r>
          </w:p>
        </w:tc>
        <w:tc>
          <w:tcPr>
            <w:tcW w:w="460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886"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Amount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Impairment</w:t>
            </w:r>
          </w:p>
        </w:tc>
        <w:tc>
          <w:tcPr>
            <w:tcW w:w="109" w:type="dxa"/>
            <w:tcBorders/>
            <w:vAlign w:val="center"/>
          </w:tcPr>
          <w:p>
            <w:pPr>
              <w:pStyle w:val="TableContents"/>
              <w:bidi w:val="0"/>
              <w:spacing w:before="0" w:after="0"/>
              <w:ind w:left="0" w:right="0" w:hanging="0"/>
              <w:jc w:val="left"/>
              <w:rPr/>
            </w:pPr>
            <w:r>
              <w:rPr/>
              <w:t>​</w:t>
            </w:r>
          </w:p>
        </w:tc>
        <w:tc>
          <w:tcPr>
            <w:tcW w:w="1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(30,324)</w:t>
            </w:r>
          </w:p>
        </w:tc>
        <w:tc>
          <w:tcPr>
            <w:tcW w:w="109"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13,967</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 </w:t>
      </w:r>
      <w:r>
        <w:rPr>
          <w:rFonts w:ascii="Times New Roman;Times;serif" w:hAnsi="Times New Roman;Times;serif"/>
          <w:sz w:val="20"/>
        </w:rPr>
        <w:t>During the fourth quarter of 2024, the Company conducted its annual assessment of goodwill. During its assessment,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Based on the Company’s qualitative analysis, no goodwill impairment charges were recorded for the three and nine months ended September 30, 2025 (Successor).</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10" w:name="Tc_DEk60c0pAE-EN-0tCObPgg_8_5"/>
      <w:bookmarkStart w:id="1511" w:name="Tc_nRkrehsaW06ttP6p1Aj5yQ_8_2"/>
      <w:bookmarkStart w:id="1512" w:name="Tc_qIAnL-QjrEyhZNV1H24HtQ_8_0"/>
      <w:bookmarkStart w:id="1513" w:name="Tc_LsSVMdqxKEG4VU8BRrNcKg_7_0"/>
      <w:bookmarkStart w:id="1514" w:name="Tc_R3TYLKhhC0SHm1ijR9i_pA_6_0"/>
      <w:bookmarkStart w:id="1515" w:name="Tc_w5Vi-ghTekaVag8DGOGFAA_5_0"/>
      <w:bookmarkStart w:id="1516" w:name="Tc_z-8Buhef7UKffwzMxTck6A_4_6"/>
      <w:bookmarkStart w:id="1517" w:name="Tc_Rg-tm3JJ4kaqiaBSlUh3rw_4_5"/>
      <w:bookmarkStart w:id="1518" w:name="Tc_R3jILfXdAEmzpLYGxmmpEA_4_2"/>
      <w:bookmarkStart w:id="1519" w:name="Tc_waHGI3_a9E-8lZe4B-PUVA_4_0"/>
      <w:bookmarkStart w:id="1520" w:name="Tc_g0fDp6aeq0meBU0zpPGYqg_3_5"/>
      <w:bookmarkStart w:id="1521" w:name="Tc_h8vpdx-z8UaMWKyKw_AsIQ_3_2"/>
      <w:bookmarkStart w:id="1522" w:name="Tc_vlz60Q30dUy2kSEniUyGSQ_2_5"/>
      <w:bookmarkStart w:id="1523" w:name="Tc_U8WB-VGPpUO4g2NgamoZAQ_2_2"/>
      <w:bookmarkStart w:id="1524" w:name="Tc_tpwl_PqvFkCUyx7ve7KO_g_1_5"/>
      <w:bookmarkStart w:id="1525" w:name="Tc_yI9tEQN0p02vZlS2l4BRoA_1_2"/>
      <w:bookmarkStart w:id="1526" w:name="_37e11db7_c32f_4f0c_bb56_659d56ff867b"/>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r>
        <w:rPr>
          <w:rFonts w:ascii="Times New Roman;Times;serif" w:hAnsi="Times New Roman;Times;serif"/>
          <w:b/>
          <w:sz w:val="20"/>
        </w:rPr>
        <w:t>Note 8 - Accrued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details of accrued liabilities as of September 30, 2025, and December 31, 2024 (in thousands):</w:t>
      </w:r>
    </w:p>
    <w:p>
      <w:pPr>
        <w:pStyle w:val="TextBody"/>
        <w:bidi w:val="0"/>
        <w:spacing w:before="0" w:after="0"/>
        <w:ind w:left="0" w:right="0" w:firstLine="360"/>
        <w:jc w:val="both"/>
        <w:rPr/>
      </w:pPr>
      <w:r>
        <w:rPr/>
        <w:t>​</w:t>
      </w:r>
    </w:p>
    <w:tbl>
      <w:tblPr>
        <w:tblW w:w="6218" w:type="dxa"/>
        <w:jc w:val="left"/>
        <w:tblInd w:w="0" w:type="dxa"/>
        <w:tblLayout w:type="fixed"/>
        <w:tblCellMar>
          <w:top w:w="0" w:type="dxa"/>
          <w:left w:w="0" w:type="dxa"/>
          <w:bottom w:w="0" w:type="dxa"/>
          <w:right w:w="0" w:type="dxa"/>
        </w:tblCellMar>
      </w:tblPr>
      <w:tblGrid>
        <w:gridCol w:w="3091"/>
        <w:gridCol w:w="326"/>
        <w:gridCol w:w="334"/>
        <w:gridCol w:w="911"/>
        <w:gridCol w:w="326"/>
        <w:gridCol w:w="292"/>
        <w:gridCol w:w="938"/>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962785" cy="175260"/>
                      <wp:effectExtent l="0" t="0" r="0" b="0"/>
                      <wp:wrapNone/>
                      <wp:docPr id="167" name="Frame167"/>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2090" cy="175260"/>
                      <wp:effectExtent l="0" t="0" r="0" b="0"/>
                      <wp:wrapNone/>
                      <wp:docPr id="169" name="Frame169"/>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78485" cy="175260"/>
                      <wp:effectExtent l="0" t="0" r="0" b="0"/>
                      <wp:wrapNone/>
                      <wp:docPr id="170" name="Frame17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5420" cy="175260"/>
                      <wp:effectExtent l="0" t="0" r="0" b="0"/>
                      <wp:wrapNone/>
                      <wp:docPr id="172" name="Frame172"/>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95630" cy="175260"/>
                      <wp:effectExtent l="0" t="0" r="0" b="0"/>
                      <wp:wrapNone/>
                      <wp:docPr id="173" name="Frame173"/>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vAlign w:val="center"/>
          </w:tcPr>
          <w:p>
            <w:pPr>
              <w:pStyle w:val="TableContents"/>
              <w:bidi w:val="0"/>
              <w:spacing w:before="0" w:after="0"/>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deferred 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4,616</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1,735</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8,498</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3,676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deferred professional fees represent amounts owed to two professional service providers related to services incurred in connection with the Company’s Business Combination.</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527" w:name="Tc_f1mwBCep0EK4laj7JadcoQ_4_5"/>
      <w:bookmarkStart w:id="1528" w:name="Tc_0P197x5lfEuiRUm_rpFe3Q_4_2"/>
      <w:bookmarkStart w:id="1529" w:name="Tc_zcKPy_36SUGQrpV_AeAeVQ_4_0"/>
      <w:bookmarkStart w:id="1530" w:name="Tc_FvQyHD4HuEuwSkV8UBbxHQ_3_5"/>
      <w:bookmarkStart w:id="1531" w:name="Tc_WJC65Mx0aUim-PciJa6ghQ_3_2"/>
      <w:bookmarkStart w:id="1532" w:name="Tc_rUK2R63ugkO5rI2Y6q3aMA_3_0"/>
      <w:bookmarkStart w:id="1533" w:name="Tc_FefYoeYesUG_R-gSXoXc_g_2_5"/>
      <w:bookmarkStart w:id="1534" w:name="Tc_PUmUVRPfRk-38HxJ-UAkIw_2_2"/>
      <w:bookmarkStart w:id="1535" w:name="Tc_6sJw5UF2okOMqv6b7M9DUg_1_5"/>
      <w:bookmarkStart w:id="1536" w:name="Tc_RLf6ki8P-UqdsdDewK7eUQ_1_2"/>
      <w:bookmarkStart w:id="1537" w:name="_fc71b412_fe34_485d_a8ed_8ad36177e304"/>
      <w:bookmarkEnd w:id="1527"/>
      <w:bookmarkEnd w:id="1528"/>
      <w:bookmarkEnd w:id="1529"/>
      <w:bookmarkEnd w:id="1530"/>
      <w:bookmarkEnd w:id="1531"/>
      <w:bookmarkEnd w:id="1532"/>
      <w:bookmarkEnd w:id="1533"/>
      <w:bookmarkEnd w:id="1534"/>
      <w:bookmarkEnd w:id="1535"/>
      <w:bookmarkEnd w:id="1536"/>
      <w:bookmarkEnd w:id="1537"/>
      <w:r>
        <w:rPr>
          <w:rFonts w:ascii="Times New Roman;Times;serif" w:hAnsi="Times New Roman;Times;serif"/>
          <w:b/>
          <w:sz w:val="20"/>
        </w:rPr>
        <w:t>Note 9 -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Outstanding debt as of September 30, 2025, and December 31, 2024, consists of the following (in thousands):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8141" w:type="dxa"/>
        <w:jc w:val="left"/>
        <w:tblInd w:w="0" w:type="dxa"/>
        <w:tblLayout w:type="fixed"/>
        <w:tblCellMar>
          <w:top w:w="0" w:type="dxa"/>
          <w:left w:w="0" w:type="dxa"/>
          <w:bottom w:w="0" w:type="dxa"/>
          <w:right w:w="0" w:type="dxa"/>
        </w:tblCellMar>
      </w:tblPr>
      <w:tblGrid>
        <w:gridCol w:w="4726"/>
        <w:gridCol w:w="109"/>
        <w:gridCol w:w="382"/>
        <w:gridCol w:w="1224"/>
        <w:gridCol w:w="109"/>
        <w:gridCol w:w="338"/>
        <w:gridCol w:w="1253"/>
      </w:tblGrid>
      <w:tr>
        <w:trPr/>
        <w:tc>
          <w:tcPr>
            <w:tcW w:w="4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42570" cy="175260"/>
                      <wp:effectExtent l="0" t="0" r="0" b="0"/>
                      <wp:wrapNone/>
                      <wp:docPr id="174" name="Frame174"/>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77240" cy="175260"/>
                      <wp:effectExtent l="0" t="0" r="0" b="0"/>
                      <wp:wrapNone/>
                      <wp:docPr id="175" name="Frame175"/>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4630" cy="175260"/>
                      <wp:effectExtent l="0" t="0" r="0" b="0"/>
                      <wp:wrapNone/>
                      <wp:docPr id="177" name="Frame177"/>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95655" cy="175260"/>
                      <wp:effectExtent l="0" t="0" r="0" b="0"/>
                      <wp:wrapNone/>
                      <wp:docPr id="178" name="Frame178"/>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09"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r>
      <w:tr>
        <w:trPr/>
        <w:tc>
          <w:tcPr>
            <w:tcW w:w="47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109" w:type="dxa"/>
            <w:tcBorders/>
            <w:vAlign w:val="center"/>
          </w:tcPr>
          <w:p>
            <w:pPr>
              <w:pStyle w:val="TableContents"/>
              <w:bidi w:val="0"/>
              <w:spacing w:before="0" w:after="0"/>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Securities Notes (including accrued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21,191</w:t>
            </w:r>
          </w:p>
        </w:tc>
        <w:tc>
          <w:tcPr>
            <w:tcW w:w="109"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17,180</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109" w:type="dxa"/>
            <w:tcBorders/>
            <w:vAlign w:val="center"/>
          </w:tcPr>
          <w:p>
            <w:pPr>
              <w:pStyle w:val="TableContents"/>
              <w:bidi w:val="0"/>
              <w:spacing w:before="0" w:after="0"/>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21,191</w:t>
            </w:r>
          </w:p>
        </w:tc>
        <w:tc>
          <w:tcPr>
            <w:tcW w:w="109"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17,180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October 2022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27, 2022, the Legacy Adagio entered into the October 2022 Convertible Notes with investors for the issuance and sale of convertible promissory notes with an aggregate principal amount of $9.5 million at an interest rate of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4, 2023, the October 2022 Convertible Notes, which had an original maturity date of October 27, 2023, were amended to extend the maturity date to the latest of (i) January 5, 2024, (ii) termination of agreements between the Legacy Adagio and ARYA in connection with a non-binding summary of certain proposed terms and conditions of a potential business combination, or (iii) the termination or lapse of the exclusivity period as defined in the non-binding term sheet as mentioned above. The October 2022 Convertible Notes agreement was also amended to subordinate the October 2022 Convertible Notes to the April 2023 Convertible Notes (as described below) and provide for the conversion of all principals and accrued interest in respect of all the October 2022 Convertible Notes into shares of Series E Preferred Stock of the Legacy Adagio in connection with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28, 2023, the October 2022 Convertible Notes agreement was further amended to subordinate the October 2022 Convertible Notes to the April 2023 Convertible Notes and the November 2023 Convertible Notes (as described below). Upon the consummation of the Business Combination, all principal and accrued interest in respect of the October 2022 Convertible Notes was converted into shares of the Legacy Adagio common stock, when multiplied by the exchange ratio applicable to the Legacy Adagio common stock in the Business Combination, entitled the holder of this note to receive a number of shares of the same class of common stock that are issued in the 2024 PIPE Financing equal to the then outstanding principal amount and any accrued and unpaid interest under this note, divided by 75% of the effective price of each share of common stock sold in the 2024 PIPE Financing.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October 2022 Convertible Notes agreement was further amended to extend the maturity date to the termination of the Business Combination Agreement, and subordinate the October 2022 Convertible Notes to the April 2023 Convertible Notes, the November 2023 Convertible Notes, and February 2024 Convertible Notes (as described below).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$9.5 million principal was received by the Legacy Adagio as of December 31, 2022. As of July 30, 2024 (Predecessor), the principal amount outstanding was $9.5 million.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all principal and accrued interest in respect to the October 2022 Convertible Notes were converted into 8,661,985 shares of Legacy Adagio common stock. Further, on Closing Date, the 8,661,985 Legacy Adagio common stocks were converted to 1,444,899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For the periods from July 1, 2024 to July 30, 2024 (Predecessor) and January 1, 2024 to July 30, 2024 (Predecessor), Legacy Adagio recognized interest expense of $62.5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thousand and $0.4</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Bridge Financing Notes (Predecessor)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April 2023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4, 2023, Legacy Adagio issued a $5.0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April 2023 Convertible Notes accrue simple interest at eight percent (8.0%) per annum. Additionally, Legacy Adagio obtained the right to issue up to $10.0 million in additional convertible promissory notes available beginning one month after April 4, 2023, through the occurrence of an ARYA stockholder vote with regard to a transaction. During the period from April 4, 2023, to December 31, 2023, Legacy Adagio issued the additional $10.0 million.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the April 2023 Convertible Notes were amended to align certain terms of the April 2023 Convertible Notes with the November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April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July 30, 2024 (Predecessor), the principal amount outstanding was $15.0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January 1, 2024 to July 30, 2024 (Predecessor), Legacy Adagio recognized interest expense of $0.1 million and $0.6 million, respectively.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November 2023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to Perceptive PIPE Investor a $2.0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accrues simple interest at eight percent (8.0%) per annum. Additionally, Legacy Adagio obtained the right to issue up to $6.0 million of Delayed Draw Commitment.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November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the November 2023 Convertible Notes were amended to permit the issuance of a Delayed Draw Commitment in the principal amount of $1.0 million and $2.0 million on December 13, 2023, and December 28, 2023, respectively. The combined $3.0 million convertible promissory notes were issued pursuant to the clause and terms in the November 2023 Convertible Notes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July 30, 2024 (Predecessor), the principal amount outstanding was $8.0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For the periods from July 1, 2024 to July 30, 2024 (Predecessor), and from January 1, 2024 to July 30, 2024 (Predecessor), Legacy Adagio recognized interest expense of $50.6</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thousand and $0.3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respectively.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bookmarkStart w:id="1538" w:name="_Hlk211631036"/>
      <w:bookmarkStart w:id="1539" w:name="_Hlk211630730"/>
      <w:bookmarkEnd w:id="1538"/>
      <w:bookmarkEnd w:id="1539"/>
      <w:r>
        <w:rPr>
          <w:rFonts w:ascii="Times New Roman;Times;serif" w:hAnsi="Times New Roman;Times;serif"/>
          <w:b/>
          <w:i/>
          <w:sz w:val="20"/>
        </w:rPr>
        <w:t>February 2024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Legacy Adagio issued to Perceptive PIPE Investor a principal of $7.0 million convertible promissory note that matures upon the termination of the Business Combination Agreement in accordance with its terms. The February 2024 Convertible Notes accrue simple interest at eight percent (8.0%) per annum.</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the February 2024 Convertible Notes were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July 30, 2024 (Predecessor), the principal amount outstanding was $7.0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from January 1, 2024 to July 30, 2024 (Predecessor), Legacy Adagio recognized interest expense of $46.0 thousand and $0.3 million, respectively.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$7.0 million of February 2024 Convertible Notes were converted into $7.0 million Convertible Securities Notes and 525,000 Convert Warrants.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May 2024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21, 2024, Legacy Adagio issued to Perceptive PIPE Investor a $3.0 million convertible promissory note that matured upon the termination of the Business Combination Agreement in accordance with its terms. The May 2024 Convertible Notes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July 30, 2024 (Predecessor), the principal amount outstanding was $3.0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from January 1, 2024 to July 30, 2024 (Predecessor), Legacy Adagio recognized interest expense of $19.7 thousand and $46.0 thousand,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May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June 2024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25, 2024, Legacy Adagio issued to Perceptive PIPE Investor a $2.5 million convertible promissory note that matured upon the termination of the Business Combination Agreement in accordance with its terms. The June 2024 Convertible Notes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July 30, 2024 (Predecessor), the principal amount outstanding was $2.5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from January 1, 2024 to July 30, 2024 (Predecessor), Legacy Adagio recognized interest expense of $16.4 thousand and $19.2 thousand,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June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July 2024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to Perceptive PIPE Investor that matured upon the termination of the Business Combination Agreement in accordance with its terms. It accrued simple interest at eight percent (8.0%) per annum.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July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Legacy Adagio recognized interest expense of $1.3 thousand.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2024 PIPE Financing.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Term Loan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Legacy Adagio entered into an agreement to obtain an initial term loan advance of $3.0 million and a right to issue a subsequent term loan advance of $2.0 million pursuant to the LSA. The loans matured on January 1, 2025, and Legacy Adagio made monthly payments at a floating rate per annum equal to the greater of (1) seven percent (7.0%) and (2) the market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plus one and one half of one percent (1.5%).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issuance of the SVB Term Loan, Legacy Adagio issued liability - classified warrants with a fair value of $28.5 thousand to purchase 32,720 shares of common stock of Legacy Adagio (“Initial Warrants”), and a contingent right, with a fair value of $7.1 thousand, to obtain an additional 16,360 shares of the common stock (“Additional Warrants”) upon the nonoccurrence of the Interest Only Milestone. The Interest Only Milestone (“Milestone”) refers to a specific condition that was met on or before April 30, 2023. To satisfy this Milestone, Legacy Adagio would have ensured that no event of default had occurred. If this condition was met, Legacy Adagio would have provided SVB (i) the intent for the sale of all capital stock of Legacy Adagio, or (ii) an executed term sheet for a priced equity financing of at least $40.0 million from the sale of Legacy Adagio’s capital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initial recognition of the warrant liabilities and the contingent right resulted in a discount of $35.6 thousand to the SVB Term Loan. The discount was amortized to interest expense over the term of the LSA.</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July 30, 2024, the subsequent term loan advance of $2.0 million had not been drawn. As of July 30, 2024, the outstanding principal of SVB Term Loan was $1.0 million, and the unamortized debt discount was $9.7 thousand.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January 1, 2024 to July 30, 2024 (Predecessor), Legacy Adagio recognized interest expense of $9.0 thousand and $87.3 thousand,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Closing, the existing SVB Term Loan of Legacy Adagio had a net balance of $1.0 million, including $1.0 million of principal and accrued interest, and an unamortized debt discount of $9.7 thousand. The unpaid principal and accrued interest were carried as assumed liabilities to the Company and paid at the Closing.</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$20.0 million Convertible Securities Notes are convertible into shares of the Company’s common stock at a conversion price of $10.00 per share, subject to adjustment per the terms of the agreement. In the event of default, the Company may irrevocably elect in the event of default notice to permit the holder to effect alternate conversion, for which the conversion calculation and price are specified in the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1,500,000 Convert Warrants, each of which is exercisable on a cashless basis or for one share of the Company’s common stock at $24.00 per share, subject to adjustment. The Convertible Securities Notes have a maturity of </w:t>
      </w:r>
      <w:r>
        <w:rPr>
          <w:rFonts w:ascii="Times New Roman;Times;serif" w:hAnsi="Times New Roman;Times;serif"/>
          <w:b w:val="false"/>
          <w:i w:val="false"/>
          <w:caps w:val="false"/>
          <w:smallCaps w:val="false"/>
          <w:sz w:val="20"/>
        </w:rPr>
        <w:t>three years and nine months</w:t>
      </w:r>
      <w:r>
        <w:rPr>
          <w:rFonts w:ascii="Times New Roman;Times;serif" w:hAnsi="Times New Roman;Times;serif"/>
          <w:sz w:val="20"/>
        </w:rPr>
        <w:t xml:space="preserve"> after the Closing and interest will be payable in cash or compound as additional principal outstanding which accrues on a quarterly basis. At the Company’s option, payment of interest can either be (i) made quarterly in cash, or (ii) compound and become additional principal of the Convertible Securities Notes. As of September 30, 2025, the Company does not anticipate making a cash interest payment within the next 12 months.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conversion of the February 2024 Convertible Notes was carried out on the same terms as the other Convert Investors executing the Convertible Security Subscription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and nine months ended September 30, 2025 (Successor), the Company recognized interest expense of $0.7 million and $2.1 million,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31, 2024 to September 30, 2024 (Successor), the Company recognized interest expense of $0.4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Warrants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in conjunction with the LSA, the Legacy Adagio issued Initial Warrants to purchase 32,720 shares of common stock of Legacy Adagio, and a contingent right to obtain an additional 16,360 shares of the common stock upon the non-occurrence of the Interest Only Milestone as mentioned above. The Additional Warrants are subject to the same terms as the Initial Warrants (collectively “SVB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exercise price of the SVB Warrants was $7.97 per share. The warrants were fully exercisable and would have expired on February 3, 2033.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SVB Warrants were terminated prior to the consummation of the Business Combination as the fair market value of Legacy Adagio common stock is lower than the exercise price of the SVB Warrants before the Closing.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Series E Pre-funded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in conjunction with the Series E Preferred Stock exchange agreement (refer to </w:t>
      </w:r>
      <w:r>
        <w:rPr>
          <w:rFonts w:ascii="Times New Roman;Times;serif" w:hAnsi="Times New Roman;Times;serif"/>
          <w:i/>
          <w:sz w:val="20"/>
        </w:rPr>
        <w:t>Note 13 - Mezzanine Equity and Stockholders’ Equity (Deficit))</w:t>
      </w:r>
      <w:r>
        <w:rPr>
          <w:rFonts w:ascii="Times New Roman;Times;serif" w:hAnsi="Times New Roman;Times;serif"/>
          <w:sz w:val="20"/>
        </w:rPr>
        <w:t xml:space="preserve">, Legacy Adagio issued to a certain investor 207,902 shares of pre-funded warrants to purchase 207,902 shares of Series E Preferred Stock, in exchange of the investor’s existing holding of 207,902 shares of Series E Preferred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exercise price of the pre-funded warrants was $0.001 per share. The pre-funded warrants were exercisable, at the option of the holder, on any day on or after the issuance date, in whole or in part. As an alternative to immediate cash payment, the investor could have elected to exercise the pre-funded warrant through a cashless exercise.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207,902 Series E Pre-funded Warrants were converted in exchange for 34,680 shares of the Company’s common stock.</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mentioned in </w:t>
      </w:r>
      <w:r>
        <w:rPr>
          <w:rFonts w:ascii="Times New Roman;Times;serif" w:hAnsi="Times New Roman;Times;serif"/>
          <w:i/>
          <w:sz w:val="20"/>
        </w:rPr>
        <w:t>Note 9 - Debt</w:t>
      </w:r>
      <w:r>
        <w:rPr>
          <w:rFonts w:ascii="Times New Roman;Times;serif" w:hAnsi="Times New Roman;Times;serif"/>
          <w:sz w:val="20"/>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of the issuance date.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Pre-funded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Closing Date, the Company issued 670,000 PIPE Pre-funded Warrants, along with 681,111 shares of the Company’s common shares and 1,140,000 Base Warrants to certain Other PIPE Investors in exchange for cash proceeds of $9.5 million in 2024 PIPE Financing.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set forth in the agreement of the PIPE Pre-Funded Warrants, the PIPE Pre-Funded Warrants are exercisable on a cashless basis or on a gross basis for one share of the Company’s common stock at an exercise price of $0.01 per share, subject to adjustments. The Company may be required to cash settle the PIPE Pre-funded Warrants when it fails to timely deliver shares to the holder who exercises the PIPE Pre-funded Warrants or upon the occurrence of a fundamental transaction.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26, 2024, 670,000 pre-funded warrant shares were exercised on a cashless basis for 663,096 shares of the Company’s common stock. The exercise price for the pre-funded warrants was $0.9705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2025, and December 31, 2024, there were no pre-funded warrants outstanding.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Base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Company issued 3,540,000 Base Warrants along with 4,372,607 shares of the Company’s common shares to settle the outstanding principal and accrued interest of the Bridge Financing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issued 3,345,069 Base Warrants along with 3,287,018 shares of the Company’s common stock and 670,000 PIPE Pre-Funded Warrants to PIPE Investors for cash proceeds received in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issued 643,658 Base Warrants along with 761,229 shares of the Company’s common stock in exchange for the non-redeemable 468,941 shares of ARYA’s Class A ordinary shares held by certain Other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and (v) the remaining term is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 to the ASC 815, it is determined that the Base Warrants associated with the 2024 PIPE Financing are indexed to the Company’s common stock under and are accounted for as equity, which is initially measured at fair value. The Base Warrants are classified as equity in the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40" w:name="Tc_AvHMDZm5W0OUi9P8sOI6Lg_10_2"/>
      <w:bookmarkStart w:id="1541" w:name="Tc_54W8yr_dp0yJ24GdMTtUHw_10_0"/>
      <w:bookmarkStart w:id="1542" w:name="Tc_lMtIM3ZTzUmg89Ha3mdJgg_9_0"/>
      <w:bookmarkStart w:id="1543" w:name="Tc_EIRvgt0FAkaRWCbZ85KQEQ_8_0"/>
      <w:bookmarkStart w:id="1544" w:name="Tc_IYR4-sOmhk-pIZy6rY4N_g_7_0"/>
      <w:bookmarkStart w:id="1545" w:name="Tc_sLkxd6sgZE-ueEMYj_Nv_g_6_0"/>
      <w:bookmarkStart w:id="1546" w:name="Tc_qJW1wR5IqkiY9wkduOmafw_5_0"/>
      <w:bookmarkStart w:id="1547" w:name="Tc_uaPexRHEAE2ZRpMR5ezYtQ_4_0"/>
      <w:bookmarkStart w:id="1548" w:name="Tc_czmlY_YvOUGO6LbD5C2PHw_3_0"/>
      <w:bookmarkStart w:id="1549" w:name="Tc_X36-R2LFWE-oDfKYgwKwwg_2_2"/>
      <w:bookmarkStart w:id="1550" w:name="Tc_Kla4b6wCJUa9_acnAuPepg_2_0"/>
      <w:bookmarkStart w:id="1551" w:name="_1c2e835e_59bf_427a_b7e3_46b85dd8f2d0"/>
      <w:bookmarkStart w:id="1552" w:name="Tc_3NYG5iv8YUGI5Z0AuztOhQ_5_19"/>
      <w:bookmarkStart w:id="1553" w:name="Tc_X6XQE_9BvUKFme3ZCWYvIw_5_15"/>
      <w:bookmarkStart w:id="1554" w:name="Tc_kpKv3ZyDUE-APM_8i51stg_5_12"/>
      <w:bookmarkStart w:id="1555" w:name="Tc_MPCxveC18U-yvzaGKeiFMQ_5_9"/>
      <w:bookmarkStart w:id="1556" w:name="Tc_Abwk7ERIXEahu2I4MH5P9Q_5_5"/>
      <w:bookmarkStart w:id="1557" w:name="Tc_x9F6wsbmzkCXuPpnA7SLLw_5_2"/>
      <w:bookmarkStart w:id="1558" w:name="Tc_pWxYVXYMjEOOMUmTmYceVA_5_0"/>
      <w:bookmarkStart w:id="1559" w:name="Tc_2O98O_NyUEy9z8Zwd2L5Fw_4_19"/>
      <w:bookmarkStart w:id="1560" w:name="Tc_6t0GcyQGMkCl0wr14flVAg_4_15"/>
      <w:bookmarkStart w:id="1561" w:name="Tc_huuKmdGlvEulPzfjqI0Klg_4_9"/>
      <w:bookmarkStart w:id="1562" w:name="Tc_hKOOQltZlUm09JcB8rWMnQ_4_5"/>
      <w:bookmarkStart w:id="1563" w:name="Tc_hEGxfeIKbk2Je0OiySTgMg_4_0"/>
      <w:bookmarkStart w:id="1564" w:name="Tc_khu8efHZAUaw5XuyJR8ejw_3_19"/>
      <w:bookmarkStart w:id="1565" w:name="Tc_cIJuFTLouU65vIupe7mgUw_3_15"/>
      <w:bookmarkStart w:id="1566" w:name="Tc_E48nQT_KFUOMhHDEx7TR5A_3_12"/>
      <w:bookmarkStart w:id="1567" w:name="Tc_fcpphnR7S0m-XUiT8VySdg_3_9"/>
      <w:bookmarkStart w:id="1568" w:name="Tc_Kv6TKkYmW0qfx5MyR6yWjg_3_5"/>
      <w:bookmarkStart w:id="1569" w:name="Tc_SFj-JsSCsUCmdLbni6PFIw_3_2"/>
      <w:bookmarkStart w:id="1570" w:name="Tc__RXgjVY870ii3MdkhT2ifg_2_15"/>
      <w:bookmarkStart w:id="1571" w:name="Tc_DV1CA7KsdUudKlyJ7su0ig_2_12"/>
      <w:bookmarkStart w:id="1572" w:name="Tc_8ubAMV-tOkma3H5c3lO_eA_2_5"/>
      <w:bookmarkStart w:id="1573" w:name="Tc_xizFNoWLjESpOCaXUeOYxA_2_2"/>
      <w:bookmarkStart w:id="1574" w:name="Tc_uCMUqEO3p0OatytEgD9dlg_1_12"/>
      <w:bookmarkStart w:id="1575" w:name="Tc_seMuPtaxZEOZZVqKqt7rjw_1_2"/>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r>
        <w:rPr>
          <w:rFonts w:ascii="Times New Roman;Times;serif" w:hAnsi="Times New Roman;Times;serif"/>
          <w:b/>
          <w:sz w:val="20"/>
        </w:rPr>
        <w:t>Note 11 - Operating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leases distribution and research and development facilities as well as sub-leases office and manufacturing space from third parties and related parties (refer to </w:t>
      </w:r>
      <w:r>
        <w:rPr>
          <w:rFonts w:ascii="Times New Roman;Times;serif" w:hAnsi="Times New Roman;Times;serif"/>
          <w:i/>
          <w:sz w:val="20"/>
        </w:rPr>
        <w:t>Note 17 - Related Party Transactions</w:t>
      </w:r>
      <w:r>
        <w:rPr>
          <w:rFonts w:ascii="Times New Roman;Times;serif" w:hAnsi="Times New Roman;Times;serif"/>
          <w:sz w:val="20"/>
        </w:rPr>
        <w:t>) under its operating leases. The leases have expirations ranging from March 2026 to January 2030,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2025 and December 31, 2024, the Company does not have any finance or short-term leases and has not entered into leases which have not yet commenced that would entitle the Company to significant rights or create additional obligations during the periods as of September 30, 2025 and December 31,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quantitative information of the Company’s operating leases for the three and nine months ended September 30, 2025 and for the periods from July 1, 2024 to July 30, 2024 (Predecessor), July 31, 2024 to September 30, 2024 (Successor), January 1, 2024 to July 30, 2024 (Predecessor) and from July 31, 2024 to September 30, 2024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063"/>
        <w:gridCol w:w="109"/>
        <w:gridCol w:w="342"/>
        <w:gridCol w:w="514"/>
        <w:gridCol w:w="130"/>
        <w:gridCol w:w="597"/>
        <w:gridCol w:w="901"/>
        <w:gridCol w:w="130"/>
        <w:gridCol w:w="130"/>
        <w:gridCol w:w="457"/>
        <w:gridCol w:w="688"/>
        <w:gridCol w:w="109"/>
        <w:gridCol w:w="285"/>
        <w:gridCol w:w="571"/>
        <w:gridCol w:w="120"/>
        <w:gridCol w:w="597"/>
        <w:gridCol w:w="901"/>
        <w:gridCol w:w="120"/>
        <w:gridCol w:w="120"/>
        <w:gridCol w:w="374"/>
        <w:gridCol w:w="947"/>
      </w:tblGrid>
      <w:tr>
        <w:trPr/>
        <w:tc>
          <w:tcPr>
            <w:tcW w:w="20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pPr>
            <w:r>
              <w:rPr/>
              <w:t>​</w:t>
            </w:r>
          </w:p>
        </w:tc>
        <w:tc>
          <w:tcPr>
            <w:tcW w:w="13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2550" cy="175260"/>
                      <wp:effectExtent l="0" t="0" r="0" b="0"/>
                      <wp:wrapNone/>
                      <wp:docPr id="179" name="Frame179"/>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2550" cy="175260"/>
                      <wp:effectExtent l="0" t="0" r="0" b="0"/>
                      <wp:wrapNone/>
                      <wp:docPr id="180" name="Frame180"/>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6200" cy="175260"/>
                      <wp:effectExtent l="0" t="0" r="0" b="0"/>
                      <wp:wrapNone/>
                      <wp:docPr id="181" name="Frame18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6200" cy="175260"/>
                      <wp:effectExtent l="0" t="0" r="0" b="0"/>
                      <wp:wrapNone/>
                      <wp:docPr id="182" name="Frame182"/>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r>
      <w:tr>
        <w:trPr/>
        <w:tc>
          <w:tcPr>
            <w:tcW w:w="20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88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109" w:type="dxa"/>
            <w:tcBorders/>
            <w:vAlign w:val="center"/>
          </w:tcPr>
          <w:p>
            <w:pPr>
              <w:pStyle w:val="TableContents"/>
              <w:bidi w:val="0"/>
              <w:spacing w:before="0" w:after="0"/>
              <w:ind w:left="0" w:right="0" w:hanging="0"/>
              <w:jc w:val="center"/>
              <w:rPr/>
            </w:pPr>
            <w:r>
              <w:rPr/>
              <w:t>​</w:t>
            </w:r>
          </w:p>
        </w:tc>
        <w:tc>
          <w:tcPr>
            <w:tcW w:w="403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20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30" w:type="dxa"/>
            <w:tcBorders/>
            <w:vAlign w:val="center"/>
          </w:tcPr>
          <w:p>
            <w:pPr>
              <w:pStyle w:val="TableContents"/>
              <w:bidi w:val="0"/>
              <w:spacing w:before="0" w:after="0"/>
              <w:ind w:left="0" w:right="0" w:hanging="0"/>
              <w:jc w:val="left"/>
              <w:rPr/>
            </w:pPr>
            <w:r>
              <w:rPr/>
              <w:t>​</w:t>
            </w:r>
          </w:p>
        </w:tc>
        <w:tc>
          <w:tcPr>
            <w:tcW w:w="29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20" w:type="dxa"/>
            <w:tcBorders/>
            <w:vAlign w:val="center"/>
          </w:tcPr>
          <w:p>
            <w:pPr>
              <w:pStyle w:val="TableContents"/>
              <w:bidi w:val="0"/>
              <w:spacing w:before="0" w:after="0"/>
              <w:ind w:left="0" w:right="0" w:hanging="0"/>
              <w:jc w:val="left"/>
              <w:rPr/>
            </w:pPr>
            <w:r>
              <w:rPr/>
              <w:t>​</w:t>
            </w:r>
          </w:p>
        </w:tc>
        <w:tc>
          <w:tcPr>
            <w:tcW w:w="305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20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30" w:type="dxa"/>
            <w:tcBorders/>
            <w:vAlign w:val="center"/>
          </w:tcPr>
          <w:p>
            <w:pPr>
              <w:pStyle w:val="TableContents"/>
              <w:bidi w:val="0"/>
              <w:spacing w:before="0" w:after="0"/>
              <w:ind w:left="0" w:right="0" w:hanging="0"/>
              <w:jc w:val="center"/>
              <w:rPr/>
            </w:pPr>
            <w:r>
              <w:rPr/>
              <w:t>​</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30"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30"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both"/>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20" w:type="dxa"/>
            <w:tcBorders/>
            <w:vAlign w:val="center"/>
          </w:tcPr>
          <w:p>
            <w:pPr>
              <w:pStyle w:val="TableContents"/>
              <w:bidi w:val="0"/>
              <w:spacing w:before="0" w:after="0"/>
              <w:ind w:left="0" w:right="0" w:hanging="0"/>
              <w:jc w:val="center"/>
              <w:rPr/>
            </w:pPr>
            <w:r>
              <w:rPr/>
              <w:t>​</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20"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20"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20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 unaudited</w:t>
            </w:r>
          </w:p>
        </w:tc>
        <w:tc>
          <w:tcPr>
            <w:tcW w:w="109" w:type="dxa"/>
            <w:tcBorders/>
            <w:vAlign w:val="center"/>
          </w:tcPr>
          <w:p>
            <w:pPr>
              <w:pStyle w:val="TableContents"/>
              <w:bidi w:val="0"/>
              <w:spacing w:before="0" w:after="0"/>
              <w:ind w:left="0" w:right="0" w:hanging="0"/>
              <w:jc w:val="righ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right"/>
              <w:rPr/>
            </w:pPr>
            <w:r>
              <w:rPr/>
              <w:t>​</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 </w:t>
            </w:r>
          </w:p>
        </w:tc>
        <w:tc>
          <w:tcPr>
            <w:tcW w:w="130"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30"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1 to July 30</w:t>
            </w:r>
          </w:p>
        </w:tc>
        <w:tc>
          <w:tcPr>
            <w:tcW w:w="109" w:type="dxa"/>
            <w:tcBorders/>
            <w:vAlign w:val="center"/>
          </w:tcPr>
          <w:p>
            <w:pPr>
              <w:pStyle w:val="TableContents"/>
              <w:bidi w:val="0"/>
              <w:spacing w:before="0" w:after="0"/>
              <w:ind w:left="0" w:right="0" w:hanging="0"/>
              <w:jc w:val="right"/>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0" w:type="dxa"/>
            <w:tcBorders/>
            <w:vAlign w:val="center"/>
          </w:tcPr>
          <w:p>
            <w:pPr>
              <w:pStyle w:val="TableContents"/>
              <w:bidi w:val="0"/>
              <w:spacing w:before="0" w:after="0"/>
              <w:ind w:left="0" w:right="0" w:hanging="0"/>
              <w:jc w:val="right"/>
              <w:rPr/>
            </w:pPr>
            <w:r>
              <w:rPr/>
              <w:t>​</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 </w:t>
            </w:r>
          </w:p>
        </w:tc>
        <w:tc>
          <w:tcPr>
            <w:tcW w:w="120"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20"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July 30</w:t>
            </w:r>
          </w:p>
        </w:tc>
      </w:tr>
      <w:tr>
        <w:trPr/>
        <w:tc>
          <w:tcPr>
            <w:tcW w:w="2063"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cash flows paid for operating leases</w:t>
            </w:r>
          </w:p>
        </w:tc>
        <w:tc>
          <w:tcPr>
            <w:tcW w:w="109"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30" w:type="dxa"/>
            <w:tcBorders/>
            <w:shd w:fill="CCEEFF" w:val="clear"/>
            <w:vAlign w:val="center"/>
          </w:tcPr>
          <w:p>
            <w:pPr>
              <w:pStyle w:val="TableContents"/>
              <w:bidi w:val="0"/>
              <w:spacing w:before="0" w:after="0"/>
              <w:ind w:left="0" w:right="0" w:hanging="0"/>
              <w:jc w:val="righ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30"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30"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120" w:type="dxa"/>
            <w:tcBorders/>
            <w:shd w:fill="CCEEFF" w:val="clear"/>
            <w:vAlign w:val="center"/>
          </w:tcPr>
          <w:p>
            <w:pPr>
              <w:pStyle w:val="TableContents"/>
              <w:bidi w:val="0"/>
              <w:spacing w:before="0" w:after="0"/>
              <w:ind w:left="0" w:right="0" w:hanging="0"/>
              <w:jc w:val="righ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20"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20"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2025 (Successor), the weighted average remaining lease term for the Company’s operating leases was 4.1 years, and the weighted average discount rate used to determine the present value of the Company’s operating leases was 8.0%.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Operating lease cost was $0.1 million and $0.3 million for the three and nine months ended September 30, 2025 (Successor), respectively. The Company did not incur any variable lease cost for the three and nine months ended September 30, 2025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Operating lease cost was $17.0 thousand and $33.0 thousand for the periods from July 1, 2024 to July 30, 2024 (Predecessor) and from July 31, 2024 to September 30, 2024 (Successor), respectively. Operating lease cost was $0.1 million and $33.0 thousand for the periods from January 1, 2024 to July 30, 2024 (Predecessor) and from July 31, 2024 to September 30, 2024 (Successor), respectively. There was no variable lease cost for either of these periods.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future minimum payments under the non-cancelable operating leases as of September 30, 2025 (in thousands):</w:t>
      </w:r>
    </w:p>
    <w:p>
      <w:pPr>
        <w:pStyle w:val="TextBody"/>
        <w:bidi w:val="0"/>
        <w:spacing w:before="0" w:after="0"/>
        <w:ind w:left="0" w:right="0" w:firstLine="360"/>
        <w:jc w:val="both"/>
        <w:rPr/>
      </w:pPr>
      <w:r>
        <w:rPr/>
        <w:t>​</w:t>
      </w:r>
    </w:p>
    <w:tbl>
      <w:tblPr>
        <w:tblW w:w="4372" w:type="dxa"/>
        <w:jc w:val="left"/>
        <w:tblInd w:w="0" w:type="dxa"/>
        <w:tblLayout w:type="fixed"/>
        <w:tblCellMar>
          <w:top w:w="0" w:type="dxa"/>
          <w:left w:w="0" w:type="dxa"/>
          <w:bottom w:w="0" w:type="dxa"/>
          <w:right w:w="0" w:type="dxa"/>
        </w:tblCellMar>
      </w:tblPr>
      <w:tblGrid>
        <w:gridCol w:w="3466"/>
        <w:gridCol w:w="109"/>
        <w:gridCol w:w="211"/>
        <w:gridCol w:w="58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00910" cy="175260"/>
                      <wp:effectExtent l="0" t="0" r="0" b="0"/>
                      <wp:wrapNone/>
                      <wp:docPr id="183" name="Frame18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72110" cy="175260"/>
                      <wp:effectExtent l="0" t="0" r="0" b="0"/>
                      <wp:wrapNone/>
                      <wp:docPr id="186" name="Frame18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Three months ending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future cash flows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776</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 Commitments and Contingencies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13 - Mezzanine Equity and Stockholders’ Equity (Deficit)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Authorized Shares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Legacy Adagio’s Amended and Restated Articles of Incorporation authorized the issuance of two classes of stock designated as common and preferred stock, each having a par value of $0.001 per share. The number of shares </w:t>
      </w:r>
      <w:r>
        <w:rPr>
          <w:rFonts w:ascii="Times New Roman;Times;serif" w:hAnsi="Times New Roman;Times;serif"/>
          <w:b w:val="false"/>
          <w:i w:val="false"/>
          <w:caps w:val="false"/>
          <w:smallCaps w:val="false"/>
          <w:sz w:val="20"/>
        </w:rPr>
        <w:t>authorized</w:t>
      </w:r>
      <w:r>
        <w:rPr>
          <w:rFonts w:ascii="Times New Roman;Times;serif" w:hAnsi="Times New Roman;Times;serif"/>
          <w:sz w:val="20"/>
        </w:rPr>
        <w:t xml:space="preserve"> as of July 30, 2024 was 11,534,892 consisting of 6,594,946 shares of common stock and 4,939,946 shares of preferred stock, designated as Series A, Series B, Series C, Series D, and Series E preferred stock in the amounts included in the table below.</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Preferred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Legacy Adagio classified convertible preferred stock as temporary equity on the accompanying condensed consolidated balance sheets, as all such preferred stock was redeemable either at the option of the holder or upon an event outside the control of Legacy Adagio. The requirements of a deemed liquidation event, as defined within its amended and restated certificate of incorporation filed in November 2020, were not entirely within Legacy Adagio’s control. In the event of such a deemed liquidation event, the proceeds from the event would have been distributed in accordance with the liquidation preferences, provided that the holders of preferred stock had not converted their shares into common stock. Legacy Adagio recorded the issuance of preferred stock at the issuance price less related issuance costs. Legacy Adagio had not adjusted the carrying value of outstanding preferred stock to its liquidation preference because a deemed liquidation event was not probable as of the end of the reporting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from January 1, 2024, to July 30, 2024 (Predecessor), the following transactions were executed:</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On June 25, 2024, 207,902 shares of Series E Preferred Stock were extinguished and exchanged for 207,902 shares of pre-funded warrants to purchase Series E Preferred Stock. Refer to </w:t>
            </w:r>
            <w:r>
              <w:rPr>
                <w:rFonts w:ascii="Times New Roman;Times;serif" w:hAnsi="Times New Roman;Times;serif"/>
                <w:i/>
                <w:sz w:val="20"/>
              </w:rPr>
              <w:t>Note 10 - Warrants</w:t>
            </w:r>
            <w:r>
              <w:rPr>
                <w:rFonts w:ascii="Times New Roman;Times;serif" w:hAnsi="Times New Roman;Times;serif"/>
                <w:sz w:val="20"/>
              </w:rPr>
              <w:t xml:space="preserve"> for additional information regarding the Series E Pre-funded Warrants. The difference between the carrying value of the extinguished Series E Preferred Stock and the fair value of the issued Series E Pre-funded Warrants was recorded in additional paid-in capital.</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the Closing Date, the Legacy Adagio’s 4,732,044</w:t>
            </w:r>
            <w:r>
              <w:rPr>
                <w:caps w:val="false"/>
                <w:smallCaps w:val="false"/>
              </w:rPr>
              <w:t xml:space="preserve"> </w:t>
            </w:r>
            <w:r>
              <w:rPr>
                <w:rFonts w:ascii="Times New Roman;Times;serif" w:hAnsi="Times New Roman;Times;serif"/>
                <w:b w:val="false"/>
                <w:i w:val="false"/>
                <w:caps w:val="false"/>
                <w:smallCaps w:val="false"/>
                <w:sz w:val="20"/>
              </w:rPr>
              <w:t>convertible preferred</w:t>
            </w:r>
            <w:r>
              <w:rPr>
                <w:caps w:val="false"/>
                <w:smallCaps w:val="false"/>
              </w:rPr>
              <w:t xml:space="preserve"> </w:t>
            </w:r>
            <w:r>
              <w:rPr>
                <w:rFonts w:ascii="Times New Roman;Times;serif" w:hAnsi="Times New Roman;Times;serif"/>
                <w:b w:val="false"/>
                <w:i w:val="false"/>
                <w:caps w:val="false"/>
                <w:smallCaps w:val="false"/>
                <w:sz w:val="20"/>
              </w:rPr>
              <w:t>stocks were converted into shares of Legacy Adagio common stock on a one-to-one basis prior to Adagio Merger Effective Time and then converted into 789,337</w:t>
            </w:r>
            <w:r>
              <w:rPr>
                <w:caps w:val="false"/>
                <w:smallCaps w:val="false"/>
              </w:rPr>
              <w:t xml:space="preserve"> </w:t>
            </w:r>
            <w:r>
              <w:rPr>
                <w:rFonts w:ascii="Times New Roman;Times;serif" w:hAnsi="Times New Roman;Times;serif"/>
                <w:b w:val="false"/>
                <w:i w:val="false"/>
                <w:caps w:val="false"/>
                <w:smallCaps w:val="false"/>
                <w:sz w:val="20"/>
              </w:rPr>
              <w:t>shares of the Company’s common stock and additional paid-in capital at the Closing based on the exchange ratio set forth in the Business Combination Agreement.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were no other preferred stock transactions during the year ended December 31, 2024 (Successor).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576" w:name="Tc_KMLQnbgNy0SXiZK2Z48JNg_7_14"/>
      <w:bookmarkStart w:id="1577" w:name="Tc_G9mDZgAZuEum8ypJjc0DUQ_7_6"/>
      <w:bookmarkStart w:id="1578" w:name="Tc_0aHfZC_YGU-rdFJgwocr6g_6_0"/>
      <w:bookmarkStart w:id="1579" w:name="Tc_zLv3_izODU2PACKCpg0A0w_5_0"/>
      <w:bookmarkStart w:id="1580" w:name="Tc_wFX5KpRnHkKWBbbcvGJpmw_4_0"/>
      <w:bookmarkStart w:id="1581" w:name="Tc_VTtnhus_yUGnLVpu12k81Q_3_0"/>
      <w:bookmarkStart w:id="1582" w:name="Tc_8hdmu9oGuE25w0rsP_pgLg_2_14"/>
      <w:bookmarkStart w:id="1583" w:name="Tc_S6g4YMblDE-Y6264IKcbIw_2_9"/>
      <w:bookmarkStart w:id="1584" w:name="Tc_9ZQwpjpKikWW3IkI4c23LA_2_6"/>
      <w:bookmarkStart w:id="1585" w:name="Tc_Wh8JTJrY2UyD5XU1TiU0_g_2_0"/>
      <w:bookmarkStart w:id="1586" w:name="Tc_S1vGv2vOp0CY23MRIyAWsw_1_14"/>
      <w:bookmarkStart w:id="1587" w:name="Tc_NHJFKLKrN0Wl5AI2V-el8w_1_12"/>
      <w:bookmarkStart w:id="1588" w:name="Tc_ddTjl3oK6EGZgMAP9BH4Qg_1_9"/>
      <w:bookmarkStart w:id="1589" w:name="Tc_--nqIee5GUKyuAxLQY4ARQ_1_6"/>
      <w:bookmarkStart w:id="1590" w:name="Tc_UrC-U-i_9EiPgfE87pO6eg_1_4"/>
      <w:bookmarkStart w:id="1591" w:name="Tc_lhDnrXAxvUCrJMMNjPRlVQ_1_2"/>
      <w:bookmarkStart w:id="1592" w:name="Tc_-Iwy82wnO0qh5-NtqQbHHA_1_0"/>
      <w:bookmarkStart w:id="1593" w:name="_a238f5e4_c99e_4800_aa25_987090448eca"/>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Fonts w:ascii="Times New Roman;Times;serif" w:hAnsi="Times New Roman;Times;serif"/>
          <w:sz w:val="20"/>
        </w:rPr>
        <w:t>The following table summarizes information related to the issuance of Legacy Adagio’s preferred stock as of July 30, 2024 (Predecessor) (in thousands, except share data):</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162"/>
        <w:gridCol w:w="109"/>
        <w:gridCol w:w="1446"/>
        <w:gridCol w:w="109"/>
        <w:gridCol w:w="1516"/>
        <w:gridCol w:w="109"/>
        <w:gridCol w:w="267"/>
        <w:gridCol w:w="856"/>
        <w:gridCol w:w="109"/>
        <w:gridCol w:w="299"/>
        <w:gridCol w:w="810"/>
        <w:gridCol w:w="109"/>
        <w:gridCol w:w="1881"/>
        <w:gridCol w:w="109"/>
        <w:gridCol w:w="278"/>
        <w:gridCol w:w="1036"/>
      </w:tblGrid>
      <w:tr>
        <w:trPr/>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37870" cy="175260"/>
                      <wp:effectExtent l="0" t="0" r="0" b="0"/>
                      <wp:wrapNone/>
                      <wp:docPr id="187" name="Frame187"/>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18210" cy="175260"/>
                      <wp:effectExtent l="0" t="0" r="0" b="0"/>
                      <wp:wrapNone/>
                      <wp:docPr id="189" name="Frame189"/>
                      <a:graphic xmlns:a="http://schemas.openxmlformats.org/drawingml/2006/main">
                        <a:graphicData uri="http://schemas.microsoft.com/office/word/2010/wordprocessingShape">
                          <wps:wsp>
                            <wps:cNvSpPr txBox="1"/>
                            <wps:spPr>
                              <a:xfrm>
                                <a:off x="0" y="0"/>
                                <a:ext cx="91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962660" cy="175260"/>
                      <wp:effectExtent l="0" t="0" r="0" b="0"/>
                      <wp:wrapNone/>
                      <wp:docPr id="191" name="Frame19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9545" cy="175260"/>
                      <wp:effectExtent l="0" t="0" r="0" b="0"/>
                      <wp:wrapNone/>
                      <wp:docPr id="193" name="Frame19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43560" cy="175260"/>
                      <wp:effectExtent l="0" t="0" r="0" b="0"/>
                      <wp:wrapNone/>
                      <wp:docPr id="194" name="Frame19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9865" cy="175260"/>
                      <wp:effectExtent l="0" t="0" r="0" b="0"/>
                      <wp:wrapNone/>
                      <wp:docPr id="196" name="Frame196"/>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14350" cy="175260"/>
                      <wp:effectExtent l="0" t="0" r="0" b="0"/>
                      <wp:wrapNone/>
                      <wp:docPr id="197" name="Frame197"/>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194435" cy="175260"/>
                      <wp:effectExtent l="0" t="0" r="0" b="0"/>
                      <wp:wrapNone/>
                      <wp:docPr id="199" name="Frame199"/>
                      <a:graphic xmlns:a="http://schemas.openxmlformats.org/drawingml/2006/main">
                        <a:graphicData uri="http://schemas.microsoft.com/office/word/2010/wordprocessingShape">
                          <wps:wsp>
                            <wps:cNvSpPr txBox="1"/>
                            <wps:spPr>
                              <a:xfrm>
                                <a:off x="0" y="0"/>
                                <a:ext cx="119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6530" cy="175260"/>
                      <wp:effectExtent l="0" t="0" r="0" b="0"/>
                      <wp:wrapNone/>
                      <wp:docPr id="201" name="Frame20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57860" cy="175260"/>
                      <wp:effectExtent l="0" t="0" r="0" b="0"/>
                      <wp:wrapNone/>
                      <wp:docPr id="202" name="Frame2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 Class</w:t>
            </w:r>
          </w:p>
        </w:tc>
        <w:tc>
          <w:tcPr>
            <w:tcW w:w="109" w:type="dxa"/>
            <w:tcBorders/>
            <w:vAlign w:val="center"/>
          </w:tcPr>
          <w:p>
            <w:pPr>
              <w:pStyle w:val="TableContents"/>
              <w:bidi w:val="0"/>
              <w:spacing w:before="0" w:after="0"/>
              <w:ind w:left="0" w:right="0" w:hanging="0"/>
              <w:jc w:val="center"/>
              <w:rPr/>
            </w:pPr>
            <w:r>
              <w:rPr/>
              <w:t>​</w:t>
            </w:r>
          </w:p>
        </w:tc>
        <w:tc>
          <w:tcPr>
            <w:tcW w:w="1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Authorized</w:t>
            </w:r>
          </w:p>
        </w:tc>
        <w:tc>
          <w:tcPr>
            <w:tcW w:w="109"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Issued and Outstanding</w:t>
            </w:r>
          </w:p>
        </w:tc>
        <w:tc>
          <w:tcPr>
            <w:tcW w:w="109" w:type="dxa"/>
            <w:tcBorders/>
            <w:vAlign w:val="center"/>
          </w:tcPr>
          <w:p>
            <w:pPr>
              <w:pStyle w:val="TableContents"/>
              <w:bidi w:val="0"/>
              <w:spacing w:before="0" w:after="0"/>
              <w:ind w:left="0" w:right="0" w:hanging="0"/>
              <w:jc w:val="center"/>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 (1)</w:t>
            </w:r>
          </w:p>
        </w:tc>
        <w:tc>
          <w:tcPr>
            <w:tcW w:w="109" w:type="dxa"/>
            <w:tcBorders/>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Conversion Price </w:t>
              <w:br/>
              <w:t>Per Share</w:t>
            </w:r>
          </w:p>
        </w:tc>
        <w:tc>
          <w:tcPr>
            <w:tcW w:w="109" w:type="dxa"/>
            <w:tcBorders/>
            <w:vAlign w:val="center"/>
          </w:tcPr>
          <w:p>
            <w:pPr>
              <w:pStyle w:val="TableContents"/>
              <w:bidi w:val="0"/>
              <w:spacing w:before="0" w:after="0"/>
              <w:ind w:left="0" w:right="0" w:hanging="0"/>
              <w:jc w:val="center"/>
              <w:rPr/>
            </w:pPr>
            <w:r>
              <w:rPr/>
              <w:t>​</w:t>
            </w:r>
          </w:p>
        </w:tc>
        <w:tc>
          <w:tcPr>
            <w:tcW w:w="18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Common Stock Equivalent Shares</w:t>
            </w:r>
          </w:p>
        </w:tc>
        <w:tc>
          <w:tcPr>
            <w:tcW w:w="109" w:type="dxa"/>
            <w:tcBorders/>
            <w:vAlign w:val="center"/>
          </w:tcPr>
          <w:p>
            <w:pPr>
              <w:pStyle w:val="TableContents"/>
              <w:bidi w:val="0"/>
              <w:spacing w:before="0" w:after="0"/>
              <w:ind w:left="0" w:right="0" w:hanging="0"/>
              <w:jc w:val="center"/>
              <w:rPr/>
            </w:pPr>
            <w:r>
              <w:rPr/>
              <w:t>​</w:t>
            </w:r>
          </w:p>
        </w:tc>
        <w:tc>
          <w:tcPr>
            <w:tcW w:w="1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Liquidation Preference</w:t>
            </w:r>
          </w:p>
        </w:tc>
      </w:tr>
      <w:tr>
        <w:trPr/>
        <w:tc>
          <w:tcPr>
            <w:tcW w:w="11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A</w:t>
            </w:r>
          </w:p>
        </w:tc>
        <w:tc>
          <w:tcPr>
            <w:tcW w:w="109" w:type="dxa"/>
            <w:tcBorders/>
            <w:shd w:fill="CCEEFF" w:val="clear"/>
            <w:vAlign w:val="center"/>
          </w:tcPr>
          <w:p>
            <w:pPr>
              <w:pStyle w:val="TableContents"/>
              <w:bidi w:val="0"/>
              <w:spacing w:before="0" w:after="0"/>
              <w:ind w:left="0" w:right="0" w:hanging="0"/>
              <w:jc w:val="center"/>
              <w:rPr/>
            </w:pPr>
            <w:r>
              <w:rPr/>
              <w:t>​</w:t>
            </w:r>
          </w:p>
        </w:tc>
        <w:tc>
          <w:tcPr>
            <w:tcW w:w="1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109" w:type="dxa"/>
            <w:tcBorders/>
            <w:shd w:fill="CCEEFF" w:val="clear"/>
            <w:vAlign w:val="center"/>
          </w:tcPr>
          <w:p>
            <w:pPr>
              <w:pStyle w:val="TableContents"/>
              <w:bidi w:val="0"/>
              <w:spacing w:before="0" w:after="0"/>
              <w:ind w:left="0" w:right="0" w:hanging="0"/>
              <w:jc w:val="righ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109" w:type="dxa"/>
            <w:tcBorders/>
            <w:shd w:fill="CCEEFF" w:val="clear"/>
            <w:vAlign w:val="center"/>
          </w:tcPr>
          <w:p>
            <w:pPr>
              <w:pStyle w:val="TableContents"/>
              <w:bidi w:val="0"/>
              <w:spacing w:before="0" w:after="0"/>
              <w:ind w:left="0" w:right="0" w:hanging="0"/>
              <w:jc w:val="right"/>
              <w:rPr/>
            </w:pPr>
            <w:r>
              <w:rPr/>
              <w:t>​</w:t>
            </w:r>
          </w:p>
        </w:tc>
        <w:tc>
          <w:tcPr>
            <w:tcW w:w="1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11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B</w:t>
            </w:r>
          </w:p>
        </w:tc>
        <w:tc>
          <w:tcPr>
            <w:tcW w:w="109" w:type="dxa"/>
            <w:tcBorders/>
            <w:vAlign w:val="center"/>
          </w:tcPr>
          <w:p>
            <w:pPr>
              <w:pStyle w:val="TableContents"/>
              <w:bidi w:val="0"/>
              <w:spacing w:before="0" w:after="0"/>
              <w:ind w:left="0" w:right="0" w:hanging="0"/>
              <w:jc w:val="center"/>
              <w:rPr/>
            </w:pPr>
            <w:r>
              <w:rPr/>
              <w:t>​</w:t>
            </w:r>
          </w:p>
        </w:tc>
        <w:tc>
          <w:tcPr>
            <w:tcW w:w="1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109"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10,626</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109" w:type="dxa"/>
            <w:tcBorders/>
            <w:vAlign w:val="center"/>
          </w:tcPr>
          <w:p>
            <w:pPr>
              <w:pStyle w:val="TableContents"/>
              <w:bidi w:val="0"/>
              <w:spacing w:before="0" w:after="0"/>
              <w:ind w:left="0" w:right="0" w:hanging="0"/>
              <w:jc w:val="right"/>
              <w:rPr/>
            </w:pPr>
            <w:r>
              <w:rPr/>
              <w:t>​</w:t>
            </w:r>
          </w:p>
        </w:tc>
        <w:tc>
          <w:tcPr>
            <w:tcW w:w="1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w:t>
            </w:r>
          </w:p>
        </w:tc>
      </w:tr>
      <w:tr>
        <w:trPr/>
        <w:tc>
          <w:tcPr>
            <w:tcW w:w="11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C</w:t>
            </w:r>
          </w:p>
        </w:tc>
        <w:tc>
          <w:tcPr>
            <w:tcW w:w="109" w:type="dxa"/>
            <w:tcBorders/>
            <w:shd w:fill="CCEEFF" w:val="clear"/>
            <w:vAlign w:val="center"/>
          </w:tcPr>
          <w:p>
            <w:pPr>
              <w:pStyle w:val="TableContents"/>
              <w:bidi w:val="0"/>
              <w:spacing w:before="0" w:after="0"/>
              <w:ind w:left="0" w:right="0" w:hanging="0"/>
              <w:jc w:val="center"/>
              <w:rPr/>
            </w:pPr>
            <w:r>
              <w:rPr/>
              <w:t>​</w:t>
            </w:r>
          </w:p>
        </w:tc>
        <w:tc>
          <w:tcPr>
            <w:tcW w:w="14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109" w:type="dxa"/>
            <w:tcBorders/>
            <w:shd w:fill="CCEEFF" w:val="clear"/>
            <w:vAlign w:val="center"/>
          </w:tcPr>
          <w:p>
            <w:pPr>
              <w:pStyle w:val="TableContents"/>
              <w:bidi w:val="0"/>
              <w:spacing w:before="0" w:after="0"/>
              <w:ind w:left="0" w:right="0" w:hanging="0"/>
              <w:jc w:val="righ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15,988</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c>
          <w:tcPr>
            <w:tcW w:w="109" w:type="dxa"/>
            <w:tcBorders/>
            <w:shd w:fill="CCEEFF" w:val="clear"/>
            <w:vAlign w:val="center"/>
          </w:tcPr>
          <w:p>
            <w:pPr>
              <w:pStyle w:val="TableContents"/>
              <w:bidi w:val="0"/>
              <w:spacing w:before="0" w:after="0"/>
              <w:ind w:left="0" w:right="0" w:hanging="0"/>
              <w:jc w:val="right"/>
              <w:rPr/>
            </w:pPr>
            <w:r>
              <w:rPr/>
              <w:t>​</w:t>
            </w:r>
          </w:p>
        </w:tc>
        <w:tc>
          <w:tcPr>
            <w:tcW w:w="1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w:t>
            </w:r>
          </w:p>
        </w:tc>
      </w:tr>
      <w:tr>
        <w:trPr/>
        <w:tc>
          <w:tcPr>
            <w:tcW w:w="11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D</w:t>
            </w:r>
          </w:p>
        </w:tc>
        <w:tc>
          <w:tcPr>
            <w:tcW w:w="109" w:type="dxa"/>
            <w:tcBorders/>
            <w:vAlign w:val="center"/>
          </w:tcPr>
          <w:p>
            <w:pPr>
              <w:pStyle w:val="TableContents"/>
              <w:bidi w:val="0"/>
              <w:spacing w:before="0" w:after="0"/>
              <w:ind w:left="0" w:right="0" w:hanging="0"/>
              <w:jc w:val="center"/>
              <w:rPr/>
            </w:pPr>
            <w:r>
              <w:rPr/>
              <w:t>​</w:t>
            </w:r>
          </w:p>
        </w:tc>
        <w:tc>
          <w:tcPr>
            <w:tcW w:w="14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109"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19,990</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109" w:type="dxa"/>
            <w:tcBorders/>
            <w:vAlign w:val="center"/>
          </w:tcPr>
          <w:p>
            <w:pPr>
              <w:pStyle w:val="TableContents"/>
              <w:bidi w:val="0"/>
              <w:spacing w:before="0" w:after="0"/>
              <w:ind w:left="0" w:right="0" w:hanging="0"/>
              <w:jc w:val="right"/>
              <w:rPr/>
            </w:pPr>
            <w:r>
              <w:rPr/>
              <w:t>​</w:t>
            </w:r>
          </w:p>
        </w:tc>
        <w:tc>
          <w:tcPr>
            <w:tcW w:w="1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109"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11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E</w:t>
            </w:r>
          </w:p>
        </w:tc>
        <w:tc>
          <w:tcPr>
            <w:tcW w:w="109" w:type="dxa"/>
            <w:tcBorders/>
            <w:shd w:fill="CCEEFF" w:val="clear"/>
            <w:vAlign w:val="center"/>
          </w:tcPr>
          <w:p>
            <w:pPr>
              <w:pStyle w:val="TableContents"/>
              <w:bidi w:val="0"/>
              <w:spacing w:before="0" w:after="0"/>
              <w:ind w:left="0" w:right="0" w:hanging="0"/>
              <w:jc w:val="center"/>
              <w:rPr/>
            </w:pPr>
            <w:r>
              <w:rPr/>
              <w:t>​</w:t>
            </w:r>
          </w:p>
        </w:tc>
        <w:tc>
          <w:tcPr>
            <w:tcW w:w="14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1,879,700</w:t>
            </w:r>
          </w:p>
        </w:tc>
        <w:tc>
          <w:tcPr>
            <w:tcW w:w="109" w:type="dxa"/>
            <w:tcBorders/>
            <w:shd w:fill="CCEEFF" w:val="clear"/>
            <w:vAlign w:val="center"/>
          </w:tcPr>
          <w:p>
            <w:pPr>
              <w:pStyle w:val="TableContents"/>
              <w:bidi w:val="0"/>
              <w:spacing w:before="0" w:after="0"/>
              <w:ind w:left="0" w:right="0" w:hanging="0"/>
              <w:jc w:val="right"/>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1,671,798</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37,679</w:t>
            </w:r>
          </w:p>
        </w:tc>
        <w:tc>
          <w:tcPr>
            <w:tcW w:w="109"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center"/>
              <w:rPr/>
            </w:pPr>
            <w:r>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109" w:type="dxa"/>
            <w:tcBorders/>
            <w:shd w:fill="CCEEFF" w:val="clear"/>
            <w:vAlign w:val="center"/>
          </w:tcPr>
          <w:p>
            <w:pPr>
              <w:pStyle w:val="TableContents"/>
              <w:bidi w:val="0"/>
              <w:spacing w:before="0" w:after="0"/>
              <w:ind w:left="0" w:right="0" w:hanging="0"/>
              <w:jc w:val="right"/>
              <w:rPr/>
            </w:pPr>
            <w:r>
              <w:rPr/>
              <w:t>​</w:t>
            </w:r>
          </w:p>
        </w:tc>
        <w:tc>
          <w:tcPr>
            <w:tcW w:w="1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1,671,798</w:t>
            </w:r>
          </w:p>
        </w:tc>
        <w:tc>
          <w:tcPr>
            <w:tcW w:w="109" w:type="dxa"/>
            <w:tcBorders/>
            <w:shd w:fill="CCEEFF" w:val="clear"/>
            <w:vAlign w:val="center"/>
          </w:tcPr>
          <w:p>
            <w:pPr>
              <w:pStyle w:val="TableContents"/>
              <w:bidi w:val="0"/>
              <w:spacing w:before="0" w:after="0"/>
              <w:ind w:left="0" w:right="0" w:hanging="0"/>
              <w:jc w:val="righ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37,799</w:t>
            </w:r>
          </w:p>
        </w:tc>
      </w:tr>
      <w:tr>
        <w:trPr/>
        <w:tc>
          <w:tcPr>
            <w:tcW w:w="116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4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109" w:type="dxa"/>
            <w:tcBorders/>
            <w:vAlign w:val="center"/>
          </w:tcPr>
          <w:p>
            <w:pPr>
              <w:pStyle w:val="TableContents"/>
              <w:bidi w:val="0"/>
              <w:spacing w:before="0" w:after="0"/>
              <w:ind w:left="0" w:right="0" w:hanging="0"/>
              <w:jc w:val="right"/>
              <w:rPr/>
            </w:pPr>
            <w:r>
              <w:rPr/>
              <w:t>​</w:t>
            </w:r>
          </w:p>
        </w:tc>
        <w:tc>
          <w:tcPr>
            <w:tcW w:w="15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4,732,044</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86,783</w:t>
            </w:r>
          </w:p>
        </w:tc>
        <w:tc>
          <w:tcPr>
            <w:tcW w:w="109"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center"/>
              <w:rPr/>
            </w:pPr>
            <w:r>
              <w:rPr/>
              <w:t>​</w:t>
            </w:r>
          </w:p>
        </w:tc>
        <w:tc>
          <w:tcPr>
            <w:tcW w:w="81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4,732,044</w:t>
            </w:r>
          </w:p>
        </w:tc>
        <w:tc>
          <w:tcPr>
            <w:tcW w:w="109" w:type="dxa"/>
            <w:tcBorders/>
            <w:vAlign w:val="center"/>
          </w:tcPr>
          <w:p>
            <w:pPr>
              <w:pStyle w:val="TableContents"/>
              <w:bidi w:val="0"/>
              <w:spacing w:before="0" w:after="0"/>
              <w:ind w:left="0" w:right="0" w:hanging="0"/>
              <w:jc w:val="righ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86,936</w:t>
            </w:r>
          </w:p>
        </w:tc>
      </w:tr>
    </w:tbl>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carrying value reflects the gross proceeds received from the sale of the preferred stock less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relative rights, terms, privileges, and restrictions granted to or imposed upon preferred stockholders are described below:</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Preferred Stock - Dividends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Prior and in preference to any declaration or payment of any dividends to the holders of common stock, the holders of preferred stock were entitled to receive dividends out of any assets legally available therefore, at the rate of eight percent (8%) of the original issue price per share per annum. The original issue price of Series A, Series B, Series C, Series D, and Series E was $9.23, $13.04, $16.30, $20.16, and $22.61, respectively. The dividends were not cumulative.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the event that the dividend amount declared by the Board of Directors of Legacy Adagio was insufficient to permit payment of the full aforesaid dividends, such dividends would have been paid ratably to each holder of preferred stock in proportion to the dividend amounts to which each holder of preferred stock was entitled. After payment of the full amount of the aforesaid dividends, any additional dividends declared would have been distributed to the holder of common stock and preferred stock in proportion to the number of shares of common stock that were held by such holder on an as-converted to common stock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dividends on preferred stock or common stock had been declared by the Board of Directors as of July 30, 2024 (Predecessor) or as of the Closing date.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Liquidation Preference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event of liquidation of Legacy Adagio, including a merger, acquisition, or sale of all or substantially all the assets of Legacy Adagio, holders of preferred stock were entitled to receive an amount equal to the original issue price of each share of preferred stock held plus any dividends declared but not yet paid, prior to any distribution of assets or surplus funds of Legacy Adagio to common stock shareholders. After payment had been made to the holders of the preferred stock of the full amounts to which they were entitled as noted above, the remaining assets would have been distributed among the holders of the common stock pro rata based on the number of shares of common stock held by each holder.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at the time of liquidation, the assets were insufficient to permit full payment of the liquidation preferences of the series listed in the order above, the assets would have been distributed ratably among the holders of the series in proportion to the full preferential amount each such holder was otherwise entitled to receive in respect to such shares.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Voting Rights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So long as the shares of preferred stock that were convertible into at least 1,000,000 shares of common stock (subject to appropriate adjustment in the event of any stock dividends, stock split, combination or other similar recapitalization with respect to the common stock) were issued and outstanding, the holders of preferred stock, voting as a separate class on an as-converted to common stock basis, had the right to elect four members of the Board of Directors of Legacy Adagio. The holders of common stock, voting as a separate class, had the right to elect one member of the Board of Directors. The remaining directors would be elected by the holders of the common stock and the preferred stock, voting together as a single class on an as-converted to common stock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all other matters, the holders of the preferred stock had full voting rights and powers equal to the voting rights and powers of the holders of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Fractional votes by the holders of preferred stock were not permitted and any fractional voting rights would be rounded to the nearest whole number.</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Conversion Rights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share of preferred stock was convertible, at the option of the holder, into shares of common stock without the payment of any additional consideration. The preferred stock was convertible into the number of fully paid and nonassessable shares of common stock, which results from dividing the conversion price per share in effect for the preferred stock at the time of conversion into the per share conversion value. The initial per share conversion price of Series A, Series B, Series C, Series D, and Series E was $9.23, $13.04, $16.30, $20.16, and $22.61, respectively. The initial conversion price was subject to adjustment for antidilution provisions, as defined. The per share conversion value of Series A, Series B, Series C, Series D, and Series E was $9.23, $13.04, $16.30, $20.16, and $22.61,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share of preferred stock would automatically be converted into shares of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 common stock in a firm commitment, underwritten public offering registered under the Securities Act of 1933, as amended, with aggregate offering proceeds to Legacy Adagio (before deduction for underwriters’ discounts and expenses relating to the issuance) of at least $75 million and a public offering price per share equal to at least $67.83 (subject to adjustments for stock dividends, splits, combinations and similar events).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Protective Provisions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So long as there were at least 1,000,000 shares of preferred stock outstanding, Legacy Adagio shall not (by merger, reclassification, amendment or otherwise), without first obtaining the approval of the holders of at least seventy percent (70%) of the then outstanding shares of preferred stock, voting separately as a class, to, among other things: (i) amend the certificate of incorporation or bylaws; (ii) adversely alter or change the rights, preferences or privileges of the preferred stock; (iii) increase or decrease the aggregate number of authorized shares of any class of the capital stock of Legacy Adagio.</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So long as shares of Series E preferred stock that were convertible into at least 500,000 shares of common stock (subject to appropriate adjustment in the event of any stock dividend, stock split, combination or other similar recapitalization with respect to the common stock) were issued and outstanding, Legacy Adagio did not, directly or indirectly (by merger, reclassification, amendment or otherwise), without first obtaining the approval of the holders of at least a majority of the voting power of the then outstanding shares of Series E preferred stock, voting separately as a class, do, among other things: (i) amend, alter, repeal or waive any provision of the certificate of incorporation or bylaws of Legacy Adagio in a manner that adversely affected the holders of the Series E preferred stock in a manner different from any other series of preferred stock; (ii) create or authorize the creation of or issue any other security convertible into or exercisable for any equity security having rights, preferences or privileges senior to the Series E preferred stock; or (iii) increase or decrease the authorized number of shares of Series E preferred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both"/>
        <w:rPr>
          <w:rFonts w:ascii="Times New Roman;Times;serif" w:hAnsi="Times New Roman;Times;serif"/>
          <w:b/>
          <w:i/>
          <w:sz w:val="20"/>
        </w:rPr>
      </w:pPr>
      <w:bookmarkStart w:id="1594" w:name="Tc_r0idHfXofUST4aucuTkqBA_8_0"/>
      <w:bookmarkStart w:id="1595" w:name="Tc_V6aUED8QNU-io1uboJegBg_7_0"/>
      <w:bookmarkStart w:id="1596" w:name="Tc_L5FO7Dtra0mReni6SSX5MQ_6_0"/>
      <w:bookmarkStart w:id="1597" w:name="Tc_EyMfMR-mwESACgls1fYo2A_5_0"/>
      <w:bookmarkStart w:id="1598" w:name="Tc_hQ6DED1_3kK55p-7h3qAUw_4_0"/>
      <w:bookmarkStart w:id="1599" w:name="Tc_eZ6n4AO2a0OlNgWekKvcVA_3_0"/>
      <w:bookmarkStart w:id="1600" w:name="Tc_pzrHHIvY5kWsmqW7sDbyVg_2_0"/>
      <w:bookmarkStart w:id="1601" w:name="Tc_C-gMe4vJ_0qtlANs1ne9ug_1_2"/>
      <w:bookmarkEnd w:id="1594"/>
      <w:bookmarkEnd w:id="1595"/>
      <w:bookmarkEnd w:id="1596"/>
      <w:bookmarkEnd w:id="1597"/>
      <w:bookmarkEnd w:id="1598"/>
      <w:bookmarkEnd w:id="1599"/>
      <w:bookmarkEnd w:id="1600"/>
      <w:bookmarkEnd w:id="1601"/>
      <w:r>
        <w:rPr>
          <w:rFonts w:ascii="Times New Roman;Times;serif" w:hAnsi="Times New Roman;Times;serif"/>
          <w:b/>
          <w:i/>
          <w:sz w:val="20"/>
        </w:rPr>
        <w:t>Common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Business Combination, each share of Legacy Adagio common stock was entitled to one vote. As of December 31, 2024 (Predecessor), Legacy Adagio was authorized to issue up to 6,594,946 of common stock at a par value of $0.001 per share out of which 786,510 shares were issued and 779,908 shares were outstanding.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Closing Date, as explained in </w:t>
      </w:r>
      <w:r>
        <w:rPr>
          <w:rFonts w:ascii="Times New Roman;Times;serif" w:hAnsi="Times New Roman;Times;serif"/>
          <w:i/>
          <w:sz w:val="20"/>
        </w:rPr>
        <w:t>Note 3 - Forward Merger</w:t>
      </w:r>
      <w:r>
        <w:rPr>
          <w:rFonts w:ascii="Times New Roman;Times;serif" w:hAnsi="Times New Roman;Times;serif"/>
          <w:sz w:val="20"/>
        </w:rPr>
        <w:t>, each share of Legacy Adagio issued and outstanding prior to the Closing Date was converted into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2025 (Successor), the Company’s certificate of incorporation, as amended and restated, authorized the Company to issue up to 210,000,000 of common stock at a par value of $0.0001 per share, and 20,000,000 shares of preferred stock, par value $0.0001 per share. As of September 30, 2025 (Successor), 15,381,565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including 1,147,500 Sponsor </w:t>
      </w:r>
      <w:r>
        <w:rPr>
          <w:rFonts w:ascii="Times New Roman;Times;serif" w:hAnsi="Times New Roman;Times;serif"/>
          <w:b w:val="false"/>
          <w:i w:val="false"/>
          <w:caps w:val="false"/>
          <w:smallCaps w:val="false"/>
          <w:sz w:val="20"/>
        </w:rPr>
        <w:t>Earnout</w:t>
      </w:r>
      <w:r>
        <w:rPr>
          <w:rFonts w:ascii="Times New Roman;Times;serif" w:hAnsi="Times New Roman;Times;serif"/>
          <w:sz w:val="20"/>
        </w:rPr>
        <w:t xml:space="preserve"> (as defined below).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September 2024, the Company issued 1,147,500 shares of the Company’s Common Stock (such issuance, the “Sponsor Earnout”) to the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for any 20 trading days within any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trading day period from and after the Closing Date and (ii) immediately prior to the consummation of a company sale during the Earn-Out Period.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the reporting date, the vesting of the Sponsor Earnout was not considered probable.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holders of the Company’s common stock are entitled to receive dividends whenever funds are legally available, when and if declared by the Company’s Board of Directors. As of September 30, 2025 (Successor), no cash dividend has been declared to date. Each share of the Company’s common stock is entitled to one vote.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below summarizes the number of shares of common stock outstanding immediately following the Closing:</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8677"/>
        <w:gridCol w:w="109"/>
        <w:gridCol w:w="1419"/>
      </w:tblGrid>
      <w:tr>
        <w:trPr/>
        <w:tc>
          <w:tcPr>
            <w:tcW w:w="8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509895" cy="175260"/>
                      <wp:effectExtent l="0" t="0" r="0" b="0"/>
                      <wp:wrapNone/>
                      <wp:docPr id="203" name="Frame203"/>
                      <a:graphic xmlns:a="http://schemas.openxmlformats.org/drawingml/2006/main">
                        <a:graphicData uri="http://schemas.microsoft.com/office/word/2010/wordprocessingShape">
                          <wps:wsp>
                            <wps:cNvSpPr txBox="1"/>
                            <wps:spPr>
                              <a:xfrm>
                                <a:off x="0" y="0"/>
                                <a:ext cx="550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901065" cy="175260"/>
                      <wp:effectExtent l="0" t="0" r="0" b="0"/>
                      <wp:wrapNone/>
                      <wp:docPr id="205" name="Frame205"/>
                      <a:graphic xmlns:a="http://schemas.openxmlformats.org/drawingml/2006/main">
                        <a:graphicData uri="http://schemas.microsoft.com/office/word/2010/wordprocessingShape">
                          <wps:wsp>
                            <wps:cNvSpPr txBox="1"/>
                            <wps:spPr>
                              <a:xfrm>
                                <a:off x="0" y="0"/>
                                <a:ext cx="901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6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 of Shares</w:t>
            </w:r>
          </w:p>
        </w:tc>
      </w:tr>
      <w:tr>
        <w:trPr/>
        <w:tc>
          <w:tcPr>
            <w:tcW w:w="8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from 2024 PIPE Financing for cash</w:t>
            </w:r>
          </w:p>
        </w:tc>
        <w:tc>
          <w:tcPr>
            <w:tcW w:w="109"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3,287,018</w:t>
            </w:r>
          </w:p>
        </w:tc>
      </w:tr>
      <w:tr>
        <w:trPr/>
        <w:tc>
          <w:tcPr>
            <w:tcW w:w="8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convertible promissory notes</w:t>
            </w:r>
          </w:p>
        </w:tc>
        <w:tc>
          <w:tcPr>
            <w:tcW w:w="109" w:type="dxa"/>
            <w:tcBorders/>
            <w:vAlign w:val="center"/>
          </w:tcPr>
          <w:p>
            <w:pPr>
              <w:pStyle w:val="TableContents"/>
              <w:bidi w:val="0"/>
              <w:spacing w:before="0" w:after="0"/>
              <w:ind w:left="0" w:right="0" w:hanging="0"/>
              <w:jc w:val="left"/>
              <w:rPr/>
            </w:pPr>
            <w:r>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355,100</w:t>
            </w:r>
          </w:p>
        </w:tc>
      </w:tr>
      <w:tr>
        <w:trPr/>
        <w:tc>
          <w:tcPr>
            <w:tcW w:w="8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Class A ordinary shares and Class B ordinary shares</w:t>
            </w:r>
          </w:p>
        </w:tc>
        <w:tc>
          <w:tcPr>
            <w:tcW w:w="109"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2,089,000</w:t>
            </w:r>
          </w:p>
        </w:tc>
      </w:tr>
      <w:tr>
        <w:trPr/>
        <w:tc>
          <w:tcPr>
            <w:tcW w:w="8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Class A ordinary shares subject to redemption</w:t>
            </w:r>
          </w:p>
        </w:tc>
        <w:tc>
          <w:tcPr>
            <w:tcW w:w="109" w:type="dxa"/>
            <w:tcBorders/>
            <w:vAlign w:val="center"/>
          </w:tcPr>
          <w:p>
            <w:pPr>
              <w:pStyle w:val="TableContents"/>
              <w:bidi w:val="0"/>
              <w:spacing w:before="0" w:after="0"/>
              <w:ind w:left="0" w:right="0" w:hanging="0"/>
              <w:jc w:val="left"/>
              <w:rPr/>
            </w:pPr>
            <w:r>
              <w:rPr/>
              <w:t>​</w:t>
            </w:r>
          </w:p>
        </w:tc>
        <w:tc>
          <w:tcPr>
            <w:tcW w:w="14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123,520</w:t>
            </w:r>
          </w:p>
        </w:tc>
      </w:tr>
      <w:tr>
        <w:trPr/>
        <w:tc>
          <w:tcPr>
            <w:tcW w:w="8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purchase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14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r>
      <w:tr>
        <w:trPr/>
        <w:tc>
          <w:tcPr>
            <w:tcW w:w="8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shares issued and reclassification of Class A ordinary shares subject to non-redemption agreements and open market subscription agreements</w:t>
            </w:r>
          </w:p>
        </w:tc>
        <w:tc>
          <w:tcPr>
            <w:tcW w:w="109" w:type="dxa"/>
            <w:tcBorders/>
            <w:vAlign w:val="center"/>
          </w:tcPr>
          <w:p>
            <w:pPr>
              <w:pStyle w:val="TableContents"/>
              <w:bidi w:val="0"/>
              <w:spacing w:before="0" w:after="0"/>
              <w:ind w:left="0" w:right="0" w:hanging="0"/>
              <w:jc w:val="left"/>
              <w:rPr/>
            </w:pPr>
            <w:r>
              <w:rPr/>
              <w:t>​</w:t>
            </w:r>
          </w:p>
        </w:tc>
        <w:tc>
          <w:tcPr>
            <w:tcW w:w="14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761,229</w:t>
            </w:r>
          </w:p>
        </w:tc>
      </w:tr>
      <w:tr>
        <w:trPr/>
        <w:tc>
          <w:tcPr>
            <w:tcW w:w="86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41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13,387,636</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602" w:name="Tc_Q-2GEsgtvEyFBrRHsUHTaA_10_0"/>
      <w:bookmarkStart w:id="1603" w:name="Tc_3huJc6Wle0OqfLSKf9DECg_9_0"/>
      <w:bookmarkStart w:id="1604" w:name="Tc_bxBcju3XQk-98RlJu6g_xQ_8_0"/>
      <w:bookmarkStart w:id="1605" w:name="Tc_tDr_MkyowUO4b-sXLgdN0Q_7_0"/>
      <w:bookmarkStart w:id="1606" w:name="Tc_kCN0FAaFdUKYPwRvioIDfg_6_0"/>
      <w:bookmarkStart w:id="1607" w:name="Tc_ygAHazP__EGhqr-SoHPmMg_5_0"/>
      <w:bookmarkStart w:id="1608" w:name="Tc_7_936_V8CU6dTkWatkuvyQ_4_0"/>
      <w:bookmarkStart w:id="1609" w:name="Tc_YS-xdhdFWkmjmL2G3pUTBA_3_0"/>
      <w:bookmarkStart w:id="1610" w:name="Tc_K7K_sSUutUuZUfBde6mWCw_2_4"/>
      <w:bookmarkStart w:id="1611" w:name="Tc_MCFpL8K5_Eea6TI3hEIKjA_2_2"/>
      <w:bookmarkStart w:id="1612" w:name="Tc_eTAFKZ-GmU-fo2ppkAy9Cw_1_4"/>
      <w:bookmarkStart w:id="1613" w:name="Tc_4AqA3zkyFUiukZyCOd3n9w_1_2"/>
      <w:bookmarkEnd w:id="1602"/>
      <w:bookmarkEnd w:id="1603"/>
      <w:bookmarkEnd w:id="1604"/>
      <w:bookmarkEnd w:id="1605"/>
      <w:bookmarkEnd w:id="1606"/>
      <w:bookmarkEnd w:id="1607"/>
      <w:bookmarkEnd w:id="1608"/>
      <w:bookmarkEnd w:id="1609"/>
      <w:bookmarkEnd w:id="1610"/>
      <w:bookmarkEnd w:id="1611"/>
      <w:bookmarkEnd w:id="1612"/>
      <w:bookmarkEnd w:id="1613"/>
      <w:r>
        <w:rPr>
          <w:rFonts w:ascii="Times New Roman;Times;serif" w:hAnsi="Times New Roman;Times;serif"/>
          <w:sz w:val="20"/>
        </w:rPr>
        <w:t>The table below summarizes the Company’s reserved common stock for further issuance as of September 30, 2025 (Successor) and December 31, 2024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6790"/>
        <w:gridCol w:w="109"/>
        <w:gridCol w:w="1606"/>
        <w:gridCol w:w="109"/>
        <w:gridCol w:w="1591"/>
      </w:tblGrid>
      <w:tr>
        <w:trPr/>
        <w:tc>
          <w:tcPr>
            <w:tcW w:w="6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left"/>
              <w:rPr/>
            </w:pPr>
            <w:r>
              <w:rPr/>
              <w:t>​</w:t>
            </w:r>
          </w:p>
        </w:tc>
      </w:tr>
      <w:tr>
        <w:trPr/>
        <w:tc>
          <w:tcPr>
            <w:tcW w:w="679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09" w:type="dxa"/>
            <w:tcBorders/>
            <w:vAlign w:val="center"/>
          </w:tcPr>
          <w:p>
            <w:pPr>
              <w:pStyle w:val="TableContents"/>
              <w:bidi w:val="0"/>
              <w:spacing w:before="0"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Successor</w:t>
            </w:r>
          </w:p>
        </w:tc>
      </w:tr>
      <w:tr>
        <w:trPr/>
        <w:tc>
          <w:tcPr>
            <w:tcW w:w="679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September 30, 2025</w:t>
            </w:r>
          </w:p>
        </w:tc>
        <w:tc>
          <w:tcPr>
            <w:tcW w:w="109"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6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Base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7,528,727</w:t>
            </w:r>
          </w:p>
        </w:tc>
        <w:tc>
          <w:tcPr>
            <w:tcW w:w="109"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7,528,727</w:t>
            </w:r>
          </w:p>
        </w:tc>
      </w:tr>
      <w:tr>
        <w:trPr/>
        <w:tc>
          <w:tcPr>
            <w:tcW w:w="67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Securities Notes</w:t>
            </w:r>
          </w:p>
        </w:tc>
        <w:tc>
          <w:tcPr>
            <w:tcW w:w="109"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3,231,327</w:t>
            </w:r>
          </w:p>
        </w:tc>
        <w:tc>
          <w:tcPr>
            <w:tcW w:w="109"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3,231,327</w:t>
            </w:r>
          </w:p>
        </w:tc>
      </w:tr>
      <w:tr>
        <w:trPr/>
        <w:tc>
          <w:tcPr>
            <w:tcW w:w="6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109"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67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Company’s common stock issuable upon the exercise of outstanding options Legacy Adagio’s equity plans that were assumed in the Business Combination</w:t>
            </w:r>
          </w:p>
        </w:tc>
        <w:tc>
          <w:tcPr>
            <w:tcW w:w="109"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w:t>
            </w:r>
          </w:p>
        </w:tc>
        <w:tc>
          <w:tcPr>
            <w:tcW w:w="109"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6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Equity Incentive Plan</w:t>
            </w:r>
          </w:p>
        </w:tc>
        <w:tc>
          <w:tcPr>
            <w:tcW w:w="109"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509,772</w:t>
            </w:r>
          </w:p>
        </w:tc>
        <w:tc>
          <w:tcPr>
            <w:tcW w:w="109"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4,472,592</w:t>
            </w:r>
          </w:p>
        </w:tc>
      </w:tr>
      <w:tr>
        <w:trPr/>
        <w:tc>
          <w:tcPr>
            <w:tcW w:w="67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Key Employee Equity Incentive Plan</w:t>
            </w:r>
          </w:p>
        </w:tc>
        <w:tc>
          <w:tcPr>
            <w:tcW w:w="109"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3,354,444</w:t>
            </w:r>
          </w:p>
        </w:tc>
        <w:tc>
          <w:tcPr>
            <w:tcW w:w="109"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3,354,444</w:t>
            </w:r>
          </w:p>
        </w:tc>
      </w:tr>
      <w:tr>
        <w:trPr/>
        <w:tc>
          <w:tcPr>
            <w:tcW w:w="6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Employee Stock Purchase Plan</w:t>
            </w:r>
          </w:p>
        </w:tc>
        <w:tc>
          <w:tcPr>
            <w:tcW w:w="109" w:type="dxa"/>
            <w:tcBorders/>
            <w:shd w:fill="CCEEFF" w:val="clear"/>
            <w:vAlign w:val="center"/>
          </w:tcPr>
          <w:p>
            <w:pPr>
              <w:pStyle w:val="TableContents"/>
              <w:bidi w:val="0"/>
              <w:spacing w:before="0" w:after="1"/>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441,293</w:t>
            </w:r>
          </w:p>
        </w:tc>
        <w:tc>
          <w:tcPr>
            <w:tcW w:w="109" w:type="dxa"/>
            <w:tcBorders/>
            <w:shd w:fill="CCEEFF" w:val="clear"/>
            <w:vAlign w:val="center"/>
          </w:tcPr>
          <w:p>
            <w:pPr>
              <w:pStyle w:val="TableContents"/>
              <w:bidi w:val="0"/>
              <w:spacing w:before="0" w:after="1"/>
              <w:ind w:left="0" w:right="0" w:hanging="0"/>
              <w:jc w:val="left"/>
              <w:rPr/>
            </w:pPr>
            <w:r>
              <w:rPr/>
              <w:t>​</w:t>
            </w:r>
          </w:p>
        </w:tc>
        <w:tc>
          <w:tcPr>
            <w:tcW w:w="1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441,293</w:t>
            </w:r>
          </w:p>
        </w:tc>
      </w:tr>
      <w:tr>
        <w:trPr/>
        <w:tc>
          <w:tcPr>
            <w:tcW w:w="67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Common stock reserved for future issuance</w:t>
            </w:r>
          </w:p>
        </w:tc>
        <w:tc>
          <w:tcPr>
            <w:tcW w:w="109" w:type="dxa"/>
            <w:tcBorders/>
            <w:vAlign w:val="center"/>
          </w:tcPr>
          <w:p>
            <w:pPr>
              <w:pStyle w:val="TableContents"/>
              <w:bidi w:val="0"/>
              <w:spacing w:before="0" w:after="1"/>
              <w:ind w:left="0" w:right="0" w:hanging="0"/>
              <w:jc w:val="left"/>
              <w:rPr/>
            </w:pPr>
            <w:r>
              <w:rPr/>
              <w:t>​</w:t>
            </w:r>
          </w:p>
        </w:tc>
        <w:tc>
          <w:tcPr>
            <w:tcW w:w="16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16,573,150</w:t>
            </w:r>
          </w:p>
        </w:tc>
        <w:tc>
          <w:tcPr>
            <w:tcW w:w="109" w:type="dxa"/>
            <w:tcBorders/>
            <w:vAlign w:val="center"/>
          </w:tcPr>
          <w:p>
            <w:pPr>
              <w:pStyle w:val="TableContents"/>
              <w:bidi w:val="0"/>
              <w:spacing w:before="0" w:after="1"/>
              <w:ind w:left="0" w:right="0" w:hanging="0"/>
              <w:jc w:val="left"/>
              <w:rPr/>
            </w:pPr>
            <w:r>
              <w:rPr/>
              <w:t>​</w:t>
            </w:r>
          </w:p>
        </w:tc>
        <w:tc>
          <w:tcPr>
            <w:tcW w:w="159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20,535,970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Note 14 - Stock-Based Compensation</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Predecessor Periods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2012 Stock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January 2011, Legacy Adagio’s Board approved the 2012 Stock Incentive Plan (the “2012 Plan”), which permitted grants of Incentive Stock Options (“ISOs”) and Non-statutory Stock Options (“NSOs”) to employees, directors and consultants. The maximum number of shares that can be granted under the 2012 Plan cannot exceed 1,255,000 shares. The 2012 Plan had a maximum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and as such, terminated in January 2022.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2022 Stock Incentive Plan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2022, the Legacy Adagio’s Board approved, in conjunction with the termination of the 2012 Plan, the 2022 Stock Incentive Plan (the “2022 Plan”), permitting ISOs and NSOs to employees, directors and consultants. The maximum number of shares granted under the 2022 Plan cannot exceed 203,855 plus any shares subject to stock options granted under the 2012 Plan that expired or were otherwise terminated without having been exercised in full, were forfeited, or were repurchased by the Company. The 2022 Plan is intended as the successor to and continuation of the 2012 Plan (thereafter both the 2012 and 2022 Plans are referred to as the “Stock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 Incentive Plan provides a means whereby participants may purchase shares of common stock pursuant to ISOs or NSOs and such persons may be granted shares of common stock for consideration consisting of cash and/or past services rendered to or on behalf of Legacy Adagio. ISOs may only be granted to employees. NSOs and stock purchase rights may be granted to employees and consultants. Generally, options awards only have service conditions that need to be met for the awards to vest, with the exception of grants to two non-employees that had performance obligations that were deemed to be immaterial.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 options generally vest over four years and have a ten-year contractual term. The fair value of each employee and non-employee stock option grant is estimated on the date of grant using the Black-Scholes-Merton option pricing model. As Legacy Adagio lacks company-specific historical and implied volatility information required for valuation, Legacy Adagio estimates its expected stock volatility based on the historical volatility of a publicly traded set of peer companies. Due to the lack of historical exercise history, the expected life term of ISOs that were granted after 2013 was determined using the “simplified method” provided by the Securities and Exchange Commission in Staff Accounting Bulletins Number 107 and 110. The expected life term of NSOs is determined either by using the “simplified method,” or by calculating the time to expiry from the grant date. The risk-free interest rate is determined by reference to the U.S. Treasury yield curve in effect at the time of grant for time periods approximately equal to the expected term of the award. Expected dividend yield is zero as Legacy Adagio has never paid nor does it expect to pay any cash dividend in the near future.</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bookmarkStart w:id="1614" w:name="Tc_jJpdZ0gs0EycVfhWLtpGrw_7_20"/>
      <w:bookmarkStart w:id="1615" w:name="Tc_OGRlQ3Dkf0aE8KLL63VdVg_7_17"/>
      <w:bookmarkStart w:id="1616" w:name="Tc_1ZBuBVjwZU2BYaM09kPfRA_7_16"/>
      <w:bookmarkStart w:id="1617" w:name="Tc_YEyHjJEJJUmiMyKLqUZhvA_7_13"/>
      <w:bookmarkStart w:id="1618" w:name="Tc_PFFiJvYKd0mjiXFNs9rA8w_7_9"/>
      <w:bookmarkStart w:id="1619" w:name="Tc_ItOrk1ffXUO5B2XJTY28cQ_7_6"/>
      <w:bookmarkStart w:id="1620" w:name="Tc_rk8RhTBkpket-R52zC6vww_7_5"/>
      <w:bookmarkStart w:id="1621" w:name="Tc_AUWL6MjVW0uvrjSrhAHL8Q_7_2"/>
      <w:bookmarkStart w:id="1622" w:name="Tc_zgofGWPnFUCKjcQaWG8ChA_7_0"/>
      <w:bookmarkStart w:id="1623" w:name="Tc_E3j3Ejz5z06wR-DOBx0hIQ_6_17"/>
      <w:bookmarkStart w:id="1624" w:name="Tc_cid4vfMu-0-qyIIjYA1csA_6_6"/>
      <w:bookmarkStart w:id="1625" w:name="Tc_qZQVjLjJHkuCLAOBCGwgKw_6_0"/>
      <w:bookmarkStart w:id="1626" w:name="Tc_N_SW0pFZxUC5at9yIUsTgw_5_20"/>
      <w:bookmarkStart w:id="1627" w:name="Tc_nSicA-ko0U6t2l8RQzO5Zw_5_17"/>
      <w:bookmarkStart w:id="1628" w:name="Tc_u5tsVc4dwkyQE45rldDwoQ_5_16"/>
      <w:bookmarkStart w:id="1629" w:name="Tc_6FCsxUrxAUeb-3Jfdjo2Iw_5_13"/>
      <w:bookmarkStart w:id="1630" w:name="Tc_SB2IW9xse0GG3cSWeDdrvQ_5_9"/>
      <w:bookmarkStart w:id="1631" w:name="Tc_U5UA52EiW02L_94cihYkaw_5_6"/>
      <w:bookmarkStart w:id="1632" w:name="Tc_xqgYpQYRqUyJaiBUmiSP8Q_5_5"/>
      <w:bookmarkStart w:id="1633" w:name="Tc_uO4CwGNM5EK2wAmcd1amPA_5_2"/>
      <w:bookmarkStart w:id="1634" w:name="Tc_y5lvBBp9r0SHGxW0YORlNA_5_0"/>
      <w:bookmarkStart w:id="1635" w:name="Tc_ocinf9kO10mRIqjhh-YhvQ_4_20"/>
      <w:bookmarkStart w:id="1636" w:name="Tc_U1TndkmAKE-iwlSrbALH4w_4_16"/>
      <w:bookmarkStart w:id="1637" w:name="Tc_rW8bGDjFiUKEyAy3Ovu8lA_4_9"/>
      <w:bookmarkStart w:id="1638" w:name="Tc_2sCs0wrTn06izscffksLuw_4_5"/>
      <w:bookmarkStart w:id="1639" w:name="Tc_piQHtv5Y4USZQNvMKUTAGA_3_20"/>
      <w:bookmarkStart w:id="1640" w:name="Tc_yh1JSz4OzES_BY31f858Sw_3_16"/>
      <w:bookmarkStart w:id="1641" w:name="Tc_qZQJGhsn8kKP2Qr0t92s0g_3_13"/>
      <w:bookmarkStart w:id="1642" w:name="Tc_A0v8tl7Iwki_7PecjDLxaA_3_9"/>
      <w:bookmarkStart w:id="1643" w:name="Tc_g3oT-vRG_UWGZ_l8Mos6qg_3_5"/>
      <w:bookmarkStart w:id="1644" w:name="Tc_Zy5181u0_ESSqM6Ph_9fcA_3_2"/>
      <w:bookmarkStart w:id="1645" w:name="Tc_CgWJO_kp_0mRLr6QGFY0xQ_2_16"/>
      <w:bookmarkStart w:id="1646" w:name="Tc_A11u01B280-VI3amBOk6Tw_2_13"/>
      <w:bookmarkStart w:id="1647" w:name="Tc_Vgw-QL-v5UyDC_tEk3a9tg_2_5"/>
      <w:bookmarkStart w:id="1648" w:name="Tc_MJcofX9cuEuDRtk_EuWUzA_2_2"/>
      <w:bookmarkStart w:id="1649" w:name="Tc_cZXkZrm22EScvyGcqP2t9g_1_13"/>
      <w:bookmarkStart w:id="1650" w:name="Tc_CbdMiX5YGU-1ExoqbyLffQ_1_2"/>
      <w:bookmarkStart w:id="1651" w:name="Tc_kBnNFNz210a2LhY2EPAt6g_10_10"/>
      <w:bookmarkStart w:id="1652" w:name="Tc_caaV1TEx50az3SAR4L_DVA_10_9"/>
      <w:bookmarkStart w:id="1653" w:name="Tc_z_7rO2kUkUq4MAa1QDrr1g_10_7"/>
      <w:bookmarkStart w:id="1654" w:name="Tc_sRTTX3STMUabaodyN6t7ww_10_5"/>
      <w:bookmarkStart w:id="1655" w:name="Tc_BOnWl4jGd02NVCtmFvh3ug_10_4"/>
      <w:bookmarkStart w:id="1656" w:name="Tc_D-PYqnlhRUWsjeotzMHANg_10_2"/>
      <w:bookmarkStart w:id="1657" w:name="Tc_GmdCuRXsmEGlaE6I98Kw_g_10_0"/>
      <w:bookmarkStart w:id="1658" w:name="Tc_rxd4RI8ezkaxRKdNmbZmQQ_9_10"/>
      <w:bookmarkStart w:id="1659" w:name="Tc_SbOPxYscFESby24JV3z1sw_9_9"/>
      <w:bookmarkStart w:id="1660" w:name="Tc_jox4w7pROE2mC8JPJhnW1Q_9_7"/>
      <w:bookmarkStart w:id="1661" w:name="Tc_A5Eua3bpb0me_5EqKTOgIw_9_5"/>
      <w:bookmarkStart w:id="1662" w:name="Tc_eH2mW98NukSuE3JrQOH5JQ_9_4"/>
      <w:bookmarkStart w:id="1663" w:name="Tc_NleY5G4MV0WwZJkN94un4g_9_2"/>
      <w:bookmarkStart w:id="1664" w:name="Tc_KcvRAICnN0mU8JYgmToUgw_9_0"/>
      <w:bookmarkStart w:id="1665" w:name="Tc_PPH5Al-8XUm_TjLUgNowbg_8_10"/>
      <w:bookmarkStart w:id="1666" w:name="Tc_WDoV5OZiOUOpktNyGjRnXw_8_9"/>
      <w:bookmarkStart w:id="1667" w:name="Tc_fL8M7gnVekaelT0wwEd6qQ_8_7"/>
      <w:bookmarkStart w:id="1668" w:name="Tc_t9WgD9_LNUWvEBH-aWLP1w_8_4"/>
      <w:bookmarkStart w:id="1669" w:name="Tc_h52rnbi2rU6HPR54ZEksow_8_0"/>
      <w:bookmarkStart w:id="1670" w:name="Tc_vgmt93JUokCFdaIHBc9kDA_7_10"/>
      <w:bookmarkStart w:id="1671" w:name="Tc_2x6XAe9zCkKk8KaonIpdLg_7_7"/>
      <w:bookmarkStart w:id="1672" w:name="Tc_MKDW2gPtpkS_OSfgoQ7uFw_7_0"/>
      <w:bookmarkStart w:id="1673" w:name="Tc_oQHPXrWSLUuBGoEw6osggg_6_9"/>
      <w:bookmarkStart w:id="1674" w:name="Tc_I68vlQNJ102E-e3EhSssyw_6_4"/>
      <w:bookmarkStart w:id="1675" w:name="Tc_T0f8AAS6WEybyO-5VJRvGA_6_0"/>
      <w:bookmarkStart w:id="1676" w:name="Tc_olQQ_py-ukatMEvfx2c7xA_5_9"/>
      <w:bookmarkStart w:id="1677" w:name="Tc_f0Y0jApYqk25iNwgKIzIYw_5_7"/>
      <w:bookmarkStart w:id="1678" w:name="Tc_Caw6-9eBC0WtOi18zkPQVw_5_4"/>
      <w:bookmarkStart w:id="1679" w:name="Tc_y4pGWtYxOUSRIdW1X0K8XQ_5_2"/>
      <w:bookmarkStart w:id="1680" w:name="Tc_3lHsd-_y_0amQEJ67iLGpQ_4_9"/>
      <w:bookmarkStart w:id="1681" w:name="Tc_5wL3MDPHbE6DR14wh9CHtA_4_7"/>
      <w:bookmarkStart w:id="1682" w:name="Tc_SRUJ_ZZ4TECpT1I1aRPI9Q_4_4"/>
      <w:bookmarkStart w:id="1683" w:name="Tc_BeiqZXb6rUyRqfrCLFsgLw_3_9"/>
      <w:bookmarkStart w:id="1684" w:name="Tc_3vnipvX8TEq3sKt_TlOXoA_3_7"/>
      <w:bookmarkStart w:id="1685" w:name="Tc_Xp8eZBfuH0eh67h8CRPP7w_3_4"/>
      <w:bookmarkStart w:id="1686" w:name="Tc_OW45dnV1R0GPFndtpJbc_w_2_9"/>
      <w:bookmarkStart w:id="1687" w:name="Tc_R57tUfXs-0e2iXn-3uPleQ_2_7"/>
      <w:bookmarkStart w:id="1688" w:name="Tc_hicLiGhvxk6TJmox6S-xQA_2_4"/>
      <w:bookmarkStart w:id="1689" w:name="Tc_FHxPZjouMUiLviXA_Pxd5Q_1_7"/>
      <w:bookmarkStart w:id="1690" w:name="_6e9a8d3e_ebba_4645_a0fb_4404f30769a6"/>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stock option activity during the periods from January 1, 2024 to July 30, 2024 (Predecessor):</w:t>
      </w:r>
    </w:p>
    <w:p>
      <w:pPr>
        <w:pStyle w:val="TextBody"/>
        <w:bidi w:val="0"/>
        <w:spacing w:before="0" w:after="0"/>
        <w:ind w:left="0" w:right="0" w:firstLine="360"/>
        <w:jc w:val="both"/>
        <w:rPr/>
      </w:pPr>
      <w:r>
        <w:rPr/>
        <w:t>​</w:t>
      </w:r>
    </w:p>
    <w:tbl>
      <w:tblPr>
        <w:tblW w:w="9753" w:type="dxa"/>
        <w:jc w:val="left"/>
        <w:tblInd w:w="0" w:type="dxa"/>
        <w:tblLayout w:type="fixed"/>
        <w:tblCellMar>
          <w:top w:w="0" w:type="dxa"/>
          <w:left w:w="0" w:type="dxa"/>
          <w:bottom w:w="0" w:type="dxa"/>
          <w:right w:w="0" w:type="dxa"/>
        </w:tblCellMar>
      </w:tblPr>
      <w:tblGrid>
        <w:gridCol w:w="4816"/>
        <w:gridCol w:w="326"/>
        <w:gridCol w:w="781"/>
        <w:gridCol w:w="326"/>
        <w:gridCol w:w="350"/>
        <w:gridCol w:w="775"/>
        <w:gridCol w:w="109"/>
        <w:gridCol w:w="991"/>
        <w:gridCol w:w="109"/>
        <w:gridCol w:w="372"/>
        <w:gridCol w:w="798"/>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058160" cy="175260"/>
                      <wp:effectExtent l="0" t="0" r="0" b="0"/>
                      <wp:wrapNone/>
                      <wp:docPr id="206" name="Frame206"/>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95935" cy="175260"/>
                      <wp:effectExtent l="0" t="0" r="0" b="0"/>
                      <wp:wrapNone/>
                      <wp:docPr id="208" name="Frame2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2250" cy="175260"/>
                      <wp:effectExtent l="0" t="0" r="0" b="0"/>
                      <wp:wrapNone/>
                      <wp:docPr id="210" name="Frame21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92125" cy="175260"/>
                      <wp:effectExtent l="0" t="0" r="0" b="0"/>
                      <wp:wrapNone/>
                      <wp:docPr id="211" name="Frame211"/>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29285" cy="175260"/>
                      <wp:effectExtent l="0" t="0" r="0" b="0"/>
                      <wp:wrapNone/>
                      <wp:docPr id="213" name="Frame21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6220" cy="175260"/>
                      <wp:effectExtent l="0" t="0" r="0" b="0"/>
                      <wp:wrapNone/>
                      <wp:docPr id="215" name="Frame215"/>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06730" cy="175260"/>
                      <wp:effectExtent l="0" t="0" r="0" b="0"/>
                      <wp:wrapNone/>
                      <wp:docPr id="216" name="Frame216"/>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372" w:type="dxa"/>
            <w:tcBorders/>
            <w:vAlign w:val="center"/>
          </w:tcPr>
          <w:p>
            <w:pPr>
              <w:pStyle w:val="TableContents"/>
              <w:bidi w:val="0"/>
              <w:spacing w:before="0" w:after="0"/>
              <w:ind w:left="0" w:right="0" w:hanging="0"/>
              <w:jc w:val="center"/>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center"/>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2023 (Predecessor)</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747,001</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(6,592)</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July 30, 2024 (Predecessor)</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740,409</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expected to vest, July 30, 2024 (Predecessor)</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exercisable, July 30, 2024 (Predecessor)</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stock options exercised during the periods from January 1, 2024 to July 30, 2024 (Predecessor). Certain stock option grants under the Stock Incentive Plan allow the recipient to exercise the options prior to the options becoming fully vested. Under the Stock Incentive Plan, the Company retains the right to repurchase common shares that have been issued upon early exercise of options at the original issue price. Cash received for the early exercise of unvested stock options is initially recorded as a liability. At each reporting date, the vested shares are released to equity.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fair value of awards vested was $0.3 million during the periods from January 1, 2024 to July 30, 2024 (Predecessor). As of July 30, 2024 prior to the Closing (Predecessor), the total unrecognized compensation cost of $0.4 million was accelerated at the Closing, which was recognized and expensed in accordance with the terms of the 2012 Stock Incentive Plan and the 2022 Stock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45,544 In-the-Money Adagio Options were canceled and extinguished in exchange for 7,587 options to purchase the Company’s common stock, and the 2022 Plan was terminated.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Expense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the total stock-based compensation expense for the stock options expense recorded in the condensed consolidated statements of operations and comprehensive (loss) income for the three and nine months ended September 30, 2025 (Successor) and for the periods from July 31, 2024 to September 30, 2024 (Successor) and July 1, 2024 to July 30, 2024 (Predecessor), and for the period from January 1, 2024 to July 30, 2024 (Predecessor)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62"/>
        <w:gridCol w:w="213"/>
        <w:gridCol w:w="265"/>
        <w:gridCol w:w="531"/>
        <w:gridCol w:w="117"/>
        <w:gridCol w:w="531"/>
        <w:gridCol w:w="875"/>
        <w:gridCol w:w="117"/>
        <w:gridCol w:w="117"/>
        <w:gridCol w:w="369"/>
        <w:gridCol w:w="740"/>
        <w:gridCol w:w="117"/>
        <w:gridCol w:w="213"/>
        <w:gridCol w:w="265"/>
        <w:gridCol w:w="531"/>
        <w:gridCol w:w="116"/>
        <w:gridCol w:w="531"/>
        <w:gridCol w:w="875"/>
        <w:gridCol w:w="116"/>
        <w:gridCol w:w="116"/>
        <w:gridCol w:w="365"/>
        <w:gridCol w:w="923"/>
      </w:tblGrid>
      <w:tr>
        <w:trPr/>
        <w:tc>
          <w:tcPr>
            <w:tcW w:w="2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72870" cy="175260"/>
                      <wp:effectExtent l="0" t="0" r="0" b="0"/>
                      <wp:wrapNone/>
                      <wp:docPr id="217" name="Frame217"/>
                      <a:graphic xmlns:a="http://schemas.openxmlformats.org/drawingml/2006/main">
                        <a:graphicData uri="http://schemas.microsoft.com/office/word/2010/wordprocessingShape">
                          <wps:wsp>
                            <wps:cNvSpPr txBox="1"/>
                            <wps:spPr>
                              <a:xfrm>
                                <a:off x="0" y="0"/>
                                <a:ext cx="1372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5255" cy="175260"/>
                      <wp:effectExtent l="0" t="0" r="0" b="0"/>
                      <wp:wrapNone/>
                      <wp:docPr id="218" name="Frame21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8275" cy="175260"/>
                      <wp:effectExtent l="0" t="0" r="0" b="0"/>
                      <wp:wrapNone/>
                      <wp:docPr id="219" name="Frame21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37185" cy="175260"/>
                      <wp:effectExtent l="0" t="0" r="0" b="0"/>
                      <wp:wrapNone/>
                      <wp:docPr id="220" name="Frame220"/>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4295" cy="175260"/>
                      <wp:effectExtent l="0" t="0" r="0" b="0"/>
                      <wp:wrapNone/>
                      <wp:docPr id="221" name="Frame221"/>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37185" cy="175260"/>
                      <wp:effectExtent l="0" t="0" r="0" b="0"/>
                      <wp:wrapNone/>
                      <wp:docPr id="222" name="Frame222"/>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55625" cy="175260"/>
                      <wp:effectExtent l="0" t="0" r="0" b="0"/>
                      <wp:wrapNone/>
                      <wp:docPr id="223" name="Frame223"/>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4295" cy="175260"/>
                      <wp:effectExtent l="0" t="0" r="0" b="0"/>
                      <wp:wrapNone/>
                      <wp:docPr id="224" name="Frame224"/>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4295" cy="175260"/>
                      <wp:effectExtent l="0" t="0" r="0" b="0"/>
                      <wp:wrapNone/>
                      <wp:docPr id="225" name="Frame225"/>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34315" cy="175260"/>
                      <wp:effectExtent l="0" t="0" r="0" b="0"/>
                      <wp:wrapNone/>
                      <wp:docPr id="226" name="Frame226"/>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69900" cy="175260"/>
                      <wp:effectExtent l="0" t="0" r="0" b="0"/>
                      <wp:wrapNone/>
                      <wp:docPr id="227" name="Frame227"/>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4295" cy="175260"/>
                      <wp:effectExtent l="0" t="0" r="0" b="0"/>
                      <wp:wrapNone/>
                      <wp:docPr id="228" name="Frame228"/>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5255" cy="175260"/>
                      <wp:effectExtent l="0" t="0" r="0" b="0"/>
                      <wp:wrapNone/>
                      <wp:docPr id="229" name="Frame22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8275" cy="175260"/>
                      <wp:effectExtent l="0" t="0" r="0" b="0"/>
                      <wp:wrapNone/>
                      <wp:docPr id="230" name="Frame23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37185" cy="175260"/>
                      <wp:effectExtent l="0" t="0" r="0" b="0"/>
                      <wp:wrapNone/>
                      <wp:docPr id="231" name="Frame231"/>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3660" cy="175260"/>
                      <wp:effectExtent l="0" t="0" r="0" b="0"/>
                      <wp:wrapNone/>
                      <wp:docPr id="232" name="Frame232"/>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37185" cy="175260"/>
                      <wp:effectExtent l="0" t="0" r="0" b="0"/>
                      <wp:wrapNone/>
                      <wp:docPr id="233" name="Frame233"/>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55625" cy="175260"/>
                      <wp:effectExtent l="0" t="0" r="0" b="0"/>
                      <wp:wrapNone/>
                      <wp:docPr id="234" name="Frame234"/>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3660" cy="175260"/>
                      <wp:effectExtent l="0" t="0" r="0" b="0"/>
                      <wp:wrapNone/>
                      <wp:docPr id="235" name="Frame235"/>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3660" cy="175260"/>
                      <wp:effectExtent l="0" t="0" r="0" b="0"/>
                      <wp:wrapNone/>
                      <wp:docPr id="236" name="Frame236"/>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31775" cy="175260"/>
                      <wp:effectExtent l="0" t="0" r="0" b="0"/>
                      <wp:wrapNone/>
                      <wp:docPr id="237" name="Frame237"/>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86105" cy="175260"/>
                      <wp:effectExtent l="0" t="0" r="0" b="0"/>
                      <wp:wrapNone/>
                      <wp:docPr id="238" name="Frame238"/>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2"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377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213" w:type="dxa"/>
            <w:tcBorders/>
            <w:vAlign w:val="center"/>
          </w:tcPr>
          <w:p>
            <w:pPr>
              <w:pStyle w:val="TableContents"/>
              <w:bidi w:val="0"/>
              <w:spacing w:before="0" w:after="0"/>
              <w:ind w:left="0" w:right="0" w:hanging="0"/>
              <w:jc w:val="center"/>
              <w:rPr/>
            </w:pPr>
            <w:r>
              <w:rPr/>
              <w:t>​</w:t>
            </w:r>
          </w:p>
        </w:tc>
        <w:tc>
          <w:tcPr>
            <w:tcW w:w="383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162"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7" w:type="dxa"/>
            <w:tcBorders/>
            <w:vAlign w:val="center"/>
          </w:tcPr>
          <w:p>
            <w:pPr>
              <w:pStyle w:val="TableContents"/>
              <w:bidi w:val="0"/>
              <w:spacing w:before="0" w:after="0"/>
              <w:ind w:left="0" w:right="0" w:hanging="0"/>
              <w:jc w:val="left"/>
              <w:rPr/>
            </w:pPr>
            <w:r>
              <w:rPr/>
              <w:t>​</w:t>
            </w:r>
          </w:p>
        </w:tc>
        <w:tc>
          <w:tcPr>
            <w:tcW w:w="27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7"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6" w:type="dxa"/>
            <w:tcBorders/>
            <w:vAlign w:val="center"/>
          </w:tcPr>
          <w:p>
            <w:pPr>
              <w:pStyle w:val="TableContents"/>
              <w:bidi w:val="0"/>
              <w:spacing w:before="0" w:after="0"/>
              <w:ind w:left="0" w:right="0" w:hanging="0"/>
              <w:jc w:val="left"/>
              <w:rPr/>
            </w:pPr>
            <w:r>
              <w:rPr/>
              <w:t>​</w:t>
            </w:r>
          </w:p>
        </w:tc>
        <w:tc>
          <w:tcPr>
            <w:tcW w:w="29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62"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17" w:type="dxa"/>
            <w:tcBorders/>
            <w:vAlign w:val="center"/>
          </w:tcPr>
          <w:p>
            <w:pPr>
              <w:pStyle w:val="TableContents"/>
              <w:bidi w:val="0"/>
              <w:spacing w:before="0" w:after="0"/>
              <w:ind w:left="0" w:right="0" w:hanging="0"/>
              <w:jc w:val="left"/>
              <w:rPr/>
            </w:pPr>
            <w:r>
              <w:rPr/>
              <w:t>​</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17"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17"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17"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16" w:type="dxa"/>
            <w:tcBorders/>
            <w:vAlign w:val="center"/>
          </w:tcPr>
          <w:p>
            <w:pPr>
              <w:pStyle w:val="TableContents"/>
              <w:bidi w:val="0"/>
              <w:spacing w:before="0" w:after="0"/>
              <w:ind w:left="0" w:right="0" w:hanging="0"/>
              <w:jc w:val="left"/>
              <w:rPr/>
            </w:pPr>
            <w:r>
              <w:rPr/>
              <w:t>​</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1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1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2162"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both"/>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 w:type="dxa"/>
            <w:tcBorders/>
            <w:vAlign w:val="center"/>
          </w:tcPr>
          <w:p>
            <w:pPr>
              <w:pStyle w:val="TableContents"/>
              <w:bidi w:val="0"/>
              <w:spacing w:before="0" w:after="0"/>
              <w:ind w:left="0" w:right="0" w:hanging="0"/>
              <w:jc w:val="left"/>
              <w:rPr/>
            </w:pPr>
            <w:r>
              <w:rPr/>
              <w:t>​</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17"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17"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to July 30</w:t>
            </w:r>
          </w:p>
        </w:tc>
        <w:tc>
          <w:tcPr>
            <w:tcW w:w="117"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both"/>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 w:type="dxa"/>
            <w:tcBorders/>
            <w:vAlign w:val="center"/>
          </w:tcPr>
          <w:p>
            <w:pPr>
              <w:pStyle w:val="TableContents"/>
              <w:bidi w:val="0"/>
              <w:spacing w:before="0" w:after="0"/>
              <w:ind w:left="0" w:right="0" w:hanging="0"/>
              <w:jc w:val="left"/>
              <w:rPr/>
            </w:pPr>
            <w:r>
              <w:rPr/>
              <w:t>​</w:t>
            </w:r>
          </w:p>
        </w:tc>
        <w:tc>
          <w:tcPr>
            <w:tcW w:w="14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1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1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 to July 30</w:t>
            </w:r>
          </w:p>
        </w:tc>
      </w:tr>
      <w:tr>
        <w:trPr/>
        <w:tc>
          <w:tcPr>
            <w:tcW w:w="21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3"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17"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11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17"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17"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116"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11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1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21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administration</w:t>
            </w:r>
          </w:p>
        </w:tc>
        <w:tc>
          <w:tcPr>
            <w:tcW w:w="213" w:type="dxa"/>
            <w:tcBorders/>
            <w:vAlign w:val="center"/>
          </w:tcPr>
          <w:p>
            <w:pPr>
              <w:pStyle w:val="TableContents"/>
              <w:bidi w:val="0"/>
              <w:spacing w:before="0" w:after="0"/>
              <w:ind w:left="0" w:right="0" w:hanging="0"/>
              <w:jc w:val="center"/>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17"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17"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17"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116" w:type="dxa"/>
            <w:tcBorders/>
            <w:vAlign w:val="center"/>
          </w:tcPr>
          <w:p>
            <w:pPr>
              <w:pStyle w:val="TableContents"/>
              <w:bidi w:val="0"/>
              <w:spacing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6"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16"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21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13"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17" w:type="dxa"/>
            <w:tcBorders/>
            <w:shd w:fill="CCEEFF" w:val="clear"/>
            <w:vAlign w:val="center"/>
          </w:tcPr>
          <w:p>
            <w:pPr>
              <w:pStyle w:val="TableContents"/>
              <w:bidi w:val="0"/>
              <w:spacing w:before="0" w:after="0"/>
              <w:ind w:left="0" w:right="0" w:hanging="0"/>
              <w:jc w:val="left"/>
              <w:rPr/>
            </w:pPr>
            <w:r>
              <w:rPr/>
              <w:t>​</w:t>
            </w:r>
          </w:p>
        </w:tc>
        <w:tc>
          <w:tcPr>
            <w:tcW w:w="5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17"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117"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righ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116" w:type="dxa"/>
            <w:tcBorders/>
            <w:shd w:fill="CCEEFF" w:val="clear"/>
            <w:vAlign w:val="center"/>
          </w:tcPr>
          <w:p>
            <w:pPr>
              <w:pStyle w:val="TableContents"/>
              <w:bidi w:val="0"/>
              <w:spacing w:before="0" w:after="0"/>
              <w:ind w:left="0" w:right="0" w:hanging="0"/>
              <w:jc w:val="left"/>
              <w:rPr/>
            </w:pPr>
            <w:r>
              <w:rPr/>
              <w:t>​</w:t>
            </w:r>
          </w:p>
        </w:tc>
        <w:tc>
          <w:tcPr>
            <w:tcW w:w="5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16"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Successor Periods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Equity Incentive Plan on July 26, 2024. The purpose of the 2024 Equity Incentive Plan is to promote the success and enhance the value of the Company by linking the individual interests of the members of the Board of Directors,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Accordingly, on January 1, 2025, the number of shares of common stock available for issuance under the 2024 Equity Incentive Plan increased by 1,725,144 shares. The Company may grant an option, a stock appreciation right, a restricted stock award, a restricted stock unit award, a performance stock award, a performance stock unit award, or other stock- or cash-based award, or a dividend equivalent award, which may be awarded or granted under the 2024 Equity Incentive Plan. The awards can be issued to any person who is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2025, the Company granted 5,687,965 awards under this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Key Employee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Key Employee Equity Incentive Plan on July 26, 2024. The purpose of the 2024 Key Employee Equity Incentive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2024 Key Employee Equity Incentive Plan who are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awards under this 2024 Key Employee Equity Incentive Plan as of September 30,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Employee Stock Purchase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Employee Stock Purchase Plan on July 26, 2024. The 2024 Employee Stock Purchase Plan provides a means by which eligible employees of the Company and certain designated related corporations may be given an opportunity to purchase shares of the Company’s Common Stock. The 2024 Employee Stock Purchase Plan permits the Company to grant a series of purchase rights to eligible employees. The 2024 Employee Stock Purchase Plan authorizes the issuance of up to 441,293 shares of the Company’s Common Stock, plus an annual increase on the first day of each year for the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(10) calendar years immediately after the first Offering Date (as defined in the 2024 Employee Stock Purchase Plan) equal to one percent (1%) of the share of common stock outstanding on a fully diluted basis on the last day of the immediately preceding fiscal year, provided that the Board or its compensation committee may reduce the amount of the increase in any particular year.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purchase rights under this plan as of September 30, 2025.</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691" w:name="Tc_YF9TDvPycUSDlKY2AuSgWQ_10_9"/>
      <w:bookmarkStart w:id="1692" w:name="Tc_bxYgy1816km_QQm1W7DIRA_10_4"/>
      <w:bookmarkStart w:id="1693" w:name="Tc_Tkx4oIGyw0yWudKBiVcH7w_10_0"/>
      <w:bookmarkStart w:id="1694" w:name="Tc_JUfe07GAakKAXDyHEQ4jSQ_9_9"/>
      <w:bookmarkStart w:id="1695" w:name="Tc_X-4Asg6YeUCUqQ222Nf0KA_9_4"/>
      <w:bookmarkStart w:id="1696" w:name="Tc_eMNIJhbFv0WJ7hXffCxSzA_9_0"/>
      <w:bookmarkStart w:id="1697" w:name="Tc_Azdv9C_zAUuAywJGRkiYIA_8_9"/>
      <w:bookmarkStart w:id="1698" w:name="Tc_KICdgvMofEq5gc8Xtnfoww_8_4"/>
      <w:bookmarkStart w:id="1699" w:name="Tc_llWObej1oU242UkMQmjcPA_8_0"/>
      <w:bookmarkStart w:id="1700" w:name="Tc_3bVbq9kRUEqYZytNPbIBkQ_7_10"/>
      <w:bookmarkStart w:id="1701" w:name="Tc_xIXQstqGqkK392xm-Ynx1w_7_7"/>
      <w:bookmarkStart w:id="1702" w:name="Tc_68tam7tGzEW53JnKBqzQ2A_7_0"/>
      <w:bookmarkStart w:id="1703" w:name="Tc_GT-W1Q4vzk2sjzXrQbkKfw_6_9"/>
      <w:bookmarkStart w:id="1704" w:name="Tc_HiiJBbwQcE2RYxAhPbU5hw_6_7"/>
      <w:bookmarkStart w:id="1705" w:name="Tc_ne7YUoB0s0WoE-PVML0kUA_6_4"/>
      <w:bookmarkStart w:id="1706" w:name="Tc_4ChoKXicW0WuSW6-_dhjQw_6_0"/>
      <w:bookmarkStart w:id="1707" w:name="Tc_nlbQ9g9mg0qwvIy5iiQ0ow_5_9"/>
      <w:bookmarkStart w:id="1708" w:name="Tc_lxACyh-Ivk68EU3S-f7kcw_5_7"/>
      <w:bookmarkStart w:id="1709" w:name="Tc_CWi4pI8rMEie5iiFrLB6dw_5_4"/>
      <w:bookmarkStart w:id="1710" w:name="Tc_pF0rUIkZCku4BhQcDQVuBw_5_2"/>
      <w:bookmarkStart w:id="1711" w:name="Tc_Kknla0-77kqcQIGe6NIqWg_4_9"/>
      <w:bookmarkStart w:id="1712" w:name="Tc_tjr70CsKekaH0Qkx27hpOQ_4_7"/>
      <w:bookmarkStart w:id="1713" w:name="Tc_Sn12tYztDES8S0ThE4lJFg_4_4"/>
      <w:bookmarkStart w:id="1714" w:name="Tc_A1hDtsk0uEWoy7XyO_Sqxg_3_9"/>
      <w:bookmarkStart w:id="1715" w:name="Tc_uuqwrUz_B0625628ikgs7g_3_7"/>
      <w:bookmarkStart w:id="1716" w:name="Tc_Gx_JMFG9lE6HT_peW2kRkA_3_4"/>
      <w:bookmarkStart w:id="1717" w:name="Tc_fXrRQ-cl6EudqaNbPEw88g_2_9"/>
      <w:bookmarkStart w:id="1718" w:name="Tc_JP7uGZoT-E2xkkHjOADaSQ_2_7"/>
      <w:bookmarkStart w:id="1719" w:name="Tc_1d0pVVLZFEOjRSVLfmWW9w_2_4"/>
      <w:bookmarkStart w:id="1720" w:name="Tc_rd3phVP0Bka9OeVVpEt75w_1_7"/>
      <w:bookmarkStart w:id="1721" w:name="_bf824b77_cc20_45ba_82fd_c17303f5167e"/>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rPr>
          <w:rFonts w:ascii="Times New Roman;Times;serif" w:hAnsi="Times New Roman;Times;serif"/>
          <w:sz w:val="20"/>
        </w:rPr>
        <w:t>The following table summarizes stock option activity during the nine months ended September 30, 2025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159"/>
        <w:gridCol w:w="326"/>
        <w:gridCol w:w="931"/>
        <w:gridCol w:w="326"/>
        <w:gridCol w:w="342"/>
        <w:gridCol w:w="758"/>
        <w:gridCol w:w="109"/>
        <w:gridCol w:w="991"/>
        <w:gridCol w:w="109"/>
        <w:gridCol w:w="272"/>
        <w:gridCol w:w="882"/>
      </w:tblGrid>
      <w:tr>
        <w:trPr/>
        <w:tc>
          <w:tcPr>
            <w:tcW w:w="5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275965" cy="175260"/>
                      <wp:effectExtent l="0" t="0" r="0" b="0"/>
                      <wp:wrapNone/>
                      <wp:docPr id="239" name="Frame239"/>
                      <a:graphic xmlns:a="http://schemas.openxmlformats.org/drawingml/2006/main">
                        <a:graphicData uri="http://schemas.microsoft.com/office/word/2010/wordprocessingShape">
                          <wps:wsp>
                            <wps:cNvSpPr txBox="1"/>
                            <wps:spPr>
                              <a:xfrm>
                                <a:off x="0" y="0"/>
                                <a:ext cx="327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91185" cy="175260"/>
                      <wp:effectExtent l="0" t="0" r="0" b="0"/>
                      <wp:wrapNone/>
                      <wp:docPr id="241" name="Frame2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7170" cy="175260"/>
                      <wp:effectExtent l="0" t="0" r="0" b="0"/>
                      <wp:wrapNone/>
                      <wp:docPr id="243" name="Frame24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81330" cy="175260"/>
                      <wp:effectExtent l="0" t="0" r="0" b="0"/>
                      <wp:wrapNone/>
                      <wp:docPr id="244" name="Frame244"/>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29285" cy="175260"/>
                      <wp:effectExtent l="0" t="0" r="0" b="0"/>
                      <wp:wrapNone/>
                      <wp:docPr id="246" name="Frame24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72720" cy="175260"/>
                      <wp:effectExtent l="0" t="0" r="0" b="0"/>
                      <wp:wrapNone/>
                      <wp:docPr id="248" name="Frame248"/>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60070" cy="175260"/>
                      <wp:effectExtent l="0" t="0" r="0" b="0"/>
                      <wp:wrapNone/>
                      <wp:docPr id="249" name="Frame249"/>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center"/>
              <w:rPr/>
            </w:pPr>
            <w:r>
              <w:rPr/>
              <w:t>​</w:t>
            </w:r>
          </w:p>
        </w:tc>
        <w:tc>
          <w:tcPr>
            <w:tcW w:w="882" w:type="dxa"/>
            <w:tcBorders/>
            <w:vAlign w:val="center"/>
          </w:tcPr>
          <w:p>
            <w:pPr>
              <w:pStyle w:val="TableContents"/>
              <w:bidi w:val="0"/>
              <w:spacing w:before="0" w:after="0"/>
              <w:ind w:left="0" w:right="0" w:hanging="0"/>
              <w:jc w:val="center"/>
              <w:rPr/>
            </w:pPr>
            <w:r>
              <w:rPr/>
              <w:t>​</w:t>
            </w:r>
          </w:p>
        </w:tc>
      </w:tr>
      <w:tr>
        <w:trPr/>
        <w:tc>
          <w:tcPr>
            <w:tcW w:w="5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5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5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5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5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center"/>
              <w:rPr/>
            </w:pPr>
            <w:r>
              <w:rPr/>
              <w:t>​</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center"/>
              <w:rPr/>
            </w:pPr>
            <w:r>
              <w:rPr/>
              <w:t>​</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1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2024 (Successor)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pPr>
            <w:r>
              <w:rPr/>
              <w:t>—</w:t>
            </w:r>
          </w:p>
        </w:tc>
      </w:tr>
      <w:tr>
        <w:trPr/>
        <w:tc>
          <w:tcPr>
            <w:tcW w:w="51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5,687,965</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1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September 30, 2025 (Successor)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5,695,552</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5,644</w:t>
            </w:r>
          </w:p>
        </w:tc>
      </w:tr>
      <w:tr>
        <w:trPr/>
        <w:tc>
          <w:tcPr>
            <w:tcW w:w="515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September 30, 2025 (Successor)</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1,096,342</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0.87</w:t>
            </w:r>
          </w:p>
        </w:tc>
        <w:tc>
          <w:tcPr>
            <w:tcW w:w="109" w:type="dxa"/>
            <w:tcBorders/>
            <w:vAlign w:val="center"/>
          </w:tcPr>
          <w:p>
            <w:pPr>
              <w:pStyle w:val="TableContents"/>
              <w:bidi w:val="0"/>
              <w:spacing w:before="0" w:after="0"/>
              <w:ind w:left="0" w:right="0" w:hanging="0"/>
              <w:jc w:val="left"/>
              <w:rPr/>
            </w:pPr>
            <w:r>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r>
      <w:tr>
        <w:trPr/>
        <w:tc>
          <w:tcPr>
            <w:tcW w:w="515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and exercisable, September 30, 2025 (Successor)</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5,695,552</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5,644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discussed above, the Company has not granted any options under the 2024 Key Employee Equity Incentive Plan and the 2024 Employee Stock Purchase Plan.</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722" w:name="Tc_X7AclamffkaBQ6qgPvr44A_5_0"/>
      <w:bookmarkStart w:id="1723" w:name="Tc_1RMhI6QWtk617ZuVbKd2hA_4_0"/>
      <w:bookmarkStart w:id="1724" w:name="Tc_tZaAjfq6WEGB3yx4cognng_3_0"/>
      <w:bookmarkStart w:id="1725" w:name="Tc_mcKNFA-h7Ei1kqvAauzIjQ_2_2"/>
      <w:bookmarkStart w:id="1726" w:name="Tc_i0ZE6ySnh0u9Vea8dl3gHw_1_2"/>
      <w:bookmarkStart w:id="1727" w:name="_67b4ac9b_4918_4c02_bd90_90c3f8e96eb9"/>
      <w:bookmarkStart w:id="1728" w:name="Tc_mvuYvUwtOEK87lZQGT_rzA_7_5"/>
      <w:bookmarkStart w:id="1729" w:name="Tc_NNP2H_bNhU-x3OrTIp8xzg_7_2"/>
      <w:bookmarkStart w:id="1730" w:name="Tc_whMD8ZVB10WzDTSTxOGY2A_7_0"/>
      <w:bookmarkStart w:id="1731" w:name="Tc_D32R7kMs0EKUj-hKS0a5uQ_6_0"/>
      <w:bookmarkStart w:id="1732" w:name="Tc_HoP_lLEz3UK2dErobhK4hg_5_0"/>
      <w:bookmarkStart w:id="1733" w:name="Tc_cBxSMMM_yEOtIT3wyutr2A_4_5"/>
      <w:bookmarkStart w:id="1734" w:name="Tc_sH-sSPz-iU2_-1L0M4RkYA_4_2"/>
      <w:bookmarkStart w:id="1735" w:name="Tc_YxxMvaKQMkGovD3pghQLDQ_4_0"/>
      <w:bookmarkStart w:id="1736" w:name="Tc_NvBdjj4f8UG8x6DMGMs_wA_3_0"/>
      <w:bookmarkStart w:id="1737" w:name="Tc_tOyiEbxae0GH7qx-SwWcOg_2_5"/>
      <w:bookmarkStart w:id="1738" w:name="Tc_NhewnQvIm0qXtzmEE1Ol1A_2_2"/>
      <w:bookmarkStart w:id="1739" w:name="Tc_wD8HSD1a3EOg6O92SJ8s5g_2_0"/>
      <w:bookmarkStart w:id="1740" w:name="Tc_Gyni35pfEkWbmbRQccp20Q_1_2"/>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r>
        <w:rPr>
          <w:rFonts w:ascii="Times New Roman;Times;serif" w:hAnsi="Times New Roman;Times;serif"/>
          <w:b/>
          <w:sz w:val="20"/>
        </w:rPr>
        <w:t>Note 15 – Loss Per Share (“LPS”)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Predecessor</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common stock warrants, and common stock options because the Company's net losses would cause such shares to be anti-dilutive. Therefore, as the Company recorded net losses in the periods presented, basic and diluted net loss per common share are the same.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363"/>
        <w:gridCol w:w="109"/>
        <w:gridCol w:w="321"/>
        <w:gridCol w:w="1190"/>
        <w:gridCol w:w="109"/>
        <w:gridCol w:w="223"/>
        <w:gridCol w:w="890"/>
      </w:tblGrid>
      <w:tr>
        <w:trPr/>
        <w:tc>
          <w:tcPr>
            <w:tcW w:w="7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left"/>
              <w:rPr/>
            </w:pPr>
            <w:r>
              <w:rPr/>
              <w:t>​</w:t>
            </w:r>
          </w:p>
        </w:tc>
      </w:tr>
      <w:tr>
        <w:trPr/>
        <w:tc>
          <w:tcPr>
            <w:tcW w:w="73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27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73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(amounts in thousands, except share and per share data)</w:t>
            </w:r>
          </w:p>
        </w:tc>
        <w:tc>
          <w:tcPr>
            <w:tcW w:w="109" w:type="dxa"/>
            <w:tcBorders/>
            <w:vAlign w:val="center"/>
          </w:tcPr>
          <w:p>
            <w:pPr>
              <w:pStyle w:val="TableContents"/>
              <w:bidi w:val="0"/>
              <w:spacing w:before="0" w:after="0"/>
              <w:ind w:left="0" w:right="0" w:hanging="0"/>
              <w:jc w:val="both"/>
              <w:rPr/>
            </w:pPr>
            <w:r>
              <w:rPr/>
              <w:t>​</w:t>
            </w:r>
          </w:p>
        </w:tc>
        <w:tc>
          <w:tcPr>
            <w:tcW w:w="15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1 to July 30, 2024</w:t>
            </w:r>
          </w:p>
        </w:tc>
        <w:tc>
          <w:tcPr>
            <w:tcW w:w="109" w:type="dxa"/>
            <w:tcBorders/>
            <w:vAlign w:val="center"/>
          </w:tcPr>
          <w:p>
            <w:pPr>
              <w:pStyle w:val="TableContents"/>
              <w:bidi w:val="0"/>
              <w:spacing w:before="0" w:after="0"/>
              <w:ind w:left="0" w:right="0" w:hanging="0"/>
              <w:jc w:val="both"/>
              <w:rPr/>
            </w:pPr>
            <w:r>
              <w:rPr/>
              <w:t>​</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w:t>
              <w:br/>
              <w:t>July 30, 2024</w:t>
            </w:r>
          </w:p>
        </w:tc>
      </w:tr>
      <w:tr>
        <w:trPr/>
        <w:tc>
          <w:tcPr>
            <w:tcW w:w="7363"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109" w:type="dxa"/>
            <w:tcBorders/>
            <w:shd w:fill="CCEEFF" w:val="clear"/>
            <w:vAlign w:val="center"/>
          </w:tcPr>
          <w:p>
            <w:pPr>
              <w:pStyle w:val="TableContents"/>
              <w:bidi w:val="0"/>
              <w:spacing w:before="0" w:after="0"/>
              <w:ind w:left="0" w:right="0" w:hanging="0"/>
              <w:jc w:val="both"/>
              <w:rPr/>
            </w:pPr>
            <w:r>
              <w:rPr/>
              <w:t>​</w:t>
            </w:r>
          </w:p>
        </w:tc>
        <w:tc>
          <w:tcPr>
            <w:tcW w:w="321" w:type="dxa"/>
            <w:tcBorders/>
            <w:shd w:fill="CCEEFF" w:val="clear"/>
            <w:vAlign w:val="center"/>
          </w:tcPr>
          <w:p>
            <w:pPr>
              <w:pStyle w:val="TableContents"/>
              <w:bidi w:val="0"/>
              <w:spacing w:before="0" w:after="0"/>
              <w:ind w:left="0" w:right="0" w:hanging="0"/>
              <w:jc w:val="right"/>
              <w:rPr/>
            </w:pPr>
            <w:r>
              <w:rPr/>
              <w:t>​</w:t>
            </w:r>
          </w:p>
        </w:tc>
        <w:tc>
          <w:tcPr>
            <w:tcW w:w="1190"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90" w:type="dxa"/>
            <w:tcBorders/>
            <w:shd w:fill="CCEEFF" w:val="clear"/>
            <w:vAlign w:val="center"/>
          </w:tcPr>
          <w:p>
            <w:pPr>
              <w:pStyle w:val="TableContents"/>
              <w:bidi w:val="0"/>
              <w:spacing w:before="0" w:after="0"/>
              <w:ind w:left="0" w:right="0" w:hanging="0"/>
              <w:jc w:val="both"/>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(8,235)</w:t>
            </w:r>
          </w:p>
        </w:tc>
        <w:tc>
          <w:tcPr>
            <w:tcW w:w="109" w:type="dxa"/>
            <w:tcBorders/>
            <w:vAlign w:val="center"/>
          </w:tcPr>
          <w:p>
            <w:pPr>
              <w:pStyle w:val="TableContents"/>
              <w:bidi w:val="0"/>
              <w:spacing w:before="0" w:after="0"/>
              <w:ind w:left="0" w:right="0" w:hanging="0"/>
              <w:jc w:val="righ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(21,278)</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right"/>
              <w:rPr/>
            </w:pPr>
            <w:r>
              <w:rPr/>
              <w:t>​</w:t>
            </w:r>
          </w:p>
        </w:tc>
        <w:tc>
          <w:tcPr>
            <w:tcW w:w="119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90" w:type="dxa"/>
            <w:tcBorders/>
            <w:shd w:fill="CCEEFF" w:val="clear"/>
            <w:vAlign w:val="center"/>
          </w:tcPr>
          <w:p>
            <w:pPr>
              <w:pStyle w:val="TableContents"/>
              <w:bidi w:val="0"/>
              <w:spacing w:before="0" w:after="0"/>
              <w:ind w:left="0" w:right="0" w:hanging="0"/>
              <w:jc w:val="right"/>
              <w:rPr/>
            </w:pPr>
            <w:r>
              <w:rPr/>
              <w:t>​</w:t>
            </w:r>
          </w:p>
        </w:tc>
      </w:tr>
      <w:tr>
        <w:trPr/>
        <w:tc>
          <w:tcPr>
            <w:tcW w:w="73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used in computing net loss per share attributable to common stockholders - basic and diluted</w:t>
            </w:r>
          </w:p>
        </w:tc>
        <w:tc>
          <w:tcPr>
            <w:tcW w:w="109"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987,810</w:t>
            </w:r>
          </w:p>
        </w:tc>
        <w:tc>
          <w:tcPr>
            <w:tcW w:w="109" w:type="dxa"/>
            <w:tcBorders/>
            <w:vAlign w:val="center"/>
          </w:tcPr>
          <w:p>
            <w:pPr>
              <w:pStyle w:val="TableContents"/>
              <w:bidi w:val="0"/>
              <w:spacing w:before="0" w:after="0"/>
              <w:ind w:left="0" w:right="0" w:hanging="0"/>
              <w:jc w:val="righ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815,854</w:t>
            </w:r>
          </w:p>
        </w:tc>
      </w:tr>
      <w:tr>
        <w:trPr/>
        <w:tc>
          <w:tcPr>
            <w:tcW w:w="7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 basic and diluted</w:t>
            </w:r>
          </w:p>
        </w:tc>
        <w:tc>
          <w:tcPr>
            <w:tcW w:w="109"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109" w:type="dxa"/>
            <w:tcBorders/>
            <w:shd w:fill="CCEEFF" w:val="clear"/>
            <w:vAlign w:val="center"/>
          </w:tcPr>
          <w:p>
            <w:pPr>
              <w:pStyle w:val="TableContents"/>
              <w:bidi w:val="0"/>
              <w:spacing w:before="0" w:after="0"/>
              <w:ind w:left="0" w:right="0" w:hanging="0"/>
              <w:jc w:val="righ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w:t>
            </w:r>
          </w:p>
        </w:tc>
      </w:tr>
    </w:tbl>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net loss per share calculation for the period presented because the impact of including them would be anti-dilutive:</w:t>
      </w:r>
    </w:p>
    <w:p>
      <w:pPr>
        <w:pStyle w:val="TextBody"/>
        <w:bidi w:val="0"/>
        <w:spacing w:before="0" w:after="0"/>
        <w:ind w:left="0" w:right="0" w:firstLine="360"/>
        <w:jc w:val="both"/>
        <w:rPr>
          <w:shd w:fill="FFFF00" w:val="clear"/>
        </w:rPr>
      </w:pPr>
      <w:r>
        <w:rPr>
          <w:shd w:fill="FFFF00" w:val="clear"/>
        </w:rPr>
        <w:t>​</w:t>
      </w:r>
    </w:p>
    <w:tbl>
      <w:tblPr>
        <w:tblW w:w="4503" w:type="dxa"/>
        <w:jc w:val="left"/>
        <w:tblInd w:w="0" w:type="dxa"/>
        <w:tblLayout w:type="fixed"/>
        <w:tblCellMar>
          <w:top w:w="0" w:type="dxa"/>
          <w:left w:w="0" w:type="dxa"/>
          <w:bottom w:w="0" w:type="dxa"/>
          <w:right w:w="0" w:type="dxa"/>
        </w:tblCellMar>
      </w:tblPr>
      <w:tblGrid>
        <w:gridCol w:w="3076"/>
        <w:gridCol w:w="286"/>
        <w:gridCol w:w="1141"/>
      </w:tblGrid>
      <w:tr>
        <w:trPr/>
        <w:tc>
          <w:tcPr>
            <w:tcW w:w="30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307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br/>
              <w:t>July 30, 2024</w:t>
            </w:r>
          </w:p>
        </w:tc>
      </w:tr>
      <w:tr>
        <w:trPr/>
        <w:tc>
          <w:tcPr>
            <w:tcW w:w="30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preferred stock</w:t>
            </w:r>
          </w:p>
        </w:tc>
        <w:tc>
          <w:tcPr>
            <w:tcW w:w="286" w:type="dxa"/>
            <w:tcBorders/>
            <w:shd w:fill="CCEEFF" w:val="clear"/>
            <w:vAlign w:val="center"/>
          </w:tcPr>
          <w:p>
            <w:pPr>
              <w:pStyle w:val="TableContents"/>
              <w:bidi w:val="0"/>
              <w:spacing w:before="0" w:after="0"/>
              <w:ind w:left="0" w:right="0" w:hanging="0"/>
              <w:jc w:val="both"/>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4,732,044</w:t>
            </w:r>
          </w:p>
        </w:tc>
      </w:tr>
      <w:tr>
        <w:trPr/>
        <w:tc>
          <w:tcPr>
            <w:tcW w:w="30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286" w:type="dxa"/>
            <w:tcBorders/>
            <w:vAlign w:val="center"/>
          </w:tcPr>
          <w:p>
            <w:pPr>
              <w:pStyle w:val="TableContents"/>
              <w:bidi w:val="0"/>
              <w:spacing w:before="0" w:after="0"/>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740,409</w:t>
            </w:r>
          </w:p>
        </w:tc>
      </w:tr>
      <w:tr>
        <w:trPr/>
        <w:tc>
          <w:tcPr>
            <w:tcW w:w="307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potentially dilutive securities</w:t>
            </w:r>
          </w:p>
        </w:tc>
        <w:tc>
          <w:tcPr>
            <w:tcW w:w="286" w:type="dxa"/>
            <w:tcBorders/>
            <w:shd w:fill="CCEEFF" w:val="clear"/>
            <w:vAlign w:val="center"/>
          </w:tcPr>
          <w:p>
            <w:pPr>
              <w:pStyle w:val="TableContents"/>
              <w:bidi w:val="0"/>
              <w:spacing w:before="0" w:after="0"/>
              <w:ind w:left="0" w:right="0" w:hanging="0"/>
              <w:jc w:val="both"/>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5,472,453</w:t>
            </w:r>
          </w:p>
        </w:tc>
      </w:tr>
    </w:tbl>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bookmarkStart w:id="1741" w:name="Tc_RA2OsHTA7kevxAdDNxferA_10_5"/>
      <w:bookmarkStart w:id="1742" w:name="Tc_sTnHdgMZhkK7DsLW1AVc4Q_10_2"/>
      <w:bookmarkStart w:id="1743" w:name="Tc_u078i6o7qEKrhanWpxz6Aw_10_0"/>
      <w:bookmarkStart w:id="1744" w:name="Tc_44rdZ8d9b0SirVB3QN4xMg_8_0"/>
      <w:bookmarkStart w:id="1745" w:name="Tc_ukhocG1xqUCPBUC5jIuMIQ_7_0"/>
      <w:bookmarkStart w:id="1746" w:name="Tc_EXWQPHarU0WT8FlspdAL_w_6_5"/>
      <w:bookmarkStart w:id="1747" w:name="Tc_ZXnSDaPEpUuzs61P3MLGOA_6_2"/>
      <w:bookmarkStart w:id="1748" w:name="Tc_T8Q4dpjkv0C085RkKFsGVw_6_0"/>
      <w:bookmarkStart w:id="1749" w:name="Tc_3fAo-sxYiEeuQFkFRcDymg_5_0"/>
      <w:bookmarkStart w:id="1750" w:name="Tc_teTi4OklgkCAlNT_8i2NNg_4_5"/>
      <w:bookmarkStart w:id="1751" w:name="Tc_eVDxKzQ-oUGRDNybl7SZWg_4_2"/>
      <w:bookmarkStart w:id="1752" w:name="Tc_fHH8ntrXnE6uGQb10Yzf0w_4_0"/>
      <w:bookmarkStart w:id="1753" w:name="Tc_hsaEiZq4q0WXI_jB6tWllw_3_5"/>
      <w:bookmarkStart w:id="1754" w:name="Tc_2xTeZRHIskatWn7SLx0AZA_3_2"/>
      <w:bookmarkStart w:id="1755" w:name="Tc_li9LbKF1g0Cmrwjr7cIWpw_2_5"/>
      <w:bookmarkStart w:id="1756" w:name="Tc_RmCIq92UmkC4Qq2FmFHbNw_2_2"/>
      <w:bookmarkStart w:id="1757" w:name="Tc_omBpInw5dUCmO7pJYSVDqQ_1_5"/>
      <w:bookmarkStart w:id="1758" w:name="Tc_BffrJbBlP0O6KJJxuLoneA_1_2"/>
      <w:bookmarkStart w:id="1759" w:name="Tc_w-gXrQYWik6lDZKY7RgQig_10_8"/>
      <w:bookmarkStart w:id="1760" w:name="Tc_EA5tMrk4xE29JFV7Zdvw-Q_10_5"/>
      <w:bookmarkStart w:id="1761" w:name="Tc_8Geqz8ZB40qVbk9st5JiWA_10_2"/>
      <w:bookmarkStart w:id="1762" w:name="Tc_0C8i88ez20GwfHesL4HcVw_10_0"/>
      <w:bookmarkStart w:id="1763" w:name="Tc_nPHSibxiDUmu0WWPfiiMhQ_9_6"/>
      <w:bookmarkStart w:id="1764" w:name="Tc_Xxk7MHvrPUOXP046S1cqEA_9_3"/>
      <w:bookmarkStart w:id="1765" w:name="Tc_lt2MFWVnpEiyi1_tbCMJtQ_9_0"/>
      <w:bookmarkStart w:id="1766" w:name="Tc_yhRxWyj6ikC7WuQj-vEZBw_8_9"/>
      <w:bookmarkStart w:id="1767" w:name="Tc_l1Q_vcAuJ0ah9Nkr1kLUjQ_8_3"/>
      <w:bookmarkStart w:id="1768" w:name="Tc_LEBTnYs-7UuMn--rmu9SYw_8_0"/>
      <w:bookmarkStart w:id="1769" w:name="Tc_IvSu3r1yS0Shcdgb8oSZqg_7_9"/>
      <w:bookmarkStart w:id="1770" w:name="Tc_M6u5I8Pry0ywScxlRHMzYg_7_6"/>
      <w:bookmarkStart w:id="1771" w:name="Tc_ihCCKyqir0y_T-W03Qetbg_7_0"/>
      <w:bookmarkStart w:id="1772" w:name="Tc_zo6DsbgzgE6L3HJyf6efNQ_6_0"/>
      <w:bookmarkStart w:id="1773" w:name="Tc_yJHC2ullGkylSwwJmXw3FQ_5_8"/>
      <w:bookmarkStart w:id="1774" w:name="Tc_eryJ_SU4N0-RAY0OJ9SC2A_5_5"/>
      <w:bookmarkStart w:id="1775" w:name="Tc_jLI4TDdTJEWjsO71k314hA_5_2"/>
      <w:bookmarkStart w:id="1776" w:name="Tc_XmUPv1zPG0WYZQ6i0JazMQ_5_0"/>
      <w:bookmarkStart w:id="1777" w:name="Tc_5iEXUnj3x0G6Im1RKicHhw_4_0"/>
      <w:bookmarkStart w:id="1778" w:name="Tc_8mudxFIHPEqDB6c2Dxc3mg_3_8"/>
      <w:bookmarkStart w:id="1779" w:name="Tc_KHZcw8QWZEafhlTl3ud3_w_3_5"/>
      <w:bookmarkStart w:id="1780" w:name="Tc_VvxFTXFGA0C_gxdCOAn1sA_3_2"/>
      <w:bookmarkStart w:id="1781" w:name="Tc_SlroDSeFRUq2dqL9rCdoSw_3_0"/>
      <w:bookmarkStart w:id="1782" w:name="Tc_aYZmIsyT00Ooe4yqiolRoQ_2_2"/>
      <w:bookmarkStart w:id="1783" w:name="Tc_-dSaV1PR-EOJurarc9plIA_1_2"/>
      <w:bookmarkStart w:id="1784" w:name="_7dae3c7b_cd95_47e6_aa74_dd027669ae04"/>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r>
        <w:rPr>
          <w:rFonts w:ascii="Times New Roman;Times;serif" w:hAnsi="Times New Roman;Times;serif"/>
          <w:b/>
          <w:i/>
          <w:sz w:val="20"/>
        </w:rPr>
        <w:t>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After the Business Combination, the Successor calculated basic LPS and diluted LPS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two-class method, undistributed earnings allocated to these participating securities are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three and nine months ended September 30, 2025, the Convertible Securities Notes were not considered participating securities and were excluded from the two-class method calculation.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Basic LPS under the two-class method includes the impact of the Company’s PIPE Pre-funded Warrants as the PIPE Pre-funded Warrants are exercisable for only $0.01 per share (i.e., de minimis cash consideration) without an expiration date and not subject to exercise contingencies.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discloses the Diluted LPS under the if-converted method as such diluted LPS is lower than the diluted LPS calculated under the two-class method. The Earn-Out shares subject to vesting conditions are not considered in the denominator for the calculation of diluted LPS as the vesting conditions for the Earn-Out shares were not met during the successor reporting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computation of basic loss per share attributable to common stockholders and the participating securities for the periods presented (in thousands, except share and per share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LPS: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84"/>
        <w:gridCol w:w="109"/>
        <w:gridCol w:w="228"/>
        <w:gridCol w:w="1123"/>
        <w:gridCol w:w="109"/>
        <w:gridCol w:w="358"/>
        <w:gridCol w:w="1583"/>
        <w:gridCol w:w="109"/>
        <w:gridCol w:w="248"/>
        <w:gridCol w:w="1154"/>
      </w:tblGrid>
      <w:tr>
        <w:trPr/>
        <w:tc>
          <w:tcPr>
            <w:tcW w:w="51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5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154" w:type="dxa"/>
            <w:tcBorders/>
            <w:vAlign w:val="center"/>
          </w:tcPr>
          <w:p>
            <w:pPr>
              <w:pStyle w:val="TableContents"/>
              <w:bidi w:val="0"/>
              <w:spacing w:before="0" w:after="0"/>
              <w:ind w:left="0" w:right="0" w:hanging="0"/>
              <w:jc w:val="left"/>
              <w:rPr/>
            </w:pPr>
            <w:r>
              <w:rPr/>
              <w:t>​</w:t>
            </w:r>
          </w:p>
        </w:tc>
      </w:tr>
      <w:tr>
        <w:trPr/>
        <w:tc>
          <w:tcPr>
            <w:tcW w:w="51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9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r>
      <w:tr>
        <w:trPr/>
        <w:tc>
          <w:tcPr>
            <w:tcW w:w="51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49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2024 to September 30, 2024</w:t>
            </w:r>
          </w:p>
        </w:tc>
      </w:tr>
      <w:tr>
        <w:trPr/>
        <w:tc>
          <w:tcPr>
            <w:tcW w:w="51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(amounts in thousands, except share and per share data)</w:t>
            </w:r>
          </w:p>
        </w:tc>
        <w:tc>
          <w:tcPr>
            <w:tcW w:w="109" w:type="dxa"/>
            <w:tcBorders/>
            <w:vAlign w:val="center"/>
          </w:tcPr>
          <w:p>
            <w:pPr>
              <w:pStyle w:val="TableContents"/>
              <w:bidi w:val="0"/>
              <w:spacing w:before="0" w:after="0"/>
              <w:ind w:left="0" w:right="0" w:hanging="0"/>
              <w:jc w:val="both"/>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Shares</w:t>
            </w:r>
          </w:p>
        </w:tc>
        <w:tc>
          <w:tcPr>
            <w:tcW w:w="109" w:type="dxa"/>
            <w:tcBorders/>
            <w:vAlign w:val="center"/>
          </w:tcPr>
          <w:p>
            <w:pPr>
              <w:pStyle w:val="TableContents"/>
              <w:bidi w:val="0"/>
              <w:spacing w:before="0" w:after="0"/>
              <w:ind w:left="0" w:right="0" w:hanging="0"/>
              <w:jc w:val="both"/>
              <w:rPr/>
            </w:pPr>
            <w:r>
              <w:rPr/>
              <w:t>​</w:t>
            </w:r>
          </w:p>
        </w:tc>
        <w:tc>
          <w:tcPr>
            <w:tcW w:w="1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Convertible Securities Notes</w:t>
            </w:r>
          </w:p>
        </w:tc>
        <w:tc>
          <w:tcPr>
            <w:tcW w:w="109" w:type="dxa"/>
            <w:tcBorders/>
            <w:vAlign w:val="center"/>
          </w:tcPr>
          <w:p>
            <w:pPr>
              <w:pStyle w:val="TableContents"/>
              <w:bidi w:val="0"/>
              <w:spacing w:before="0" w:after="0"/>
              <w:ind w:left="0" w:right="0" w:hanging="0"/>
              <w:jc w:val="both"/>
              <w:rPr/>
            </w:pPr>
            <w:r>
              <w:rPr/>
              <w:t>​</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Sponsor Earnout</w:t>
            </w:r>
          </w:p>
        </w:tc>
      </w:tr>
      <w:tr>
        <w:trPr/>
        <w:tc>
          <w:tcPr>
            <w:tcW w:w="5184"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109" w:type="dxa"/>
            <w:tcBorders/>
            <w:shd w:fill="CCEEFF" w:val="clear"/>
            <w:vAlign w:val="center"/>
          </w:tcPr>
          <w:p>
            <w:pPr>
              <w:pStyle w:val="TableContents"/>
              <w:bidi w:val="0"/>
              <w:spacing w:before="0" w:after="0"/>
              <w:ind w:left="0" w:right="0" w:hanging="0"/>
              <w:jc w:val="both"/>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1123"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1583"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48" w:type="dxa"/>
            <w:tcBorders/>
            <w:shd w:fill="CCEEFF" w:val="clear"/>
            <w:vAlign w:val="center"/>
          </w:tcPr>
          <w:p>
            <w:pPr>
              <w:pStyle w:val="TableContents"/>
              <w:bidi w:val="0"/>
              <w:spacing w:before="0" w:after="0"/>
              <w:ind w:left="0" w:right="0" w:hanging="0"/>
              <w:jc w:val="right"/>
              <w:rPr/>
            </w:pPr>
            <w:r>
              <w:rPr/>
              <w:t>​</w:t>
            </w:r>
          </w:p>
        </w:tc>
        <w:tc>
          <w:tcPr>
            <w:tcW w:w="1154" w:type="dxa"/>
            <w:tcBorders/>
            <w:shd w:fill="CCEEFF" w:val="clear"/>
            <w:vAlign w:val="center"/>
          </w:tcPr>
          <w:p>
            <w:pPr>
              <w:pStyle w:val="TableContents"/>
              <w:bidi w:val="0"/>
              <w:spacing w:before="0" w:after="0"/>
              <w:ind w:left="0" w:right="0" w:hanging="0"/>
              <w:jc w:val="both"/>
              <w:rPr/>
            </w:pPr>
            <w:r>
              <w:rPr/>
              <w:t>​</w:t>
            </w:r>
          </w:p>
        </w:tc>
      </w:tr>
      <w:tr>
        <w:trPr/>
        <w:tc>
          <w:tcPr>
            <w:tcW w:w="5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allocated to each class of participating securities</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109"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5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11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15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righ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r>
      <w:tr>
        <w:trPr/>
        <w:tc>
          <w:tcPr>
            <w:tcW w:w="5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14,057,636</w:t>
            </w:r>
          </w:p>
        </w:tc>
        <w:tc>
          <w:tcPr>
            <w:tcW w:w="109"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right"/>
              <w:rPr/>
            </w:pPr>
            <w:r>
              <w:rPr/>
              <w:t>​</w:t>
            </w:r>
          </w:p>
        </w:tc>
        <w:tc>
          <w:tcPr>
            <w:tcW w:w="15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right"/>
              <w:rPr/>
            </w:pPr>
            <w:r>
              <w:rPr/>
              <w:t>​</w:t>
            </w:r>
          </w:p>
        </w:tc>
        <w:tc>
          <w:tcPr>
            <w:tcW w:w="1154" w:type="dxa"/>
            <w:tcBorders/>
            <w:vAlign w:val="center"/>
          </w:tcPr>
          <w:p>
            <w:pPr>
              <w:pStyle w:val="TableContents"/>
              <w:bidi w:val="0"/>
              <w:spacing w:before="0" w:after="0"/>
              <w:ind w:left="0" w:right="0" w:hanging="0"/>
              <w:jc w:val="right"/>
              <w:rPr/>
            </w:pPr>
            <w:r>
              <w:rPr/>
              <w:t>—</w:t>
            </w:r>
          </w:p>
        </w:tc>
      </w:tr>
      <w:tr>
        <w:trPr/>
        <w:tc>
          <w:tcPr>
            <w:tcW w:w="5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to Convertible Securities Notes</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right"/>
              <w:rPr/>
            </w:pPr>
            <w:r>
              <w:rPr/>
              <w:t>​</w:t>
            </w:r>
          </w:p>
        </w:tc>
        <w:tc>
          <w:tcPr>
            <w:tcW w:w="11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right"/>
              <w:rPr/>
            </w:pPr>
            <w:r>
              <w:rPr/>
              <w:t>​</w:t>
            </w:r>
          </w:p>
        </w:tc>
        <w:tc>
          <w:tcPr>
            <w:tcW w:w="15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4,896,978</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right"/>
              <w:rPr/>
            </w:pPr>
            <w:r>
              <w:rPr/>
              <w:t>​</w:t>
            </w:r>
          </w:p>
        </w:tc>
        <w:tc>
          <w:tcPr>
            <w:tcW w:w="1154" w:type="dxa"/>
            <w:tcBorders/>
            <w:shd w:fill="CCEEFF" w:val="clear"/>
            <w:vAlign w:val="center"/>
          </w:tcPr>
          <w:p>
            <w:pPr>
              <w:pStyle w:val="TableContents"/>
              <w:bidi w:val="0"/>
              <w:spacing w:before="0" w:after="0"/>
              <w:ind w:left="0" w:right="0" w:hanging="0"/>
              <w:jc w:val="right"/>
              <w:rPr/>
            </w:pPr>
            <w:r>
              <w:rPr/>
              <w:t>—</w:t>
            </w:r>
          </w:p>
        </w:tc>
      </w:tr>
      <w:tr>
        <w:trPr/>
        <w:tc>
          <w:tcPr>
            <w:tcW w:w="5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Sponsor Earnout</w:t>
            </w:r>
          </w:p>
        </w:tc>
        <w:tc>
          <w:tcPr>
            <w:tcW w:w="109"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1,147,500</w:t>
            </w:r>
          </w:p>
        </w:tc>
      </w:tr>
      <w:tr>
        <w:trPr/>
        <w:tc>
          <w:tcPr>
            <w:tcW w:w="5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each class of participating securities – Basic</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09" w:type="dxa"/>
            <w:tcBorders/>
            <w:shd w:fill="CCEEFF" w:val="clear"/>
            <w:vAlign w:val="center"/>
          </w:tcPr>
          <w:p>
            <w:pPr>
              <w:pStyle w:val="TableContents"/>
              <w:bidi w:val="0"/>
              <w:spacing w:before="0" w:after="0"/>
              <w:ind w:left="0" w:right="0" w:hanging="0"/>
              <w:jc w:val="righ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083" w:type="dxa"/>
        <w:jc w:val="left"/>
        <w:tblInd w:w="0" w:type="dxa"/>
        <w:tblLayout w:type="fixed"/>
        <w:tblCellMar>
          <w:top w:w="0" w:type="dxa"/>
          <w:left w:w="0" w:type="dxa"/>
          <w:bottom w:w="0" w:type="dxa"/>
          <w:right w:w="0" w:type="dxa"/>
        </w:tblCellMar>
      </w:tblPr>
      <w:tblGrid>
        <w:gridCol w:w="6346"/>
        <w:gridCol w:w="286"/>
        <w:gridCol w:w="271"/>
        <w:gridCol w:w="1334"/>
        <w:gridCol w:w="286"/>
        <w:gridCol w:w="254"/>
        <w:gridCol w:w="1306"/>
      </w:tblGrid>
      <w:tr>
        <w:trPr/>
        <w:tc>
          <w:tcPr>
            <w:tcW w:w="6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72085" cy="175260"/>
                      <wp:effectExtent l="0" t="0" r="0" b="0"/>
                      <wp:wrapNone/>
                      <wp:docPr id="250" name="Frame25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1290" cy="175260"/>
                      <wp:effectExtent l="0" t="0" r="0" b="0"/>
                      <wp:wrapNone/>
                      <wp:docPr id="251" name="Frame25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0"/>
              <w:ind w:left="0" w:right="0" w:hanging="0"/>
              <w:jc w:val="left"/>
              <w:rPr/>
            </w:pPr>
            <w:r>
              <w:rPr/>
              <w:t>​</w:t>
            </w:r>
          </w:p>
        </w:tc>
      </w:tr>
      <w:tr>
        <w:trPr/>
        <w:tc>
          <w:tcPr>
            <w:tcW w:w="634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   ​</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6" w:type="dxa"/>
            <w:tcBorders/>
            <w:vAlign w:val="center"/>
          </w:tcPr>
          <w:p>
            <w:pPr>
              <w:pStyle w:val="TableContents"/>
              <w:bidi w:val="0"/>
              <w:spacing w:before="0" w:after="0"/>
              <w:ind w:left="0" w:right="0" w:hanging="0"/>
              <w:jc w:val="both"/>
              <w:rPr/>
            </w:pPr>
            <w:r>
              <w:rPr/>
              <w:t>   ​</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634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both"/>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286" w:type="dxa"/>
            <w:tcBorders/>
            <w:vAlign w:val="center"/>
          </w:tcPr>
          <w:p>
            <w:pPr>
              <w:pStyle w:val="TableContents"/>
              <w:bidi w:val="0"/>
              <w:spacing w:before="0" w:after="0"/>
              <w:ind w:left="0" w:right="0" w:hanging="0"/>
              <w:jc w:val="both"/>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6346" w:type="dxa"/>
            <w:tcBorders/>
            <w:vAlign w:val="center"/>
          </w:tcPr>
          <w:p>
            <w:pPr>
              <w:pStyle w:val="TableContents"/>
              <w:bidi w:val="0"/>
              <w:spacing w:before="0" w:after="0"/>
              <w:ind w:left="0" w:right="0" w:hanging="0"/>
              <w:jc w:val="both"/>
              <w:rPr/>
            </w:pPr>
            <w:r>
              <w:rPr/>
              <w:t>​</w:t>
            </w:r>
          </w:p>
        </w:tc>
        <w:tc>
          <w:tcPr>
            <w:tcW w:w="28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(amounts in thousands, except share and per share data)</w:t>
            </w:r>
          </w:p>
        </w:tc>
        <w:tc>
          <w:tcPr>
            <w:tcW w:w="28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8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6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286" w:type="dxa"/>
            <w:tcBorders/>
            <w:shd w:fill="CCEEFF" w:val="clear"/>
            <w:vAlign w:val="center"/>
          </w:tcPr>
          <w:p>
            <w:pPr>
              <w:pStyle w:val="TableContents"/>
              <w:bidi w:val="0"/>
              <w:spacing w:before="0" w:after="0"/>
              <w:ind w:left="0" w:right="0" w:hanging="0"/>
              <w:jc w:val="both"/>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3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both"/>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(10,118)</w:t>
            </w:r>
          </w:p>
        </w:tc>
        <w:tc>
          <w:tcPr>
            <w:tcW w:w="28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r>
      <w:tr>
        <w:trPr/>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8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334"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righ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28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1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15,381,565</w:t>
            </w:r>
          </w:p>
        </w:tc>
        <w:tc>
          <w:tcPr>
            <w:tcW w:w="28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righ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15,378,543</w:t>
            </w:r>
          </w:p>
        </w:tc>
      </w:tr>
      <w:tr>
        <w:trPr/>
        <w:tc>
          <w:tcPr>
            <w:tcW w:w="6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each class of participating securities – Basic</w:t>
            </w:r>
          </w:p>
        </w:tc>
        <w:tc>
          <w:tcPr>
            <w:tcW w:w="28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28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785" w:name="Tc_RKYv1lw2qEm-U4a69wNBtA_7_0"/>
      <w:bookmarkStart w:id="1786" w:name="Tc_JDtZ4-kDC0C50v0Vdb-f3g_6_0"/>
      <w:bookmarkStart w:id="1787" w:name="Tc_ZbEaoTZfX0ul5Q_LISlPVA_5_0"/>
      <w:bookmarkStart w:id="1788" w:name="Tc_2U3F-gcyS0iuE32wo8MeaA_4_0"/>
      <w:bookmarkStart w:id="1789" w:name="Tc_Rkb9MrePnUSzmkAVf9FBzQ_3_0"/>
      <w:bookmarkStart w:id="1790" w:name="Tc_BtUZde0d8kqLmUiZ-K-B4g_2_2"/>
      <w:bookmarkStart w:id="1791" w:name="Tc__LnEJnjLa02-KnGm3YNpjg_1_2"/>
      <w:bookmarkStart w:id="1792" w:name="_5311c826_a4d1_44b8_bc92_b8ffcefb36cc"/>
      <w:bookmarkStart w:id="1793" w:name="Tc_TWYHTa8zI0muW8fEnTdcDA_13_4"/>
      <w:bookmarkStart w:id="1794" w:name="Tc_mAbHOxfoqESC7YIBcvjQrw_13_1"/>
      <w:bookmarkStart w:id="1795" w:name="Tc_fFnSbWFOSU6cEC9OwLqrCA_13_0"/>
      <w:bookmarkStart w:id="1796" w:name="Tc_VLqZmTx9UEiRFaz43SY_hw_11_0"/>
      <w:bookmarkStart w:id="1797" w:name="Tc_9q9uwIdc_0yGaEgsySkXLw_10_5"/>
      <w:bookmarkStart w:id="1798" w:name="Tc_vsjC0Z3jWkGx3qmbe-IkzQ_10_2"/>
      <w:bookmarkStart w:id="1799" w:name="Tc_-w8kYMhiakecKlHjU1FFJw_10_0"/>
      <w:bookmarkStart w:id="1800" w:name="Tc_JwBl_HRAYUex6eV5Id1_rw_9_0"/>
      <w:bookmarkStart w:id="1801" w:name="Tc_spHaL0-XwEyQxNWfiX8oog_8_0"/>
      <w:bookmarkStart w:id="1802" w:name="Tc_zevVUdwDtUSk-FSS5Q3Vrw_6_4"/>
      <w:bookmarkStart w:id="1803" w:name="Tc_pxZWdWwtPUqic_Vvm9sIRQ_6_1"/>
      <w:bookmarkStart w:id="1804" w:name="Tc_lpguk15yBkW16V5dFaImWw_6_0"/>
      <w:bookmarkStart w:id="1805" w:name="Tc_6VR4leY_o0SGLSXXwUqqWQ_5_5"/>
      <w:bookmarkStart w:id="1806" w:name="Tc_ebePd6X08UKNHxn3C_2lkQ_5_2"/>
      <w:bookmarkStart w:id="1807" w:name="Tc_a4ZFCxC-O0KnmCW_Rkl8iQ_5_0"/>
      <w:bookmarkStart w:id="1808" w:name="Tc_veTzqV6oVUy4MOXlwdzaTg_4_4"/>
      <w:bookmarkStart w:id="1809" w:name="Tc_zdd1iSgmmUmwUp6K0HqjqA_4_1"/>
      <w:bookmarkStart w:id="1810" w:name="Tc_ieoq5lpfWk2dp-er6LnN3A_4_0"/>
      <w:bookmarkStart w:id="1811" w:name="Tc_XmKPAhrHak6lHl7P9yXXxA_3_0"/>
      <w:bookmarkStart w:id="1812" w:name="Tc_YVj2v0EwxkCiR06FlLV6Kg_2_4"/>
      <w:bookmarkStart w:id="1813" w:name="Tc_u8QQIAg6WEGhQAJn2A6xhA_2_1"/>
      <w:bookmarkStart w:id="1814" w:name="Tc_uYk2l3PHekyOo5lqq1cxxA_2_0"/>
      <w:bookmarkStart w:id="1815" w:name="Tc_PhGCE4HdWEScVfS9-o0Byw_1_4"/>
      <w:bookmarkStart w:id="1816" w:name="Tc_jOZjn7r_Jk6yO1-BPuIpuQ_1_1"/>
      <w:bookmarkStart w:id="1817" w:name="_6e3b4d98_ada9_4555_be0e_f0c1446c7578"/>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r>
        <w:rPr>
          <w:rFonts w:ascii="Times New Roman;Times;serif" w:hAnsi="Times New Roman;Times;serif"/>
          <w:sz w:val="20"/>
        </w:rPr>
        <w:t>The following table sets forth the computation of diluted loss per share attributable to common stockholders for the periods presented (in thousands, except share and per share data):</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LPS:</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5241"/>
        <w:gridCol w:w="409"/>
        <w:gridCol w:w="2020"/>
        <w:gridCol w:w="109"/>
        <w:gridCol w:w="394"/>
        <w:gridCol w:w="2032"/>
      </w:tblGrid>
      <w:tr>
        <w:trPr/>
        <w:tc>
          <w:tcPr>
            <w:tcW w:w="5241"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202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2032" w:type="dxa"/>
            <w:tcBorders/>
            <w:vAlign w:val="center"/>
          </w:tcPr>
          <w:p>
            <w:pPr>
              <w:pStyle w:val="TableContents"/>
              <w:bidi w:val="0"/>
              <w:spacing w:before="0" w:after="0"/>
              <w:ind w:left="0" w:right="0" w:hanging="0"/>
              <w:jc w:val="left"/>
              <w:rPr/>
            </w:pPr>
            <w:r>
              <w:rPr/>
              <w:t>​</w:t>
            </w:r>
          </w:p>
        </w:tc>
      </w:tr>
      <w:tr>
        <w:trPr/>
        <w:tc>
          <w:tcPr>
            <w:tcW w:w="5241" w:type="dxa"/>
            <w:tcBorders/>
            <w:vAlign w:val="center"/>
          </w:tcPr>
          <w:p>
            <w:pPr>
              <w:pStyle w:val="TableContents"/>
              <w:bidi w:val="0"/>
              <w:spacing w:before="0" w:after="0"/>
              <w:ind w:left="0" w:right="0" w:hanging="0"/>
              <w:jc w:val="left"/>
              <w:rPr/>
            </w:pPr>
            <w:r>
              <w:rPr/>
              <w:t>​</w:t>
            </w:r>
          </w:p>
        </w:tc>
        <w:tc>
          <w:tcPr>
            <w:tcW w:w="2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both"/>
              <w:rPr/>
            </w:pPr>
            <w:r>
              <w:rPr/>
              <w:t>​</w:t>
            </w:r>
          </w:p>
        </w:tc>
        <w:tc>
          <w:tcPr>
            <w:tcW w:w="2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5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(amounts in thousands, except share and per share data)</w:t>
            </w:r>
          </w:p>
        </w:tc>
        <w:tc>
          <w:tcPr>
            <w:tcW w:w="2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c>
          <w:tcPr>
            <w:tcW w:w="109" w:type="dxa"/>
            <w:tcBorders/>
            <w:vAlign w:val="center"/>
          </w:tcPr>
          <w:p>
            <w:pPr>
              <w:pStyle w:val="TableContents"/>
              <w:bidi w:val="0"/>
              <w:spacing w:before="0" w:after="0"/>
              <w:ind w:left="0" w:right="0" w:hanging="0"/>
              <w:jc w:val="both"/>
              <w:rPr/>
            </w:pPr>
            <w:r>
              <w:rPr/>
              <w:t>​</w:t>
            </w:r>
          </w:p>
        </w:tc>
        <w:tc>
          <w:tcPr>
            <w:tcW w:w="2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524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409" w:type="dxa"/>
            <w:tcBorders/>
            <w:shd w:fill="CCEEFF" w:val="clear"/>
            <w:vAlign w:val="center"/>
          </w:tcPr>
          <w:p>
            <w:pPr>
              <w:pStyle w:val="TableContents"/>
              <w:bidi w:val="0"/>
              <w:spacing w:before="0" w:after="0"/>
              <w:ind w:left="0" w:right="0" w:hanging="0"/>
              <w:jc w:val="center"/>
              <w:rPr/>
            </w:pPr>
            <w:r>
              <w:rPr/>
              <w:t>​</w:t>
            </w:r>
          </w:p>
        </w:tc>
        <w:tc>
          <w:tcPr>
            <w:tcW w:w="20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394" w:type="dxa"/>
            <w:tcBorders/>
            <w:shd w:fill="CCEEFF" w:val="clear"/>
            <w:vAlign w:val="center"/>
          </w:tcPr>
          <w:p>
            <w:pPr>
              <w:pStyle w:val="TableContents"/>
              <w:bidi w:val="0"/>
              <w:spacing w:before="0" w:after="0"/>
              <w:ind w:left="0" w:right="0" w:hanging="0"/>
              <w:jc w:val="center"/>
              <w:rPr/>
            </w:pPr>
            <w:r>
              <w:rPr/>
              <w:t>​</w:t>
            </w:r>
          </w:p>
        </w:tc>
        <w:tc>
          <w:tcPr>
            <w:tcW w:w="2032" w:type="dxa"/>
            <w:tcBorders/>
            <w:shd w:fill="CCEEFF" w:val="clear"/>
            <w:vAlign w:val="center"/>
          </w:tcPr>
          <w:p>
            <w:pPr>
              <w:pStyle w:val="TableContents"/>
              <w:bidi w:val="0"/>
              <w:spacing w:before="0" w:after="0"/>
              <w:ind w:left="0" w:right="0" w:hanging="0"/>
              <w:jc w:val="right"/>
              <w:rPr/>
            </w:pPr>
            <w:r>
              <w:rPr/>
              <w:t>​</w:t>
            </w:r>
          </w:p>
        </w:tc>
      </w:tr>
      <w:tr>
        <w:trPr/>
        <w:tc>
          <w:tcPr>
            <w:tcW w:w="5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 Basic</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(10,118)</w:t>
            </w:r>
          </w:p>
        </w:tc>
        <w:tc>
          <w:tcPr>
            <w:tcW w:w="109" w:type="dxa"/>
            <w:tcBorders/>
            <w:vAlign w:val="center"/>
          </w:tcPr>
          <w:p>
            <w:pPr>
              <w:pStyle w:val="TableContents"/>
              <w:bidi w:val="0"/>
              <w:spacing w:before="0" w:after="0"/>
              <w:ind w:left="0" w:right="0" w:hanging="0"/>
              <w:jc w:val="both"/>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r>
      <w:tr>
        <w:trPr/>
        <w:tc>
          <w:tcPr>
            <w:tcW w:w="52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Adjustment for fair value changes to convertible securities notes</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attributable to common stockholders – Diluted</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(10,118)</w:t>
            </w:r>
          </w:p>
        </w:tc>
        <w:tc>
          <w:tcPr>
            <w:tcW w:w="109" w:type="dxa"/>
            <w:tcBorders/>
            <w:vAlign w:val="center"/>
          </w:tcPr>
          <w:p>
            <w:pPr>
              <w:pStyle w:val="TableContents"/>
              <w:bidi w:val="0"/>
              <w:spacing w:before="0" w:after="0"/>
              <w:ind w:left="0" w:right="0" w:hanging="0"/>
              <w:jc w:val="both"/>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r>
      <w:tr>
        <w:trPr/>
        <w:tc>
          <w:tcPr>
            <w:tcW w:w="5241" w:type="dxa"/>
            <w:tcBorders/>
            <w:shd w:fill="CCEEFF" w:val="clear"/>
            <w:vAlign w:val="center"/>
          </w:tcPr>
          <w:p>
            <w:pPr>
              <w:pStyle w:val="TableContents"/>
              <w:bidi w:val="0"/>
              <w:spacing w:before="0" w:after="0"/>
              <w:ind w:left="0" w:right="0" w:hanging="0"/>
              <w:jc w:val="both"/>
              <w:rPr/>
            </w:pPr>
            <w:r>
              <w:rPr/>
              <w:t>​</w:t>
            </w:r>
          </w:p>
        </w:tc>
        <w:tc>
          <w:tcPr>
            <w:tcW w:w="409" w:type="dxa"/>
            <w:tcBorders/>
            <w:shd w:fill="CCEEFF" w:val="clear"/>
            <w:vAlign w:val="center"/>
          </w:tcPr>
          <w:p>
            <w:pPr>
              <w:pStyle w:val="TableContents"/>
              <w:bidi w:val="0"/>
              <w:spacing w:before="0" w:after="0"/>
              <w:ind w:left="0" w:right="0" w:hanging="0"/>
              <w:jc w:val="center"/>
              <w:rPr/>
            </w:pPr>
            <w:r>
              <w:rPr/>
              <w:t>​</w:t>
            </w:r>
          </w:p>
        </w:tc>
        <w:tc>
          <w:tcPr>
            <w:tcW w:w="20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394" w:type="dxa"/>
            <w:tcBorders/>
            <w:shd w:fill="CCEEFF" w:val="clear"/>
            <w:vAlign w:val="center"/>
          </w:tcPr>
          <w:p>
            <w:pPr>
              <w:pStyle w:val="TableContents"/>
              <w:bidi w:val="0"/>
              <w:spacing w:before="0" w:after="0"/>
              <w:ind w:left="0" w:right="0" w:hanging="0"/>
              <w:jc w:val="center"/>
              <w:rPr/>
            </w:pPr>
            <w:r>
              <w:rPr/>
              <w:t>​</w:t>
            </w:r>
          </w:p>
        </w:tc>
        <w:tc>
          <w:tcPr>
            <w:tcW w:w="2032" w:type="dxa"/>
            <w:tcBorders/>
            <w:shd w:fill="CCEEFF" w:val="clear"/>
            <w:vAlign w:val="center"/>
          </w:tcPr>
          <w:p>
            <w:pPr>
              <w:pStyle w:val="TableContents"/>
              <w:bidi w:val="0"/>
              <w:spacing w:before="0" w:after="0"/>
              <w:ind w:left="0" w:right="0" w:hanging="0"/>
              <w:jc w:val="right"/>
              <w:rPr/>
            </w:pPr>
            <w:r>
              <w:rPr/>
              <w:t>​</w:t>
            </w:r>
          </w:p>
        </w:tc>
      </w:tr>
      <w:tr>
        <w:trPr/>
        <w:tc>
          <w:tcPr>
            <w:tcW w:w="524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409" w:type="dxa"/>
            <w:tcBorders/>
            <w:vAlign w:val="center"/>
          </w:tcPr>
          <w:p>
            <w:pPr>
              <w:pStyle w:val="TableContents"/>
              <w:bidi w:val="0"/>
              <w:spacing w:before="0" w:after="0"/>
              <w:ind w:left="0" w:right="0" w:hanging="0"/>
              <w:jc w:val="center"/>
              <w:rPr/>
            </w:pPr>
            <w:r>
              <w:rPr/>
              <w:t>​</w:t>
            </w:r>
          </w:p>
        </w:tc>
        <w:tc>
          <w:tcPr>
            <w:tcW w:w="20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both"/>
              <w:rPr/>
            </w:pPr>
            <w:r>
              <w:rPr/>
              <w:t>​</w:t>
            </w:r>
          </w:p>
        </w:tc>
        <w:tc>
          <w:tcPr>
            <w:tcW w:w="394" w:type="dxa"/>
            <w:tcBorders/>
            <w:vAlign w:val="center"/>
          </w:tcPr>
          <w:p>
            <w:pPr>
              <w:pStyle w:val="TableContents"/>
              <w:bidi w:val="0"/>
              <w:spacing w:before="0" w:after="0"/>
              <w:ind w:left="0" w:right="0" w:hanging="0"/>
              <w:jc w:val="center"/>
              <w:rPr/>
            </w:pPr>
            <w:r>
              <w:rPr/>
              <w:t>​</w:t>
            </w:r>
          </w:p>
        </w:tc>
        <w:tc>
          <w:tcPr>
            <w:tcW w:w="2032" w:type="dxa"/>
            <w:tcBorders/>
            <w:vAlign w:val="center"/>
          </w:tcPr>
          <w:p>
            <w:pPr>
              <w:pStyle w:val="TableContents"/>
              <w:bidi w:val="0"/>
              <w:spacing w:before="0" w:after="0"/>
              <w:ind w:left="0" w:right="0" w:hanging="0"/>
              <w:jc w:val="right"/>
              <w:rPr/>
            </w:pPr>
            <w:r>
              <w:rPr/>
              <w:t>​</w:t>
            </w:r>
          </w:p>
        </w:tc>
      </w:tr>
      <w:tr>
        <w:trPr/>
        <w:tc>
          <w:tcPr>
            <w:tcW w:w="5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w:t>
            </w:r>
          </w:p>
        </w:tc>
        <w:tc>
          <w:tcPr>
            <w:tcW w:w="409" w:type="dxa"/>
            <w:tcBorders/>
            <w:shd w:fill="CCEEFF" w:val="clear"/>
            <w:vAlign w:val="center"/>
          </w:tcPr>
          <w:p>
            <w:pPr>
              <w:pStyle w:val="TableContents"/>
              <w:bidi w:val="0"/>
              <w:spacing w:before="0" w:after="0"/>
              <w:ind w:left="0" w:right="0" w:hanging="0"/>
              <w:jc w:val="right"/>
              <w:rPr/>
            </w:pPr>
            <w:r>
              <w:rPr/>
              <w:t>​</w:t>
            </w:r>
          </w:p>
        </w:tc>
        <w:tc>
          <w:tcPr>
            <w:tcW w:w="2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15,381,565</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2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15,378,543</w:t>
            </w:r>
          </w:p>
        </w:tc>
      </w:tr>
      <w:tr>
        <w:trPr/>
        <w:tc>
          <w:tcPr>
            <w:tcW w:w="5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effect of shares issuable to Convertible Securities Notes (if-converted method)</w:t>
            </w:r>
          </w:p>
        </w:tc>
        <w:tc>
          <w:tcPr>
            <w:tcW w:w="409" w:type="dxa"/>
            <w:tcBorders/>
            <w:vAlign w:val="center"/>
          </w:tcPr>
          <w:p>
            <w:pPr>
              <w:pStyle w:val="TableContents"/>
              <w:bidi w:val="0"/>
              <w:spacing w:before="0" w:after="0"/>
              <w:ind w:left="0" w:right="0" w:hanging="0"/>
              <w:jc w:val="right"/>
              <w:rPr/>
            </w:pPr>
            <w:r>
              <w:rPr/>
              <w:t>​</w:t>
            </w:r>
          </w:p>
        </w:tc>
        <w:tc>
          <w:tcPr>
            <w:tcW w:w="20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2032" w:type="dxa"/>
            <w:tcBorders/>
            <w:vAlign w:val="center"/>
          </w:tcPr>
          <w:p>
            <w:pPr>
              <w:pStyle w:val="TableContents"/>
              <w:bidi w:val="0"/>
              <w:spacing w:before="0" w:after="0"/>
              <w:ind w:left="0" w:right="0" w:hanging="0"/>
              <w:jc w:val="right"/>
              <w:rPr/>
            </w:pPr>
            <w:r>
              <w:rPr/>
              <w:t>—</w:t>
            </w:r>
          </w:p>
        </w:tc>
      </w:tr>
      <w:tr>
        <w:trPr/>
        <w:tc>
          <w:tcPr>
            <w:tcW w:w="5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Diluted</w:t>
            </w:r>
          </w:p>
        </w:tc>
        <w:tc>
          <w:tcPr>
            <w:tcW w:w="409" w:type="dxa"/>
            <w:tcBorders/>
            <w:shd w:fill="CCEEFF" w:val="clear"/>
            <w:vAlign w:val="center"/>
          </w:tcPr>
          <w:p>
            <w:pPr>
              <w:pStyle w:val="TableContents"/>
              <w:bidi w:val="0"/>
              <w:spacing w:before="0" w:after="0"/>
              <w:ind w:left="0" w:right="0" w:hanging="0"/>
              <w:jc w:val="right"/>
              <w:rPr/>
            </w:pPr>
            <w:r>
              <w:rPr/>
              <w:t>​</w:t>
            </w:r>
          </w:p>
        </w:tc>
        <w:tc>
          <w:tcPr>
            <w:tcW w:w="20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15,381,565</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20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15,378,543</w:t>
            </w:r>
          </w:p>
        </w:tc>
      </w:tr>
      <w:tr>
        <w:trPr/>
        <w:tc>
          <w:tcPr>
            <w:tcW w:w="5241"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shares – Diluted (if-converted method)</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net loss per share calculations for the periods presented because the impact of including them would be anti-dilutive:</w:t>
      </w:r>
    </w:p>
    <w:p>
      <w:pPr>
        <w:pStyle w:val="TextBody"/>
        <w:bidi w:val="0"/>
        <w:spacing w:before="0" w:after="0"/>
        <w:ind w:left="0" w:right="0" w:firstLine="360"/>
        <w:jc w:val="both"/>
        <w:rPr/>
      </w:pPr>
      <w:r>
        <w:rPr/>
        <w:t>​</w:t>
      </w:r>
    </w:p>
    <w:tbl>
      <w:tblPr>
        <w:tblW w:w="7266" w:type="dxa"/>
        <w:jc w:val="left"/>
        <w:tblInd w:w="0" w:type="dxa"/>
        <w:tblLayout w:type="fixed"/>
        <w:tblCellMar>
          <w:top w:w="0" w:type="dxa"/>
          <w:left w:w="0" w:type="dxa"/>
          <w:bottom w:w="0" w:type="dxa"/>
          <w:right w:w="0" w:type="dxa"/>
        </w:tblCellMar>
      </w:tblPr>
      <w:tblGrid>
        <w:gridCol w:w="5566"/>
        <w:gridCol w:w="109"/>
        <w:gridCol w:w="1591"/>
      </w:tblGrid>
      <w:tr>
        <w:trPr/>
        <w:tc>
          <w:tcPr>
            <w:tcW w:w="5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55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 Warrants</w:t>
            </w:r>
          </w:p>
        </w:tc>
        <w:tc>
          <w:tcPr>
            <w:tcW w:w="109" w:type="dxa"/>
            <w:tcBorders/>
            <w:shd w:fill="CCEEFF" w:val="clear"/>
            <w:vAlign w:val="center"/>
          </w:tcPr>
          <w:p>
            <w:pPr>
              <w:pStyle w:val="TableContents"/>
              <w:bidi w:val="0"/>
              <w:spacing w:before="0" w:after="0"/>
              <w:ind w:left="0" w:right="0" w:hanging="0"/>
              <w:jc w:val="center"/>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7,528,727</w:t>
            </w:r>
          </w:p>
        </w:tc>
      </w:tr>
      <w:tr>
        <w:trPr/>
        <w:tc>
          <w:tcPr>
            <w:tcW w:w="55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109"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Earn-out Shares, subject to vesting conditions</w:t>
            </w:r>
          </w:p>
        </w:tc>
        <w:tc>
          <w:tcPr>
            <w:tcW w:w="109" w:type="dxa"/>
            <w:tcBorders/>
            <w:shd w:fill="CCEEFF" w:val="clear"/>
            <w:vAlign w:val="center"/>
          </w:tcPr>
          <w:p>
            <w:pPr>
              <w:pStyle w:val="TableContents"/>
              <w:bidi w:val="0"/>
              <w:spacing w:before="0" w:after="0"/>
              <w:ind w:left="0" w:right="0" w:hanging="0"/>
              <w:jc w:val="center"/>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1,147,500</w:t>
            </w:r>
          </w:p>
        </w:tc>
      </w:tr>
      <w:tr>
        <w:trPr/>
        <w:tc>
          <w:tcPr>
            <w:tcW w:w="55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 issued in connection with the Business Combination</w:t>
            </w:r>
          </w:p>
        </w:tc>
        <w:tc>
          <w:tcPr>
            <w:tcW w:w="109" w:type="dxa"/>
            <w:tcBorders/>
            <w:vAlign w:val="center"/>
          </w:tcPr>
          <w:p>
            <w:pPr>
              <w:pStyle w:val="TableContents"/>
              <w:bidi w:val="0"/>
              <w:spacing w:before="0" w:after="0"/>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potentially dilutive securities</w:t>
            </w:r>
          </w:p>
        </w:tc>
        <w:tc>
          <w:tcPr>
            <w:tcW w:w="109" w:type="dxa"/>
            <w:tcBorders/>
            <w:shd w:fill="CCEEFF" w:val="clear"/>
            <w:vAlign w:val="center"/>
          </w:tcPr>
          <w:p>
            <w:pPr>
              <w:pStyle w:val="TableContents"/>
              <w:bidi w:val="0"/>
              <w:spacing w:before="0" w:after="0"/>
              <w:ind w:left="0" w:right="0" w:hanging="0"/>
              <w:jc w:val="both"/>
              <w:rPr/>
            </w:pPr>
            <w:r>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10,183,814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 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nine months ended September 30, 2025 (Successor) there was no material change from the fiscal year ended December 31, 2024 (Successor) in the amount of the Company's deferred tax assets that are not considered to be more likely than not to be realized in future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periods from January 1, 2024 to July 30, 2024 (Predecessor) and July 31, 2024 to September 30, 2024 (Successor), the effective tax rate for the Company’s operations was 0.0%.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subject to U.S. federal income tax as well as income tax of foreign and state tax jurisdictions. The tax years 2020-2024 remain open to examination by the major taxing jurisdictions to which the Company is subject, except the Internal Revenue Service for which the tax years 2021-2024 remain open.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Company has incorporated the provisions that were effective during the third quarter of 2025 and assessed that the impacts did not have a material impact on its condensed consolidated financial statements. The Company will continue to assess any future impacts on its condensed consolidated financial statements and will recognize the income tax effects beginning in the period in which they are effective</w:t>
      </w:r>
      <w:r>
        <w:rPr>
          <w:rFonts w:ascii="Arial;Helvetica;sans-serif" w:hAnsi="Arial;Helvetica;sans-serif"/>
          <w:sz w:val="20"/>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818" w:name="_Hlk197706683"/>
      <w:bookmarkEnd w:id="1818"/>
      <w:r>
        <w:rPr>
          <w:rFonts w:ascii="Times New Roman;Times;serif" w:hAnsi="Times New Roman;Times;serif"/>
          <w:b/>
          <w:sz w:val="20"/>
        </w:rPr>
        <w:t>Note 17 - Related Party Transactions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Shared Services Agreement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2025 (Successor), the Company incurred less than $0.01 million and $0.4 million, respectively, and during the periods from January 1, 2024 to July 30, 2024 (Predecessor), from July 31, 2024 to September 30, 2024 (Successor), and from July 1, 2024 to July 30, 2024 (Predecessor), the Company incurred $0.9 million, $0.2 million, $0.1 million and $0.4 million respectively, for finance and accounting services and other general and administrative support services pursuant to a Shared Services Agreement (“Shared Services Agreement”) with Fjord Ventures (“Fjord”), a company owned and operated by the Company’s former Chief Executive Officer. The transactions are recorded as selling, general and administrative expenses on the condensed consolidated statements of operations and comprehensive loss (income).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Laguna Hills Sublease (Predecessor)</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the Shared Services Agreement, Legacy Adagio also sub-leased approximately 4,992 square feet of office and manufacturing space in Laguna Hills, California from Fjord. On March 31, 2024, the sub-lease with Fjord expired.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 from January 1, 2024 to July 30, 2024 (Predecessor), Legacy Adagio incurred $25.5 thousand of lease expense under the sub-lease agreement.</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11 - Operating Leases</w:t>
      </w:r>
      <w:r>
        <w:rPr>
          <w:rFonts w:ascii="Times New Roman;Times;serif" w:hAnsi="Times New Roman;Times;serif"/>
          <w:sz w:val="20"/>
        </w:rPr>
        <w:t xml:space="preserve"> for further detail.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October 2022 Convertible Notes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27, 2022, Legacy Adagio issued a $0.5 million convertible promissory note to Fjordinvest, LLC (“Fjordinvest”), a company owned and operated by the Legacy Adagio’s Chief Executive Officer, Olav Bergheim. On April 4, 2023, November 28, 2023, and February 13, 2024, the October 2022 Convertible Notes were amended. Refer to </w:t>
      </w:r>
      <w:r>
        <w:rPr>
          <w:rFonts w:ascii="Times New Roman;Times;serif" w:hAnsi="Times New Roman;Times;serif"/>
          <w:i/>
          <w:sz w:val="20"/>
        </w:rPr>
        <w:t>Note 9 - Debt</w:t>
      </w:r>
      <w:r>
        <w:rPr>
          <w:rFonts w:ascii="Times New Roman;Times;serif" w:hAnsi="Times New Roman;Times;serif"/>
          <w:sz w:val="20"/>
        </w:rPr>
        <w:t xml:space="preserve"> for additional information regarding the October 2022 Convertible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and the Convertible Securities Notes agreement, the Company issued a $7.0 million Convertible Securities Notes to Perceptive PIPE Investor, the controlling party of the Company, in exchange for Perceptive PIPE Investor’s investment in Legacy Adagio in the form of the February 2024 Convertible Notes. Refer to </w:t>
      </w:r>
      <w:r>
        <w:rPr>
          <w:rFonts w:ascii="Times New Roman;Times;serif" w:hAnsi="Times New Roman;Times;serif"/>
          <w:i/>
          <w:sz w:val="20"/>
        </w:rPr>
        <w:t xml:space="preserve">Note 9 - Debt </w:t>
      </w:r>
      <w:r>
        <w:rPr>
          <w:rFonts w:ascii="Times New Roman;Times;serif" w:hAnsi="Times New Roman;Times;serif"/>
          <w:sz w:val="20"/>
        </w:rPr>
        <w:t>for additional information regarding the Convertible Securities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PIPE Financing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and the 2024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Times;serif" w:hAnsi="Times New Roman;Times;serif"/>
          <w:i/>
          <w:sz w:val="20"/>
        </w:rPr>
        <w:t>Note 9 - Debt</w:t>
      </w:r>
      <w:r>
        <w:rPr>
          <w:rFonts w:ascii="Times New Roman;Times;serif" w:hAnsi="Times New Roman;Times;serif"/>
          <w:sz w:val="20"/>
        </w:rPr>
        <w:t xml:space="preserve"> for additional information regarding the 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in connection with the 2024 PIPE Financing, the Company issued 2,250,352 shares of the Company’s common stock and 1,905,069 Base Warrants to Perceptive PIPE Investor, the controlling party of the Company, in exchange for Perceptive PIPE Investor’s additional cash investment of approximately $15.9 million in the Company.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819" w:name="Tc_7VHWJ3va7kG_mTQ5kK7cZg_11_20"/>
      <w:bookmarkStart w:id="1820" w:name="Tc_A-B9ZV6OY0aWOt9hnoE00w_11_16"/>
      <w:bookmarkStart w:id="1821" w:name="Tc_dDIBmBozsEaA-sWDVjz7iw_11_13"/>
      <w:bookmarkStart w:id="1822" w:name="Tc_2ykdkhYXQ0ePKRpA3aD6sA_11_9"/>
      <w:bookmarkStart w:id="1823" w:name="Tc_B3VzfswzM0G9e9OXA_xyjA_11_5"/>
      <w:bookmarkStart w:id="1824" w:name="Tc_K0_c0fIv-UeYdlFsLPisXg_11_2"/>
      <w:bookmarkStart w:id="1825" w:name="Tc_YT1TbDrdWUuYLjDVetJ4Jg_11_0"/>
      <w:bookmarkStart w:id="1826" w:name="Tc_B7AYXLgggU-vJrHtMYX0Zg_10_0"/>
      <w:bookmarkStart w:id="1827" w:name="Tc_0DpteM-dfE6aCJmbU05reQ_9_0"/>
      <w:bookmarkStart w:id="1828" w:name="Tc_9gtNu6MgWEGjoJpMBAFL0A_8_0"/>
      <w:bookmarkStart w:id="1829" w:name="Tc_cCkziz1bNkSZrbREiha3Lw_7_0"/>
      <w:bookmarkStart w:id="1830" w:name="Tc_rS32Y-tRi0SiUbwBh-2xSg_6_0"/>
      <w:bookmarkStart w:id="1831" w:name="Tc_rpy6SWGCNEengadt4qLpOw_5_20"/>
      <w:bookmarkStart w:id="1832" w:name="Tc_eFh7B_W8_kCsHWSj4XlS-w_5_16"/>
      <w:bookmarkStart w:id="1833" w:name="Tc_EcTODeV02kud6r9OR3SqRA_5_14"/>
      <w:bookmarkStart w:id="1834" w:name="Tc_yv_cHuPEi0a6apUZKgLhvg_5_13"/>
      <w:bookmarkStart w:id="1835" w:name="Tc_R_XCUS-VZkCfQXYFpH3rIA_5_9"/>
      <w:bookmarkStart w:id="1836" w:name="Tc_mg4SzSX040e0bHXOdFvM2w_5_5"/>
      <w:bookmarkStart w:id="1837" w:name="Tc_OrRA4Zk4GkOrkB37qSIbbA_5_3"/>
      <w:bookmarkStart w:id="1838" w:name="Tc_1dlgjnjxAEO4F0fdUV3DfA_5_2"/>
      <w:bookmarkStart w:id="1839" w:name="Tc_co70re4lKESBRZGJjr71Qw_5_0"/>
      <w:bookmarkStart w:id="1840" w:name="Tc_9GJ0yrrVYk265jV_WlScTw_4_20"/>
      <w:bookmarkStart w:id="1841" w:name="Tc_2_PfUlIYYU2A_x3FK5ujiA_4_16"/>
      <w:bookmarkStart w:id="1842" w:name="Tc_BwWsWFxD30WSEXa0bf7iKA_4_9"/>
      <w:bookmarkStart w:id="1843" w:name="Tc_sUm-dIJBzUaR-hlxYc3fUQ_4_5"/>
      <w:bookmarkStart w:id="1844" w:name="Tc_ObvggiWf-UqXQh_7Tg5wnA_3_20"/>
      <w:bookmarkStart w:id="1845" w:name="Tc_88V8ZYeRdki2uSqEVgkEvA_3_16"/>
      <w:bookmarkStart w:id="1846" w:name="Tc_GUXuYgpXUUm58WNvzBdMvQ_3_13"/>
      <w:bookmarkStart w:id="1847" w:name="Tc_6HWTDMbuGkiURMbIR-p1Mw_3_9"/>
      <w:bookmarkStart w:id="1848" w:name="Tc_xr_tDMW3HECw87uJhKNqOw_3_5"/>
      <w:bookmarkStart w:id="1849" w:name="Tc_kV7eKcka7UWI4l9XoD0GqQ_3_2"/>
      <w:bookmarkStart w:id="1850" w:name="Tc_dS-vW6XPGkGSVVy3yRGqeA_2_16"/>
      <w:bookmarkStart w:id="1851" w:name="Tc_MUk4ChaS5kG6nMitKT92DQ_2_13"/>
      <w:bookmarkStart w:id="1852" w:name="Tc_UdRCFymKqEKFed_FoLVjPA_2_5"/>
      <w:bookmarkStart w:id="1853" w:name="Tc_iLQ95WUfj0ymhWSkwlwboQ_2_2"/>
      <w:bookmarkStart w:id="1854" w:name="Tc_f7PVx96vV0GJ4MLp5PhmBQ_1_13"/>
      <w:bookmarkStart w:id="1855" w:name="Tc_k1eJZk5gjkOTEUpmdLgIWA_1_2"/>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r>
        <w:rPr>
          <w:rFonts w:ascii="Times New Roman;Times;serif" w:hAnsi="Times New Roman;Times;serif"/>
          <w:b/>
          <w:sz w:val="20"/>
        </w:rPr>
        <w:t>Note 18 – Segment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adopted ASU 2023-07 during the year ended December 31, 2024, retrospectively to all periods presented in the consolidated financial statements. The Company has one reportable segment managed on a consolidated basis by the Chief Executive Officer (CEO), who is the CODM. In identifying one reportable segment, the Company considered the basis of organization for the design and development and commercialization of ablation technologies for the treatment of cardiac arrhythmias.</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accounting policies of the segment are the same as those described in the summary of significant accounting policies. The CODM assesses performance and decides how to allocate resources based on consolidated net loss (income) as reported in the consolidated statements of operations and comprehensive loss (income). There are no other expense categories regularly provided to the CODM that are not already included in the consolidated statements of operations and comprehensive loss (income). The measure of segment assets is reported on the balance sheet as cash, cash equivalents and money market accounts.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Summary of segment net loss (income), including significant segment expenses were as follows: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975"/>
        <w:gridCol w:w="109"/>
        <w:gridCol w:w="211"/>
        <w:gridCol w:w="760"/>
        <w:gridCol w:w="109"/>
        <w:gridCol w:w="377"/>
        <w:gridCol w:w="1030"/>
        <w:gridCol w:w="109"/>
        <w:gridCol w:w="109"/>
        <w:gridCol w:w="277"/>
        <w:gridCol w:w="833"/>
        <w:gridCol w:w="109"/>
        <w:gridCol w:w="214"/>
        <w:gridCol w:w="211"/>
        <w:gridCol w:w="760"/>
        <w:gridCol w:w="109"/>
        <w:gridCol w:w="377"/>
        <w:gridCol w:w="1030"/>
        <w:gridCol w:w="109"/>
        <w:gridCol w:w="109"/>
        <w:gridCol w:w="261"/>
        <w:gridCol w:w="1017"/>
      </w:tblGrid>
      <w:tr>
        <w:trPr/>
        <w:tc>
          <w:tcPr>
            <w:tcW w:w="1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54125" cy="175260"/>
                      <wp:effectExtent l="0" t="0" r="0" b="0"/>
                      <wp:wrapNone/>
                      <wp:docPr id="252" name="Frame252"/>
                      <a:graphic xmlns:a="http://schemas.openxmlformats.org/drawingml/2006/main">
                        <a:graphicData uri="http://schemas.microsoft.com/office/word/2010/wordprocessingShape">
                          <wps:wsp>
                            <wps:cNvSpPr txBox="1"/>
                            <wps:spPr>
                              <a:xfrm>
                                <a:off x="0" y="0"/>
                                <a:ext cx="1254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82600" cy="175260"/>
                      <wp:effectExtent l="0" t="0" r="0" b="0"/>
                      <wp:wrapNone/>
                      <wp:docPr id="255" name="Frame255"/>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39395" cy="175260"/>
                      <wp:effectExtent l="0" t="0" r="0" b="0"/>
                      <wp:wrapNone/>
                      <wp:docPr id="257" name="Frame25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54050" cy="175260"/>
                      <wp:effectExtent l="0" t="0" r="0" b="0"/>
                      <wp:wrapNone/>
                      <wp:docPr id="258" name="Frame258"/>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75895" cy="175260"/>
                      <wp:effectExtent l="0" t="0" r="0" b="0"/>
                      <wp:wrapNone/>
                      <wp:docPr id="261" name="Frame26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28955" cy="175260"/>
                      <wp:effectExtent l="0" t="0" r="0" b="0"/>
                      <wp:wrapNone/>
                      <wp:docPr id="262" name="Frame262"/>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5890" cy="175260"/>
                      <wp:effectExtent l="0" t="0" r="0" b="0"/>
                      <wp:wrapNone/>
                      <wp:docPr id="264" name="Frame26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82600" cy="175260"/>
                      <wp:effectExtent l="0" t="0" r="0" b="0"/>
                      <wp:wrapNone/>
                      <wp:docPr id="266" name="Frame266"/>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39395" cy="175260"/>
                      <wp:effectExtent l="0" t="0" r="0" b="0"/>
                      <wp:wrapNone/>
                      <wp:docPr id="268" name="Frame268"/>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54050" cy="175260"/>
                      <wp:effectExtent l="0" t="0" r="0" b="0"/>
                      <wp:wrapNone/>
                      <wp:docPr id="269" name="Frame269"/>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65735" cy="175260"/>
                      <wp:effectExtent l="0" t="0" r="0" b="0"/>
                      <wp:wrapNone/>
                      <wp:docPr id="272" name="Frame27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5795" cy="175260"/>
                      <wp:effectExtent l="0" t="0" r="0" b="0"/>
                      <wp:wrapNone/>
                      <wp:docPr id="273" name="Frame273"/>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2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214" w:type="dxa"/>
            <w:tcBorders/>
            <w:vAlign w:val="center"/>
          </w:tcPr>
          <w:p>
            <w:pPr>
              <w:pStyle w:val="TableContents"/>
              <w:bidi w:val="0"/>
              <w:spacing w:before="0" w:after="1"/>
              <w:ind w:left="0" w:right="0" w:hanging="0"/>
              <w:jc w:val="center"/>
              <w:rPr/>
            </w:pPr>
            <w:r>
              <w:rPr/>
              <w:t>​</w:t>
            </w:r>
          </w:p>
        </w:tc>
        <w:tc>
          <w:tcPr>
            <w:tcW w:w="3983"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9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2735"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center"/>
              <w:rPr/>
            </w:pPr>
            <w:r>
              <w:rPr/>
              <w:t>​</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2903"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9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1"/>
              <w:ind w:left="0" w:right="0" w:hanging="0"/>
              <w:jc w:val="left"/>
              <w:rPr/>
            </w:pPr>
            <w:r>
              <w:rPr/>
              <w:t>​</w:t>
            </w:r>
          </w:p>
        </w:tc>
        <w:tc>
          <w:tcPr>
            <w:tcW w:w="14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center"/>
              <w:rPr/>
            </w:pPr>
            <w:r>
              <w:rPr/>
              <w:t>​</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1"/>
              <w:ind w:left="0" w:right="0" w:hanging="0"/>
              <w:jc w:val="left"/>
              <w:rPr/>
            </w:pPr>
            <w:r>
              <w:rPr/>
              <w:t>​</w:t>
            </w:r>
          </w:p>
        </w:tc>
        <w:tc>
          <w:tcPr>
            <w:tcW w:w="14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2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19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1 to July 30</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both"/>
              <w:rPr/>
            </w:pPr>
            <w:r>
              <w:rPr/>
              <w:t>   ​</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1"/>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center"/>
              <w:rPr/>
            </w:pPr>
            <w:r>
              <w:rPr/>
              <w:t>​</w:t>
            </w:r>
          </w:p>
        </w:tc>
        <w:tc>
          <w:tcPr>
            <w:tcW w:w="12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 to July 30</w:t>
            </w:r>
          </w:p>
        </w:tc>
      </w:tr>
      <w:tr>
        <w:trPr/>
        <w:tc>
          <w:tcPr>
            <w:tcW w:w="19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19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6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right"/>
              <w:rPr/>
            </w:pPr>
            <w:r>
              <w:rPr/>
              <w:t>​</w:t>
            </w:r>
          </w:p>
        </w:tc>
        <w:tc>
          <w:tcPr>
            <w:tcW w:w="1030"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77" w:type="dxa"/>
            <w:tcBorders/>
            <w:vAlign w:val="center"/>
          </w:tcPr>
          <w:p>
            <w:pPr>
              <w:pStyle w:val="TableContents"/>
              <w:bidi w:val="0"/>
              <w:spacing w:before="0" w:after="1"/>
              <w:ind w:left="0" w:right="0" w:hanging="0"/>
              <w:jc w:val="right"/>
              <w:rPr/>
            </w:pPr>
            <w:r>
              <w:rPr/>
              <w:t>​</w:t>
            </w:r>
          </w:p>
        </w:tc>
        <w:tc>
          <w:tcPr>
            <w:tcW w:w="8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6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right"/>
              <w:rPr/>
            </w:pPr>
            <w:r>
              <w:rPr/>
              <w:t>​</w:t>
            </w:r>
          </w:p>
        </w:tc>
        <w:tc>
          <w:tcPr>
            <w:tcW w:w="1030" w:type="dxa"/>
            <w:tcBorders/>
            <w:vAlign w:val="center"/>
          </w:tcPr>
          <w:p>
            <w:pPr>
              <w:pStyle w:val="TableContents"/>
              <w:bidi w:val="0"/>
              <w:spacing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61" w:type="dxa"/>
            <w:tcBorders/>
            <w:vAlign w:val="center"/>
          </w:tcPr>
          <w:p>
            <w:pPr>
              <w:pStyle w:val="TableContents"/>
              <w:bidi w:val="0"/>
              <w:spacing w:before="0" w:after="1"/>
              <w:ind w:left="0" w:right="0" w:hanging="0"/>
              <w:jc w:val="right"/>
              <w:rPr/>
            </w:pPr>
            <w:r>
              <w:rPr/>
              <w:t>​</w:t>
            </w:r>
          </w:p>
        </w:tc>
        <w:tc>
          <w:tcPr>
            <w:tcW w:w="1017" w:type="dxa"/>
            <w:tcBorders/>
            <w:vAlign w:val="center"/>
          </w:tcPr>
          <w:p>
            <w:pPr>
              <w:pStyle w:val="TableContents"/>
              <w:bidi w:val="0"/>
              <w:spacing w:before="0" w:after="1"/>
              <w:ind w:left="0" w:right="0" w:hanging="0"/>
              <w:jc w:val="right"/>
              <w:rPr/>
            </w:pPr>
            <w:r>
              <w:rPr/>
              <w:t>​</w:t>
            </w:r>
          </w:p>
        </w:tc>
      </w:tr>
      <w:tr>
        <w:trPr/>
        <w:tc>
          <w:tcPr>
            <w:tcW w:w="19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right"/>
              <w:rPr/>
            </w:pPr>
            <w:r>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77" w:type="dxa"/>
            <w:tcBorders/>
            <w:shd w:fill="CCEEFF" w:val="clear"/>
            <w:vAlign w:val="center"/>
          </w:tcPr>
          <w:p>
            <w:pPr>
              <w:pStyle w:val="TableContents"/>
              <w:bidi w:val="0"/>
              <w:spacing w:before="0" w:after="1"/>
              <w:ind w:left="0" w:right="0" w:hanging="0"/>
              <w:jc w:val="righ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right"/>
              <w:rPr/>
            </w:pPr>
            <w:r>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61" w:type="dxa"/>
            <w:tcBorders/>
            <w:shd w:fill="CCEEFF" w:val="clear"/>
            <w:vAlign w:val="center"/>
          </w:tcPr>
          <w:p>
            <w:pPr>
              <w:pStyle w:val="TableContents"/>
              <w:bidi w:val="0"/>
              <w:spacing w:before="0" w:after="1"/>
              <w:ind w:left="0" w:right="0" w:hanging="0"/>
              <w:jc w:val="righ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w:t>
            </w:r>
          </w:p>
        </w:tc>
      </w:tr>
      <w:tr>
        <w:trPr/>
        <w:tc>
          <w:tcPr>
            <w:tcW w:w="19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w:t>
            </w:r>
          </w:p>
        </w:tc>
        <w:tc>
          <w:tcPr>
            <w:tcW w:w="109"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right"/>
              <w:rPr/>
            </w:pPr>
            <w:r>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77" w:type="dxa"/>
            <w:tcBorders/>
            <w:vAlign w:val="center"/>
          </w:tcPr>
          <w:p>
            <w:pPr>
              <w:pStyle w:val="TableContents"/>
              <w:bidi w:val="0"/>
              <w:spacing w:before="0" w:after="1"/>
              <w:ind w:left="0" w:right="0" w:hanging="0"/>
              <w:jc w:val="right"/>
              <w:rPr/>
            </w:pPr>
            <w:r>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8,404</w:t>
            </w:r>
          </w:p>
        </w:tc>
        <w:tc>
          <w:tcPr>
            <w:tcW w:w="109"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right"/>
              <w:rPr/>
            </w:pPr>
            <w:r>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61" w:type="dxa"/>
            <w:tcBorders/>
            <w:vAlign w:val="center"/>
          </w:tcPr>
          <w:p>
            <w:pPr>
              <w:pStyle w:val="TableContents"/>
              <w:bidi w:val="0"/>
              <w:spacing w:before="0" w:after="1"/>
              <w:ind w:left="0" w:right="0" w:hanging="0"/>
              <w:jc w:val="righ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7,585</w:t>
            </w:r>
          </w:p>
        </w:tc>
      </w:tr>
      <w:tr>
        <w:trPr/>
        <w:tc>
          <w:tcPr>
            <w:tcW w:w="19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4,851</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8,892</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13,047</w:t>
            </w:r>
          </w:p>
        </w:tc>
      </w:tr>
      <w:tr>
        <w:trPr/>
        <w:tc>
          <w:tcPr>
            <w:tcW w:w="19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(4,397)</w:t>
            </w:r>
          </w:p>
        </w:tc>
        <w:tc>
          <w:tcPr>
            <w:tcW w:w="109"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8,031</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(3,856)</w:t>
            </w:r>
          </w:p>
        </w:tc>
        <w:tc>
          <w:tcPr>
            <w:tcW w:w="109"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8,031</w:t>
            </w:r>
          </w:p>
        </w:tc>
        <w:tc>
          <w:tcPr>
            <w:tcW w:w="109"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1"/>
              <w:ind w:left="0" w:right="0" w:hanging="0"/>
              <w:jc w:val="righ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19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(10,118)</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(8,235)</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(21,778)</w:t>
            </w:r>
          </w:p>
        </w:tc>
        <w:tc>
          <w:tcPr>
            <w:tcW w:w="109" w:type="dxa"/>
            <w:tcBorders/>
            <w:shd w:fill="CCEEFF" w:val="clear"/>
            <w:vAlign w:val="center"/>
          </w:tcPr>
          <w:p>
            <w:pPr>
              <w:pStyle w:val="TableContents"/>
              <w:bidi w:val="0"/>
              <w:spacing w:before="0" w:after="1"/>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w:t>
            </w:r>
          </w:p>
        </w:tc>
        <w:tc>
          <w:tcPr>
            <w:tcW w:w="109"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1"/>
              <w:ind w:left="0" w:right="0" w:hanging="0"/>
              <w:jc w:val="righ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19 - Subsequent Events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On October 14, 2025, the Company entered into a Securities Purchase Agreement (the “Securities Purchase Agreement”) with certain accredited healthcare investors (the “Purchasers”) pursuant to which it issued and sold to the Purchasers in the Private Placement: (i) 9,792,506</w:t>
      </w:r>
      <w:r>
        <w:rPr>
          <w:rFonts w:ascii="Times New Roman;Times;serif" w:hAnsi="Times New Roman;Times;serif"/>
          <w:b/>
          <w:sz w:val="20"/>
        </w:rPr>
        <w:t xml:space="preserve"> </w:t>
      </w:r>
      <w:r>
        <w:rPr>
          <w:rFonts w:ascii="Times New Roman;Times;serif" w:hAnsi="Times New Roman;Times;serif"/>
          <w:b w:val="false"/>
          <w:sz w:val="20"/>
        </w:rPr>
        <w:t>shares (the “Shares”) of its common stock, par value $0.0001</w:t>
      </w:r>
      <w:r>
        <w:rPr>
          <w:rFonts w:ascii="Times New Roman;Times;serif" w:hAnsi="Times New Roman;Times;serif"/>
          <w:b/>
          <w:sz w:val="20"/>
        </w:rPr>
        <w:t xml:space="preserve"> </w:t>
      </w:r>
      <w:r>
        <w:rPr>
          <w:rFonts w:ascii="Times New Roman;Times;serif" w:hAnsi="Times New Roman;Times;serif"/>
          <w:b w:val="false"/>
          <w:sz w:val="20"/>
        </w:rPr>
        <w:t>per share (the “Common Stock”), or pre-funded warrants (the “Pre-Funded Warrants”) to purchase shares of Common Stock in lieu thereof, and (ii) accompanying (a) Tranche A Warrants to purchase an aggregate of 6,012,943</w:t>
      </w:r>
      <w:r>
        <w:rPr>
          <w:rFonts w:ascii="Times New Roman;Times;serif" w:hAnsi="Times New Roman;Times;serif"/>
          <w:b/>
          <w:sz w:val="20"/>
        </w:rPr>
        <w:t xml:space="preserve"> </w:t>
      </w:r>
      <w:r>
        <w:rPr>
          <w:rFonts w:ascii="Times New Roman;Times;serif" w:hAnsi="Times New Roman;Times;serif"/>
          <w:b w:val="false"/>
          <w:sz w:val="20"/>
        </w:rPr>
        <w:t>shares of Common Stock (or pre-funded warrants in lieu thereof) (the “Tranche A Warrants”), Tranche B Warrants to purchase an aggregate of 6,012,943</w:t>
      </w:r>
      <w:r>
        <w:rPr>
          <w:rFonts w:ascii="Times New Roman;Times;serif" w:hAnsi="Times New Roman;Times;serif"/>
          <w:b/>
          <w:sz w:val="20"/>
        </w:rPr>
        <w:t xml:space="preserve"> </w:t>
      </w:r>
      <w:r>
        <w:rPr>
          <w:rFonts w:ascii="Times New Roman;Times;serif" w:hAnsi="Times New Roman;Times;serif"/>
          <w:b w:val="false"/>
          <w:sz w:val="20"/>
        </w:rPr>
        <w:t>shares of Common Stock (or pre-funded warrants in lieu thereof) (the “Tranche B Warrants”) and Tranche C Warrants to purchase an aggregate of 6,012,943</w:t>
      </w:r>
      <w:r>
        <w:rPr>
          <w:rFonts w:ascii="Times New Roman;Times;serif" w:hAnsi="Times New Roman;Times;serif"/>
          <w:b/>
          <w:sz w:val="20"/>
        </w:rPr>
        <w:t xml:space="preserve"> </w:t>
      </w:r>
      <w:r>
        <w:rPr>
          <w:rFonts w:ascii="Times New Roman;Times;serif" w:hAnsi="Times New Roman;Times;serif"/>
          <w:b w:val="false"/>
          <w:sz w:val="20"/>
        </w:rPr>
        <w:t>shares of Common Stock (or pre-funded warrants in lieu thereof) (the “Tranche C Warrants” and, together with the Tranche A and Tranche B Warrants, the “Milestone Warrants”), for aggregate gross proceeds of approximately $19</w:t>
      </w:r>
      <w:r>
        <w:rPr>
          <w:rFonts w:ascii="Times New Roman;Times;serif" w:hAnsi="Times New Roman;Times;serif"/>
          <w:b/>
          <w:sz w:val="20"/>
        </w:rPr>
        <w:t xml:space="preserve"> </w:t>
      </w:r>
      <w:r>
        <w:rPr>
          <w:rFonts w:ascii="Times New Roman;Times;serif" w:hAnsi="Times New Roman;Times;serif"/>
          <w:b w:val="false"/>
          <w:sz w:val="20"/>
        </w:rPr>
        <w:t>million (excluding up to approximately $31</w:t>
      </w:r>
      <w:r>
        <w:rPr>
          <w:rFonts w:ascii="Times New Roman;Times;serif" w:hAnsi="Times New Roman;Times;serif"/>
          <w:b/>
          <w:sz w:val="20"/>
        </w:rPr>
        <w:t xml:space="preserve"> </w:t>
      </w:r>
      <w:r>
        <w:rPr>
          <w:rFonts w:ascii="Times New Roman;Times;serif" w:hAnsi="Times New Roman;Times;serif"/>
          <w:b w:val="false"/>
          <w:sz w:val="20"/>
        </w:rPr>
        <w:t>million of aggregate gross proceeds that may be received in the future upon the cash exercise in full of the Milestone Warrants issued in the Private Placement), before deducting placement agent fees and other expenses payable by the Company. Each Share, or Pre-Funded Warrant in lieu thereof,</w:t>
      </w:r>
      <w:r>
        <w:rPr>
          <w:rFonts w:ascii="Times New Roman;Times;serif" w:hAnsi="Times New Roman;Times;serif"/>
          <w:b/>
          <w:sz w:val="20"/>
        </w:rPr>
        <w:t xml:space="preserve"> </w:t>
      </w:r>
      <w:r>
        <w:rPr>
          <w:rFonts w:ascii="Times New Roman;Times;serif" w:hAnsi="Times New Roman;Times;serif"/>
          <w:b w:val="false"/>
          <w:sz w:val="20"/>
        </w:rPr>
        <w:t>sold pursuant to the Securities Purchase Agreement was accompanied by one</w:t>
      </w:r>
      <w:r>
        <w:rPr>
          <w:rFonts w:ascii="Times New Roman;Times;serif" w:hAnsi="Times New Roman;Times;serif"/>
          <w:b/>
          <w:sz w:val="20"/>
        </w:rPr>
        <w:t xml:space="preserve"> </w:t>
      </w:r>
      <w:r>
        <w:rPr>
          <w:rFonts w:ascii="Times New Roman;Times;serif" w:hAnsi="Times New Roman;Times;serif"/>
          <w:b w:val="false"/>
          <w:sz w:val="20"/>
        </w:rPr>
        <w:t>Tranche A Warrant, one</w:t>
      </w:r>
      <w:r>
        <w:rPr>
          <w:rFonts w:ascii="Times New Roman;Times;serif" w:hAnsi="Times New Roman;Times;serif"/>
          <w:b/>
          <w:sz w:val="20"/>
        </w:rPr>
        <w:t xml:space="preserve"> </w:t>
      </w:r>
      <w:r>
        <w:rPr>
          <w:rFonts w:ascii="Times New Roman;Times;serif" w:hAnsi="Times New Roman;Times;serif"/>
          <w:b w:val="false"/>
          <w:sz w:val="20"/>
        </w:rPr>
        <w:t>Tranche B Warrant and one</w:t>
      </w:r>
      <w:r>
        <w:rPr>
          <w:rFonts w:ascii="Times New Roman;Times;serif" w:hAnsi="Times New Roman;Times;serif"/>
          <w:b/>
          <w:sz w:val="20"/>
        </w:rPr>
        <w:t xml:space="preserve"> </w:t>
      </w:r>
      <w:r>
        <w:rPr>
          <w:rFonts w:ascii="Times New Roman;Times;serif" w:hAnsi="Times New Roman;Times;serif"/>
          <w:b w:val="false"/>
          <w:sz w:val="20"/>
        </w:rPr>
        <w:t>Tranche C Warrant. The combined purchase price of each Share and accompanying Milestone Warrants is $1.9403</w:t>
      </w:r>
      <w:r>
        <w:rPr>
          <w:rFonts w:ascii="Times New Roman;Times;serif" w:hAnsi="Times New Roman;Times;serif"/>
          <w:b/>
          <w:sz w:val="20"/>
        </w:rPr>
        <w:t xml:space="preserve"> </w:t>
      </w:r>
      <w:r>
        <w:rPr>
          <w:rFonts w:ascii="Times New Roman;Times;serif" w:hAnsi="Times New Roman;Times;serif"/>
          <w:b w:val="false"/>
          <w:sz w:val="20"/>
        </w:rPr>
        <w:t>and (which includes $0.2303</w:t>
      </w:r>
      <w:r>
        <w:rPr>
          <w:rFonts w:ascii="Times New Roman;Times;serif" w:hAnsi="Times New Roman;Times;serif"/>
          <w:b/>
          <w:sz w:val="20"/>
        </w:rPr>
        <w:t xml:space="preserve"> </w:t>
      </w:r>
      <w:r>
        <w:rPr>
          <w:rFonts w:ascii="Times New Roman;Times;serif" w:hAnsi="Times New Roman;Times;serif"/>
          <w:b w:val="false"/>
          <w:sz w:val="20"/>
        </w:rPr>
        <w:t>for the Milestone Warrants sold with each Share in accordance with the rules and regulations of The Nasdaq Stock Market LLC). The combined purchase price of each Pre-Funded Warrant and accompanying Milestone Warrant is $1.9402</w:t>
      </w:r>
      <w:r>
        <w:rPr>
          <w:rFonts w:ascii="Times New Roman;Times;serif" w:hAnsi="Times New Roman;Times;serif"/>
          <w:b/>
          <w:sz w:val="20"/>
        </w:rPr>
        <w:t xml:space="preserve"> </w:t>
      </w:r>
      <w:r>
        <w:rPr>
          <w:rFonts w:ascii="Times New Roman;Times;serif" w:hAnsi="Times New Roman;Times;serif"/>
          <w:b w:val="false"/>
          <w:sz w:val="20"/>
        </w:rPr>
        <w:t>(equal to the combined purchase price per Share and accompanying Milestone Warrants, minus $0.0001). Entities affiliated with Perceptive Advisors LLC, an affiliate of the Company, purchased Pre-Funded Warrants and Milestone Warrants for an aggregate purchase price of $4,250,000.</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Each Milestone Warrant is exercisable for one share of Common Stock at an exercise price of $1.71</w:t>
      </w:r>
      <w:r>
        <w:rPr>
          <w:rFonts w:ascii="Times New Roman;Times;serif" w:hAnsi="Times New Roman;Times;serif"/>
          <w:b/>
          <w:sz w:val="20"/>
        </w:rPr>
        <w:t xml:space="preserve"> </w:t>
      </w:r>
      <w:r>
        <w:rPr>
          <w:rFonts w:ascii="Times New Roman;Times;serif" w:hAnsi="Times New Roman;Times;serif"/>
          <w:b w:val="false"/>
          <w:sz w:val="20"/>
        </w:rPr>
        <w:t>per share. The Milestone Warrants will expire upon the earlier of (i) five years</w:t>
      </w:r>
      <w:r>
        <w:rPr>
          <w:rFonts w:ascii="Times New Roman;Times;serif" w:hAnsi="Times New Roman;Times;serif"/>
          <w:b/>
          <w:sz w:val="20"/>
        </w:rPr>
        <w:t xml:space="preserve"> </w:t>
      </w:r>
      <w:r>
        <w:rPr>
          <w:rFonts w:ascii="Times New Roman;Times;serif" w:hAnsi="Times New Roman;Times;serif"/>
          <w:b w:val="false"/>
          <w:sz w:val="20"/>
        </w:rPr>
        <w:t xml:space="preserve">from the date of issuance or (ii) (a) for the Tranche A Warrants, the date that is </w:t>
      </w:r>
      <w:r>
        <w:rPr>
          <w:rFonts w:ascii="Times New Roman;Times;serif" w:hAnsi="Times New Roman;Times;serif"/>
          <w:b w:val="false"/>
          <w:i w:val="false"/>
          <w:caps w:val="false"/>
          <w:smallCaps w:val="false"/>
          <w:sz w:val="20"/>
        </w:rPr>
        <w:t>thirty</w:t>
      </w:r>
      <w:r>
        <w:rPr>
          <w:rFonts w:ascii="Times New Roman;Times;serif" w:hAnsi="Times New Roman;Times;serif"/>
          <w:b/>
          <w:sz w:val="20"/>
        </w:rPr>
        <w:t xml:space="preserve"> </w:t>
      </w:r>
      <w:r>
        <w:rPr>
          <w:rFonts w:ascii="Times New Roman;Times;serif" w:hAnsi="Times New Roman;Times;serif"/>
          <w:b w:val="false"/>
          <w:i w:val="false"/>
          <w:caps w:val="false"/>
          <w:smallCaps w:val="false"/>
          <w:sz w:val="20"/>
        </w:rPr>
        <w:t>(30)</w:t>
      </w:r>
      <w:r>
        <w:rPr>
          <w:rFonts w:ascii="Times New Roman;Times;serif" w:hAnsi="Times New Roman;Times;serif"/>
          <w:b/>
          <w:sz w:val="20"/>
        </w:rPr>
        <w:t xml:space="preserve"> </w:t>
      </w:r>
      <w:r>
        <w:rPr>
          <w:rFonts w:ascii="Times New Roman;Times;serif" w:hAnsi="Times New Roman;Times;serif"/>
          <w:b w:val="false"/>
          <w:sz w:val="20"/>
        </w:rPr>
        <w:t xml:space="preserve">days following its announcement of results from the Company’s FULCRUM-VT IDE pivotal clinical trial, (b) for the Tranche B Warrants, the date that is </w:t>
      </w:r>
      <w:r>
        <w:rPr>
          <w:rFonts w:ascii="Times New Roman;Times;serif" w:hAnsi="Times New Roman;Times;serif"/>
          <w:b w:val="false"/>
          <w:i w:val="false"/>
          <w:caps w:val="false"/>
          <w:smallCaps w:val="false"/>
          <w:sz w:val="20"/>
        </w:rPr>
        <w:t>thirty</w:t>
      </w:r>
      <w:r>
        <w:rPr>
          <w:rFonts w:ascii="Times New Roman;Times;serif" w:hAnsi="Times New Roman;Times;serif"/>
          <w:b/>
          <w:sz w:val="20"/>
        </w:rPr>
        <w:t xml:space="preserve"> </w:t>
      </w:r>
      <w:r>
        <w:rPr>
          <w:rFonts w:ascii="Times New Roman;Times;serif" w:hAnsi="Times New Roman;Times;serif"/>
          <w:b w:val="false"/>
          <w:i w:val="false"/>
          <w:caps w:val="false"/>
          <w:smallCaps w:val="false"/>
          <w:sz w:val="20"/>
        </w:rPr>
        <w:t>(30)</w:t>
      </w:r>
      <w:r>
        <w:rPr>
          <w:rFonts w:ascii="Times New Roman;Times;serif" w:hAnsi="Times New Roman;Times;serif"/>
          <w:b/>
          <w:sz w:val="20"/>
        </w:rPr>
        <w:t xml:space="preserve"> </w:t>
      </w:r>
      <w:r>
        <w:rPr>
          <w:rFonts w:ascii="Times New Roman;Times;serif" w:hAnsi="Times New Roman;Times;serif"/>
          <w:b w:val="false"/>
          <w:sz w:val="20"/>
        </w:rPr>
        <w:t xml:space="preserve">days following its announcement of FDA approval of the vCLAS Cryoablation System, and (c) for the Tranche C Warrants, the date that is </w:t>
      </w:r>
      <w:r>
        <w:rPr>
          <w:rFonts w:ascii="Times New Roman;Times;serif" w:hAnsi="Times New Roman;Times;serif"/>
          <w:b w:val="false"/>
          <w:i w:val="false"/>
          <w:caps w:val="false"/>
          <w:smallCaps w:val="false"/>
          <w:sz w:val="20"/>
        </w:rPr>
        <w:t>thirty</w:t>
      </w:r>
      <w:r>
        <w:rPr>
          <w:rFonts w:ascii="Times New Roman;Times;serif" w:hAnsi="Times New Roman;Times;serif"/>
          <w:b/>
          <w:sz w:val="20"/>
        </w:rPr>
        <w:t xml:space="preserve"> </w:t>
      </w:r>
      <w:r>
        <w:rPr>
          <w:rFonts w:ascii="Times New Roman;Times;serif" w:hAnsi="Times New Roman;Times;serif"/>
          <w:b w:val="false"/>
          <w:i w:val="false"/>
          <w:caps w:val="false"/>
          <w:smallCaps w:val="false"/>
          <w:sz w:val="20"/>
        </w:rPr>
        <w:t>(30)</w:t>
      </w:r>
      <w:r>
        <w:rPr>
          <w:rFonts w:ascii="Times New Roman;Times;serif" w:hAnsi="Times New Roman;Times;serif"/>
          <w:b/>
          <w:sz w:val="20"/>
        </w:rPr>
        <w:t xml:space="preserve"> </w:t>
      </w:r>
      <w:r>
        <w:rPr>
          <w:rFonts w:ascii="Times New Roman;Times;serif" w:hAnsi="Times New Roman;Times;serif"/>
          <w:b w:val="false"/>
          <w:sz w:val="20"/>
        </w:rPr>
        <w:t>days following the Company’s announcement of FDA approval of its second generation vCLAS catheter system. The Pre-Funded Warrants are exercisable for one share of Common Stock at an exercise price of $0.0001</w:t>
      </w:r>
      <w:r>
        <w:rPr>
          <w:rFonts w:ascii="Times New Roman;Times;serif" w:hAnsi="Times New Roman;Times;serif"/>
          <w:b/>
          <w:sz w:val="20"/>
        </w:rPr>
        <w:t xml:space="preserve"> </w:t>
      </w:r>
      <w:r>
        <w:rPr>
          <w:rFonts w:ascii="Times New Roman;Times;serif" w:hAnsi="Times New Roman;Times;serif"/>
          <w:b w:val="false"/>
          <w:sz w:val="20"/>
        </w:rPr>
        <w:t>per share. The Pre-Funded Warrants are immediately exercisable and may be exercised at any time until all of the Pre-Funded Warrants are exercised in full.</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A holder (together with its affiliates) of the Pre-Funded Warrants or Milestone Warrants, as the case may be, may not exercise any portion of the Pre-Funded Warrants or Milestone Warrants to the extent that the holder would own more than 4.99%</w:t>
      </w:r>
      <w:r>
        <w:rPr>
          <w:rFonts w:ascii="Times New Roman;Times;serif" w:hAnsi="Times New Roman;Times;serif"/>
          <w:b/>
          <w:sz w:val="20"/>
        </w:rPr>
        <w:t xml:space="preserve"> </w:t>
      </w:r>
      <w:r>
        <w:rPr>
          <w:rFonts w:ascii="Times New Roman;Times;serif" w:hAnsi="Times New Roman;Times;serif"/>
          <w:b w:val="false"/>
          <w:sz w:val="20"/>
        </w:rPr>
        <w:t>(or, at the holder’s option upon issuance, 9.99%) of the Company’s outstanding Common Stock immediately after exercise, which percentage may be changed at the holder’s election to a lower or higher percentage not in excess of 19.99%</w:t>
      </w:r>
      <w:r>
        <w:rPr>
          <w:rFonts w:ascii="Times New Roman;Times;serif" w:hAnsi="Times New Roman;Times;serif"/>
          <w:b/>
          <w:sz w:val="20"/>
        </w:rPr>
        <w:t xml:space="preserve"> </w:t>
      </w:r>
      <w:r>
        <w:rPr>
          <w:rFonts w:ascii="Times New Roman;Times;serif" w:hAnsi="Times New Roman;Times;serif"/>
          <w:b w:val="false"/>
          <w:sz w:val="20"/>
        </w:rPr>
        <w:t>upon 61 days</w:t>
      </w:r>
      <w:r>
        <w:rPr>
          <w:rFonts w:ascii="Times New Roman;Times;serif" w:hAnsi="Times New Roman;Times;serif"/>
          <w:b/>
          <w:sz w:val="20"/>
        </w:rPr>
        <w:t xml:space="preserve">’ </w:t>
      </w:r>
      <w:r>
        <w:rPr>
          <w:rFonts w:ascii="Times New Roman;Times;serif" w:hAnsi="Times New Roman;Times;serif"/>
          <w:b w:val="false"/>
          <w:sz w:val="20"/>
        </w:rPr>
        <w:t>notice to the Company subject to the terms of the Pre-Funded Warrants or the Milestone Warrants. In lieu of making the cash payment otherwise contemplated to be made to the Company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In lieu of making the cash payment otherwise contemplated to be made to the Company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56" w:name="Item2ManagementsDiscussionandAnalysis_12"/>
      <w:bookmarkStart w:id="1857" w:name="_c8a8a7e1_1a30_48e2_bfb6_6e61add47a22"/>
      <w:bookmarkEnd w:id="1856"/>
      <w:bookmarkEnd w:id="1857"/>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firstLine="36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of financial condition and results of operations should be read together with the condensed consolidated financial statements and the related notes and other financial information included elsewhere in this Quarterly Report on Form 10-Q (this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report. Unless the context otherwise requires, references in this section of the Report to “we,” “us,” “Adagio,” and “the Company” refer to the business and operations of Adagio Medical Holdings, Inc. and its consolidated subsidiaries following the consummation of the Business Combination. References to “Legacy Adagio” refer to the business and operation of Adagio Medical, Inc. and its consolidated subsidiaries prior to the Closing. “ListCo” refers to Aja HoldCo, Inc., a Delaware corporation, prior to the Closing. ListCo changed its name to Adagio Medical Holdings, Inc. after the Closing. References to our “management” or our “management team” refer to our officers and directors.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On July 26, 2024, ARYA Sciences Acquisition Corp IV (“ARYA”) held its annual general meeting at which the ARYA shareholders considered and adopted, among other matters, the Business Combination Agreement. On July 31, 2024, the parties to the Business Combination Agreement consummated the Business Combination.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ListCo was deemed the accounting acquirer in the Business Combination based on an analysis of the criteria outlined in Accounting Standards Codification 805, Business Combinations. Legacy Adagio is the accounting acquiree and predecessor based on an analysis of the criteria outlined in the Accounting Standards Codification 805, Business Combinations. Accordingly, the historical financial statements of Legacy Adagio became the historical financial statements of the combined company upon the consummation of the Business Combination. As a result, the financial statements included in this report reflect (i) the historical operating results of Legacy Adagio prior to the Closing; and (ii) the combined results of the Company following the Closing. The accompanying financial information includes a predecessor period, which includes the periods through July 30, 2024, concurrent with the Business Combination, and the successor period from January 1, 2025, through September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bookmarkStart w:id="1858" w:name="_Hlk197967288"/>
      <w:bookmarkEnd w:id="1858"/>
      <w:r>
        <w:rPr>
          <w:rFonts w:ascii="Times New Roman;Times;serif" w:hAnsi="Times New Roman;Times;serif"/>
          <w:sz w:val="20"/>
        </w:rPr>
        <w:t>We are a medical device company focused on developing and commercializing products for the treatment of cardiac arrhythmias with our novel, proprietary, catheter-based Ultra-Low Temperature Cryoablation (“ULTC”) technology. Our initial focus is on the treatment of ventricular tachycardia (“VT”). VT is a rapid, abnormal heart rhythm, or arrhythmia, that originates in the heart's lower chambers, or ventricles, potentially leading to impaired blood flow and, if sustained, VT can be fatal. VT-associated sudden cardiac death (“SCD”) accounts for approximately 300,000 deaths each year in the U.S.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and can lead to sub-optimal outcomes, factors that have potentially led to the limited growth in the market for VT ablations.</w:t>
      </w:r>
    </w:p>
    <w:p>
      <w:pPr>
        <w:pStyle w:val="TextBody"/>
        <w:bidi w:val="0"/>
        <w:spacing w:before="0" w:after="0"/>
        <w:ind w:left="0" w:right="0" w:firstLine="360"/>
        <w:jc w:val="both"/>
        <w:rPr/>
      </w:pPr>
      <w:r>
        <w:rPr/>
        <w:t>​</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20"/>
        </w:rPr>
        <w:t>Our clinically tested, proprietary ULTC products are purpose-built to treat patients with VT and are designed to address the unique anatomy of the ventricle and the specific needs of the VT patient. Our ULTC approach is built on the hypothesis that large and durable lesions extending through the depth of both diseased and healthy muscular tissue of the ventricle of the heart (ventricular myocardium) is a foundation for improving the effectiveness of VT ablations and patient outcomes. Our differentiated catheters are designed for large, durable, deep lesions within the ventricle through an endocardial approach with no required irrigation. In October 2025, we announced completion of enrollment in our FULCRUM-VT Pivotal U.S. Food and Drug Administration (“FDA”) Investigational Device Exemption (“IDE”) study evaluating the vCLAS</w:t>
      </w:r>
      <w:r>
        <w:rPr>
          <w:rFonts w:ascii="Times New Roman;Times;serif" w:hAnsi="Times New Roman;Times;serif"/>
          <w:sz w:val="15"/>
        </w:rPr>
        <w:t>TM</w:t>
      </w:r>
      <w:r>
        <w:rPr>
          <w:rFonts w:ascii="Times New Roman;Times;serif" w:hAnsi="Times New Roman;Times;serif"/>
          <w:sz w:val="20"/>
        </w:rPr>
        <w:t xml:space="preserve"> Cryoablation System for ablation of monomorphic ventricular tachycardia (MMVT) in patients with both ischemic and nonischemic cardiomyopathy. The vCLAS System, which was granted Breakthrough Device Designation by the FDA in April 2025, is built on the Company’s proprietary ULTC technology platform.</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our purpose-built solution has the potential to drive additional market growth in ablative treatment of the large, underserved VT patient population.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20"/>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radiofrequency (“RF”) and pulsed field ablation (“PFA”) energy. Our first-in-human CRYOCURE-VT trial included 64 patients in nine centers in the European Union and Canada. The outcomes of this trial, which were used to support CE Mark approval, include a 0% rate of major adverse events, 94% acute procedural success, 60% freedom from sustained VT and 81% freedom from implantable cardioverter defibrillator (“ICD”) shock at six months. Our vCLAS</w:t>
      </w:r>
      <w:r>
        <w:rPr>
          <w:rFonts w:ascii="Times New Roman;Times;serif" w:hAnsi="Times New Roman;Times;serif"/>
          <w:sz w:val="15"/>
        </w:rPr>
        <w:t xml:space="preserve">TM. </w:t>
      </w:r>
      <w:r>
        <w:rPr>
          <w:rFonts w:ascii="Times New Roman;Times;serif" w:hAnsi="Times New Roman;Times;serif"/>
          <w:sz w:val="20"/>
        </w:rPr>
        <w:t>Cryoablation System for VT has obtained European CE Mark approval. In the United States, our 209-patient FULCRUM-VT IDE pivotal clinical trial completed enrollment in October 2025 across nineteen (19) centers in the United States and Canada. The study includes patients with both ischemic (“ICM”) and non-ischemic (“NICM”) cardiomyopathies (LVEF=35+/-10%, 33% NICM, 75% with congestive heart failure). In our preliminary acute safety and efficacy results, acute clinical success, defined as non-inducibility of target ventricular arrhythmias, was 97.4%, with all clinically-relevant VTs eliminated in 96.7% of patients tested by post-ablation programmed electrical stimulation. Key safety findings included a 2.5% rate of major adverse events including four (1.9%) peri-procedural deaths, of which one (0.5%) was adjudicated by an independent clinical events committee as definitely related to the investigational device.  We plan to submit the results of this trial to support our application for U.S. Food and Drug Administration (“FDA”) approval of our vCLAS</w:t>
      </w:r>
      <w:r>
        <w:rPr>
          <w:rFonts w:ascii="Times New Roman;Times;serif" w:hAnsi="Times New Roman;Times;serif"/>
          <w:sz w:val="15"/>
        </w:rPr>
        <w:t>TM</w:t>
      </w:r>
      <w:r>
        <w:rPr>
          <w:rFonts w:ascii="Times New Roman;Times;serif" w:hAnsi="Times New Roman;Times;serif"/>
          <w:sz w:val="20"/>
        </w:rPr>
        <w:t xml:space="preserve"> Cryoablation System in the first half of 2026, and to share our six-month primary efficacy endpoint results of the FULCRUM-VT trial in April 2026 at the Heart Rhythm 2026 Conference.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also currently developing a next generation ULTC technology for VT. This catheter, which requires only a single freeze, is being designed to improve customer usability and integration with the existing ablation laboratory workflow. The next-generation catheter features a more flexible, smaller diameter shaft that is compatible with the industry-standard 8.5 Fr sheaths, and is designed to operate at lower ablation temperatures resulting in the shorter, single-freeze ablation protocol. We are currently in the design phase with this device.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also developed a technology that utilizes ULTC in combination with PFA, which we call Pulsed Field Cryoablation (“PFCA”). Early demonstration of PFCA technology has been performed in the European PARALELL trial in patients with persistent atrial fibrillation and in preclinical studies targeting VT ablations.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incurred net losses each year since our inception in 2011. As of September 30, 2025, and December 31, 2024, we had an accumulated deficit of $92.3 million and $70.6 million, respectively. For the three and nine months ended September 30, 2025 (Successor), and for the periods from July 31, 2024 to September 30, 2024 (Successor), and January 1, 2024 to July 30, 2024 (Predecessor), net (loss) income was $(10.1) million, $(21.8) million, $3.6 million, and $(21.3) million, respectively. The net cash used in operating activities was $14.9 million, $6.4 million, and $16.0 million respectively. Substantially all of our accumulated deficit has resulted from costs incurred in connection with our research and development programs and from general and administrative costs associated with our operations. As of September 30, 2025, and December 31, 2024, we had cash of $4.7 million and $20.6 million, respectively.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Developments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14, 2025, we entered into a Securities Purchase Agreement (the “Securities Purchase Agreement”) with certain accredited healthcare investors (the “Purchasers”) pursuant to which we issued and sold to the Purchasers in a private placement (the “Private Placement”): (i) 9,792,506 shares (the “Shares”) of our common stock, par value $0.0001 per share (the “Common Stock”), or pre-funded warrants (the “Pre-Funded Warrants”) to purchase shares of Common Stock in lieu thereof, and (ii) accompanying (a) Tranche A Warrants to purchase an aggregate of 6,012,943 shares of Common Stock (or pre-funded warrants in lieu thereof) (the “Tranche A Warrants”), Tranche B Warrants to purchase an aggregate of 6,012,943 shares of Common Stock (or pre-funded warrants in lieu thereof) (the “Tranche B Warrants”) and Tranche C Warrants to purchase an aggregate of 6,012,943 shares of Common Stock (or pre-funded warrants in lieu thereof) (the “Tranche C Warrants” and, together with the Tranche A and Tranche B Warrants, the “Milestone Warrants”), for aggregate gross proceeds of approximately $19 million (excluding up to approximately $31 million of aggregate gross proceeds that may be received in the future upon the cash exercise in full of the Milestone Warrants issued in the Private Placement), before deducting placement agent fees and other expenses payable by us. Each Share and each Pre-Funded Warrant sold pursuant to the Securities Purchase Agreement was accompanied by one Tranche A Warrant, one Tranche B Warrant and one Tranche C Warrant. The combined purchase price of each Share and accompanying Milestone Warrants is $1.9403 and (which includes $0.2303 for the Milestone Warrants sold with each Share in accordance with the rules and regulations of The Nasdaq Stock Market LLC). The combined purchase price of each Pre-Funded Warrant and accompanying Milestone Warrant is $1.9402 (equal to the combined purchase price per Share and accompanying Milestone Warrants, minus $0.001). Entities affiliated with Perceptive Advisors LLC, an affiliate of the Company, purchased Pre-Funded Warrants and Milestone Warrants for an aggregate purchase price of $4,250,000.</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Milestone Warrant is exercisable for one share of Common Stock at an exercise price of $1.71 per share. The Milestone Warrants will expire upon the earlier of (i) five years from the date of issuance or (ii) (a) for the Tranche A Warrants, the date that is thirty (30) days following our announcement of results from our FULCRUM-VT IDE pivotal clinical trial, (b) for the Tranche B Warrants, the date that is thirty (30) days following our announcement of FDA approval of our vCLAS Cryoablation System, and (c) for the Tranche C Warrants, the date that is thirty (30) days following our announcement of FDA approval of our second generation vCLAS catheter system. The Pre-Funded Warrants are exercisable for one share of Common Stock at an exercise price of $0.0001 per share. The Pre-Funded Warrants are immediately exercisable and may be exercised at any time until all of the Pre-Funded Warrants are exercised in full.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holder (together with its affiliates) of the Pre-Funded Warrants or Milestone Warrants, as the case may be, may not exercise any portion of the Pre-Funded Warrants or Milestone Warrants to the extent that the holder would own more than 4.99% (or, at the holder’s option upon issuance, 9.99%) of our outstanding Common Stock immediately after exercise, which percentage may be changed at the holder’s election to a lower or higher percentage not in excess of 19.99% upon 61 days’ notice to us subject to the terms of the Pre-Funded Warrants or the Milestone Warrants. In lieu of making the cash payment otherwise contemplated to be made to us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lieu of making the cash payment otherwise contemplated to be made to us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Going Concern and Operating Outlook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basis that assumes we will continue as a going concern, which contemplates the realization of assets and the satisfaction of liabilities in the normal course of business. We have limited revenue and have experienced recurring operating losses and negative cash flows from operations since our inception and anticipate that we will continue to do so for at least the next several years.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October 2025, we announced a private placement of our common stock (or pre-funded warrants to purchase common stock in lieu thereof) and accompanying warrants to purchase shares of common stock, for aggregate gross proceeds of approximately $19 million (excluding up to $31 million of additional potential gross proceeds from the cash exercise of the common stock warrants) (the “Private Placement”).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the report date, we believe our existing cash and cash equivalents, including the proceeds received from the Private Placement, are sufficient to fund our operating and capital expenditure requirements for at least 12 months from the date of issuance of the unaudited interim condensed consolidated financial statements included in this Quarterly Report on Form 10-Q. If our available cash and cash equivalents are insufficient to satisfy our liquidity requirements, we may need to raise additional capital to fund our operations. No assurance can be given as to whether additional needed financing will be available on terms acceptable to us, if at all. If sufficient funds on acceptable terms are not available when needed, we may be required to suspend or forego certain planned activities. Failure to manage discretionary spending or raise additional financing, as needed, would adversely impact our ability to achieve our intended business objectives and have an adverse effect on our results of operations and future prospects. Refer to </w:t>
      </w:r>
      <w:r>
        <w:rPr>
          <w:rFonts w:ascii="Times New Roman;Times;serif" w:hAnsi="Times New Roman;Times;serif"/>
          <w:i/>
          <w:sz w:val="20"/>
        </w:rPr>
        <w:t xml:space="preserve">Note 1 - Organization and Description of Business </w:t>
      </w:r>
      <w:r>
        <w:rPr>
          <w:rFonts w:ascii="Times New Roman;Times;serif" w:hAnsi="Times New Roman;Times;serif"/>
          <w:sz w:val="20"/>
        </w:rPr>
        <w:t>in our condensed consolidated financial statements for additional information on the going concern assessment.</w:t>
      </w:r>
    </w:p>
    <w:p>
      <w:pPr>
        <w:pStyle w:val="TextBody"/>
        <w:bidi w:val="0"/>
        <w:spacing w:before="0" w:after="0"/>
        <w:ind w:left="0" w:right="0" w:hanging="0"/>
        <w:jc w:val="both"/>
        <w:rPr>
          <w:shd w:fill="FFFF00" w:val="clear"/>
        </w:rPr>
      </w:pPr>
      <w:r>
        <w:rPr>
          <w:shd w:fill="FFFF00"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need for additional capital in the future will depend in part on the scope and costs of our development and clinical activities. To date, we have not generated significant revenue from the sale of commercialized products. Once we conduct a full commercial launch, our ability to generate product revenue will depend on the successful commercialization of our products.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Report titled “Risk Factors”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Description of the Merger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8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Each issued and outstanding Class A ordinary share of ARYA, par value $0.0001 per share, were automatically cancelled, extinguished and converted into one share of common stock, par value $0.0001 per share, of the Company (“Company’s common stock”). </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18"/>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8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issued and outstanding Class B ordinary share of ARYA, par value $0.0001 per share, were automatically cancelled, extinguished and converted into the right to receive one share of the Company’s common stock, other than (i) 1,000,000 Class B ordinary shares that were forfeited by ARYA Sciences Holdings IV, a Cayman Islands exempted company (the “Sponsor”), and issued to the PIPE Investors (as defined below), including the Perceptive PIPE Investor (as defined below); (ii) 1,147,500 shares of the Company’s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8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warrant of Legacy Adagio (other than the Series E Pre-funded Warrants) was terminated in accordance with the terms of the applicable warrant agreement.</w:t>
            </w:r>
          </w:p>
        </w:tc>
      </w:tr>
    </w:tbl>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8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issued and outstanding convertible promissory notes of Legacy Adagio (excluding the Bridge Financing Notes (as defined below) and the February 2024 Convertible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8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share of Legacy Adagio preferred stock, par value $0.001 per share, that was issued and outstanding were automatically converted into shares of Legacy Adagio common stock on a one-to-one basis.</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86"/>
        <w:gridCol w:w="9895"/>
      </w:tblGrid>
      <w:tr>
        <w:trPr/>
        <w:tc>
          <w:tcPr>
            <w:tcW w:w="1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9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8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were cancelled and extinguished in exchange for options to purchase shares of the Company’s common stock, and each issued and outstanding Legacy Adagio equity award (other than an In-the-Money Adagio Options) were automatically cancelled and extinguished for no consideration, and each holder thereof ceased to have any rights with respect thereto.</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54"/>
        <w:gridCol w:w="9827"/>
      </w:tblGrid>
      <w:tr>
        <w:trPr/>
        <w:tc>
          <w:tcPr>
            <w:tcW w:w="12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w:t>
            </w:r>
          </w:p>
        </w:tc>
        <w:tc>
          <w:tcPr>
            <w:tcW w:w="98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$7.0 million of February 2024 Convertible Notes (as defined below) were converted into Convertible Securities Notes and Convert Warrants (as defined below).</w:t>
            </w:r>
          </w:p>
        </w:tc>
      </w:tr>
    </w:tbl>
    <w:p>
      <w:pPr>
        <w:pStyle w:val="TextBody"/>
        <w:pBdr/>
        <w:bidi w:val="0"/>
        <w:spacing w:before="0" w:after="0"/>
        <w:ind w:left="1080" w:right="0" w:hanging="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committed financing valued at $64.5 million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2024 PIPE Financing included:</w:t>
      </w:r>
    </w:p>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98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14"/>
        <w:gridCol w:w="9767"/>
      </w:tblGrid>
      <w:tr>
        <w:trPr/>
        <w:tc>
          <w:tcPr>
            <w:tcW w:w="1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7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Commitments by certain Other PIPE Investors that were shareholders of ARYA to not to redeem 247,700 Class A shares of ARYA, resulting in the issuance of 405,772 shares of Company’s common stock and 343,756 Base Warrants.</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75"/>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70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Agreements by certain Other PIPE Investors to purchase 1,036,666 shares of the Company’s common stock, 1,440,000 Base Warrants, and 670,000 PIPE Pre-funded Warrants for a cash investment of $12 million in the Company.</w:t>
            </w:r>
          </w:p>
        </w:tc>
      </w:tr>
    </w:tbl>
    <w:p>
      <w:pPr>
        <w:pStyle w:val="TextBody"/>
        <w:bidi w:val="0"/>
        <w:spacing w:before="0" w:after="0"/>
        <w:ind w:left="72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343"/>
        <w:gridCol w:w="9738"/>
      </w:tblGrid>
      <w:tr>
        <w:trPr/>
        <w:tc>
          <w:tcPr>
            <w:tcW w:w="12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7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Contribution of total $29.5 million in April 2023 Convertible Notes, November 2023 Convertible Notes, May 2024 Convertible Notes, June 2024 Convertible Notes, and July 2024 Convertible Notes (each as defined below and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tc>
      </w:tr>
    </w:tbl>
    <w:p>
      <w:pPr>
        <w:pStyle w:val="TextBody"/>
        <w:bidi w:val="0"/>
        <w:spacing w:before="0" w:after="0"/>
        <w:ind w:left="720" w:right="0" w:firstLine="36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An additional cash investment of $15.9 million by the Perceptive PIPE Investor for a total of 2,250,352 shares of New Adagio Common Stock and 1,905,069 units of Base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were converted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(as defined below) into Convertible Securities Notes and Convert Warrants at Closing.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the Business Combination, we became subject to the reporting requirements under the Securities Exchange Act of 1934, as amended (the “Exchange Act”),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future results of consolidated operations and financial position may not be comparable to historical results as a result of the Business Combination.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compete primarily on the basis that our products are designed to enable more physicians to treat more patients more efficiently and effectively. Our continued success depends on our ability to:</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caps w:val="false"/>
                <w:smallCaps w:val="false"/>
              </w:rPr>
            </w:pPr>
            <w:r>
              <w:rPr>
                <w:caps w:val="false"/>
                <w:smallCaps w:val="false"/>
              </w:rPr>
              <w:t>•</w:t>
            </w:r>
          </w:p>
        </w:tc>
        <w:tc>
          <w:tcPr>
            <w:tcW w:w="9885" w:type="dxa"/>
            <w:tcBorders/>
            <w:vAlign w:val="center"/>
          </w:tcPr>
          <w:p>
            <w:pPr>
              <w:pStyle w:val="TableContents"/>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innovative, proprietary products that address significant clinical needs in a manner that is safe and effective for patients and easy-to-use for physicians;</w:t>
            </w:r>
          </w:p>
        </w:tc>
      </w:tr>
    </w:tbl>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obtain and maintain regulatory clearances or approvals;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demonstrate safety and effectiveness in our sponsored and third-party clinical trials;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increase physician awareness of our products;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obtain and maintain coverage and adequate reimbursement for procedures using our products;</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attract and retain skilled research, development, sales and clinical personnel;</w:t>
      </w:r>
    </w:p>
    <w:p>
      <w:pPr>
        <w:pStyle w:val="TextBody"/>
        <w:bidi w:val="0"/>
        <w:spacing w:before="0" w:after="240"/>
        <w:ind w:left="360" w:right="0" w:hanging="0"/>
        <w:jc w:val="left"/>
        <w:rPr/>
      </w:pPr>
      <w:r>
        <w:rPr>
          <w:caps w:val="false"/>
          <w:smallCaps w:val="false"/>
        </w:rPr>
        <w:t>•</w:t>
      </w:r>
      <w:r>
        <w:rPr>
          <w:rFonts w:ascii="Times New Roman;Times;serif" w:hAnsi="Times New Roman;Times;serif"/>
          <w:b w:val="false"/>
          <w:i w:val="false"/>
          <w:caps w:val="false"/>
          <w:smallCaps w:val="false"/>
          <w:sz w:val="20"/>
        </w:rPr>
        <w:t>cost-effectively manufacture, market and sell our products; and</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caps w:val="false"/>
                <w:smallCaps w:val="false"/>
              </w:rPr>
            </w:pPr>
            <w:r>
              <w:rPr>
                <w:caps w:val="false"/>
                <w:smallCaps w:val="false"/>
              </w:rPr>
              <w:t>•</w:t>
            </w:r>
          </w:p>
        </w:tc>
        <w:tc>
          <w:tcPr>
            <w:tcW w:w="988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maintain, enforce and defend our intellectual property rights and operate our business without infringing, misappropriating or otherwise violating the intellectual property rights of others.</w:t>
            </w:r>
          </w:p>
        </w:tc>
      </w:tr>
    </w:tbl>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Innovation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Investments in Our Growth</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Reimbursement and Insurance Coverage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generate product revenue primarily from the sale of the catheters used with our consoles. We sell our products directly to hospitals and medical centers. To a lesser extent, we also generate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Times;serif" w:hAnsi="Times New Roman;Times;serif"/>
          <w:i/>
          <w:sz w:val="20"/>
        </w:rPr>
        <w:t>Note 2 - Summary of Significant Accounting Policies</w:t>
      </w:r>
      <w:r>
        <w:rPr>
          <w:rFonts w:ascii="Times New Roman;Times;serif" w:hAnsi="Times New Roman;Times;serif"/>
          <w:sz w:val="20"/>
        </w:rPr>
        <w:t xml:space="preserve"> in our condensed consolidated financial statements for additional details on our revenue recognition policy. Our revenue is subject to fluctuation due to the foreign currency in which our products are sold.</w:t>
      </w:r>
    </w:p>
    <w:p>
      <w:pPr>
        <w:pStyle w:val="TextBody"/>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operating expenses</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are expensed when incurred and are related to the development of our product candidates which includes pre-clinical, clinical, quality assurance, and research and development operational activities. These costs consist of:</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caps w:val="false"/>
                <w:smallCaps w:val="false"/>
              </w:rPr>
            </w:pPr>
            <w:r>
              <w:rPr>
                <w:caps w:val="false"/>
                <w:smallCaps w:val="false"/>
              </w:rPr>
              <w:t>•</w:t>
            </w:r>
          </w:p>
        </w:tc>
        <w:tc>
          <w:tcPr>
            <w:tcW w:w="9885" w:type="dxa"/>
            <w:tcBorders/>
            <w:vAlign w:val="center"/>
          </w:tcPr>
          <w:p>
            <w:pPr>
              <w:pStyle w:val="TableContents"/>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employee-related costs, including stock-based compensation expense for personnel engaged in research and development functions;</w:t>
            </w:r>
          </w:p>
        </w:tc>
      </w:tr>
    </w:tbl>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activities associated with clinical trials performed by third parties;</w:t>
      </w:r>
    </w:p>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professional fees;</w:t>
      </w:r>
    </w:p>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 xml:space="preserve">equipment, materials, and costs related to product manufacturing; and </w:t>
      </w:r>
    </w:p>
    <w:p>
      <w:pPr>
        <w:pStyle w:val="TextBody"/>
        <w:bidi w:val="0"/>
        <w:spacing w:before="0" w:after="240"/>
        <w:ind w:left="720" w:right="0" w:hanging="0"/>
        <w:jc w:val="left"/>
        <w:rPr/>
      </w:pPr>
      <w:r>
        <w:rPr>
          <w:caps w:val="false"/>
          <w:smallCaps w:val="false"/>
        </w:rPr>
        <w:t>•</w:t>
      </w:r>
      <w:r>
        <w:rPr>
          <w:rFonts w:ascii="Times New Roman;Times;serif" w:hAnsi="Times New Roman;Times;serif"/>
          <w:b w:val="false"/>
          <w:i w:val="false"/>
          <w:caps w:val="false"/>
          <w:smallCaps w:val="false"/>
          <w:sz w:val="20"/>
        </w:rPr>
        <w:t>other operational costs including rent and facilities costs, and depreciation.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do not track research and development expenses by project or product, as we are at an earlier stage in our pre-clinical and clinical development. Our management believes that the breakdown of research and development expenses by project or product would be arbitrary and would not provide a meaningful assessment.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the research and development expenses to increase in future periods, as we will incur incremental expenses associated with our ULTC products that are currently under development and in pre-clinical and clinical trials. Product candidates in later stages of clinical development generally have higher development costs, primarily due to the increased size and duration of later-stage clinical trials.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consist primarily of salaries, and employee-related costs (including stock-based compensation) for personnel in executive, finance and other administrative functions, allocated rent and facilities costs, legal fees relating to corporate matters, professional fees for accounting and consulting services, public company costs, insurance costs, and marketing costs. We expense all selling, general and administrative costs as incurred. We expect our selling, general and administrative expenses to decrease slightly for the full year 2025 compared to the full year 2024. This anticipated decrease is primarily due to lower payroll and personnel expenses resulting from the corporate prioritization initiative implemented on February 28, 2025, as well as the absence of transaction-related costs incurred in connection with the Business Combination completed in 2024. In future periods we expect our selling, general and administrative expenses to increase as we continue to expand on our operations and grow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notes fair value adjustment</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the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at fair value at issuance and subsequently remeasure them to fair value at each reporting period. The change in fair value of the Convertible Securities Notes, including amounts related to interest, is recorded in “Convertible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the Convert Investors executed the Convertible Security Subscription Agreement, pursuant to which ListCo issued on the Closing Date to the Convert Investors the Convertible Securities Notes, which will be convertible into shares of the Company’s Common Stock at a conversion price of $10.00 per share, subject to adjustment, and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condensed consolidated statements of operations and comprehensive loss (income).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is primarily incurred from our outstanding debt obligations, including those under the October 2022 Convertible Notes, the Bridge Financing Notes, the Convertible Securities Notes and the SVB Term Loan (as defined below).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cash equivalents, and money market accounts.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(expense) income, net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(expense) income, net primarily consists of foreign currency unrealized and realized gain / loss, and other income related to our research and development (“R&amp;D”) tax credit.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 xml:space="preserve">Comparison for the three and nine months ended September 30, 2025 (Successor) to the periods from January 1, 2024 to July 30, 2024 (Predecessor), from July 31, 2024 to September 30, 2024 (Successor), from July 1, 2024 to July 30, 2024 (Predecessor), and from July 31, 2024 to September 30, 2024 (Successor) </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tables set forth a summary of our results of operations (in thousands). This information should be read together with our condensed consolidated financial statements and related notes. </w:t>
      </w:r>
    </w:p>
    <w:p>
      <w:pPr>
        <w:pStyle w:val="TextBody"/>
        <w:bidi w:val="0"/>
        <w:spacing w:before="0" w:after="0"/>
        <w:ind w:left="0" w:right="0" w:firstLine="360"/>
        <w:jc w:val="both"/>
        <w:rPr/>
      </w:pPr>
      <w:r>
        <w:rPr/>
        <w:t>​</w:t>
      </w:r>
    </w:p>
    <w:tbl>
      <w:tblPr>
        <w:tblW w:w="9799" w:type="dxa"/>
        <w:jc w:val="left"/>
        <w:tblInd w:w="0" w:type="dxa"/>
        <w:tblLayout w:type="fixed"/>
        <w:tblCellMar>
          <w:top w:w="0" w:type="dxa"/>
          <w:left w:w="0" w:type="dxa"/>
          <w:bottom w:w="0" w:type="dxa"/>
          <w:right w:w="0" w:type="dxa"/>
        </w:tblCellMar>
      </w:tblPr>
      <w:tblGrid>
        <w:gridCol w:w="3301"/>
        <w:gridCol w:w="109"/>
        <w:gridCol w:w="196"/>
        <w:gridCol w:w="721"/>
        <w:gridCol w:w="109"/>
        <w:gridCol w:w="460"/>
        <w:gridCol w:w="1415"/>
        <w:gridCol w:w="109"/>
        <w:gridCol w:w="109"/>
        <w:gridCol w:w="340"/>
        <w:gridCol w:w="995"/>
        <w:gridCol w:w="109"/>
        <w:gridCol w:w="196"/>
        <w:gridCol w:w="721"/>
        <w:gridCol w:w="109"/>
        <w:gridCol w:w="109"/>
        <w:gridCol w:w="6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96135" cy="175260"/>
                      <wp:effectExtent l="0" t="0" r="0" b="0"/>
                      <wp:wrapNone/>
                      <wp:docPr id="274" name="Frame27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57835" cy="175260"/>
                      <wp:effectExtent l="0" t="0" r="0" b="0"/>
                      <wp:wrapNone/>
                      <wp:docPr id="277" name="Frame27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92100" cy="175260"/>
                      <wp:effectExtent l="0" t="0" r="0" b="0"/>
                      <wp:wrapNone/>
                      <wp:docPr id="279" name="Frame279"/>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898525" cy="175260"/>
                      <wp:effectExtent l="0" t="0" r="0" b="0"/>
                      <wp:wrapNone/>
                      <wp:docPr id="280" name="Frame280"/>
                      <a:graphic xmlns:a="http://schemas.openxmlformats.org/drawingml/2006/main">
                        <a:graphicData uri="http://schemas.microsoft.com/office/word/2010/wordprocessingShape">
                          <wps:wsp>
                            <wps:cNvSpPr txBox="1"/>
                            <wps:spPr>
                              <a:xfrm>
                                <a:off x="0" y="0"/>
                                <a:ext cx="898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5900" cy="175260"/>
                      <wp:effectExtent l="0" t="0" r="0" b="0"/>
                      <wp:wrapNone/>
                      <wp:docPr id="283" name="Frame28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31825" cy="175260"/>
                      <wp:effectExtent l="0" t="0" r="0" b="0"/>
                      <wp:wrapNone/>
                      <wp:docPr id="284" name="Frame28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24460" cy="175260"/>
                      <wp:effectExtent l="0" t="0" r="0" b="0"/>
                      <wp:wrapNone/>
                      <wp:docPr id="286" name="Frame2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57835" cy="175260"/>
                      <wp:effectExtent l="0" t="0" r="0" b="0"/>
                      <wp:wrapNone/>
                      <wp:docPr id="287" name="Frame28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38785" cy="175260"/>
                      <wp:effectExtent l="0" t="0" r="0" b="0"/>
                      <wp:wrapNone/>
                      <wp:docPr id="290" name="Frame2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89"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For the three months ended September 30, </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34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09" w:type="dxa"/>
            <w:tcBorders/>
            <w:vAlign w:val="center"/>
          </w:tcPr>
          <w:p>
            <w:pPr>
              <w:pStyle w:val="TableContents"/>
              <w:bidi w:val="0"/>
              <w:spacing w:before="0" w:after="0"/>
              <w:ind w:left="0" w:right="0" w:hanging="0"/>
              <w:jc w:val="left"/>
              <w:rPr/>
            </w:pPr>
            <w:r>
              <w:rPr/>
              <w:t>​</w:t>
            </w:r>
          </w:p>
        </w:tc>
        <w:tc>
          <w:tcPr>
            <w:tcW w:w="18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3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to July 30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2,774</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2,916</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5,721</w:t>
            </w:r>
          </w:p>
        </w:tc>
        <w:tc>
          <w:tcPr>
            <w:tcW w:w="109"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(5,095)</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(5,721)</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(3,508)</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(749)</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(4,397)</w:t>
            </w:r>
          </w:p>
        </w:tc>
        <w:tc>
          <w:tcPr>
            <w:tcW w:w="109"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(10,399)</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(10,118)</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(loss) income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(10,114)</w:t>
            </w:r>
          </w:p>
        </w:tc>
        <w:tc>
          <w:tcPr>
            <w:tcW w:w="109"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(5,474)</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118%</w:t>
            </w:r>
          </w:p>
        </w:tc>
      </w:tr>
    </w:tbl>
    <w:p>
      <w:pPr>
        <w:pStyle w:val="TextBody"/>
        <w:bidi w:val="0"/>
        <w:spacing w:before="0" w:after="0"/>
        <w:ind w:left="0" w:right="0" w:firstLine="360"/>
        <w:jc w:val="both"/>
        <w:rPr/>
      </w:pPr>
      <w:r>
        <w:rPr/>
        <w:t>​</w:t>
      </w:r>
    </w:p>
    <w:tbl>
      <w:tblPr>
        <w:tblW w:w="10099" w:type="dxa"/>
        <w:jc w:val="left"/>
        <w:tblInd w:w="0" w:type="dxa"/>
        <w:tblLayout w:type="fixed"/>
        <w:tblCellMar>
          <w:top w:w="0" w:type="dxa"/>
          <w:left w:w="0" w:type="dxa"/>
          <w:bottom w:w="0" w:type="dxa"/>
          <w:right w:w="0" w:type="dxa"/>
        </w:tblCellMar>
      </w:tblPr>
      <w:tblGrid>
        <w:gridCol w:w="3301"/>
        <w:gridCol w:w="109"/>
        <w:gridCol w:w="196"/>
        <w:gridCol w:w="721"/>
        <w:gridCol w:w="109"/>
        <w:gridCol w:w="460"/>
        <w:gridCol w:w="1415"/>
        <w:gridCol w:w="109"/>
        <w:gridCol w:w="109"/>
        <w:gridCol w:w="372"/>
        <w:gridCol w:w="1263"/>
        <w:gridCol w:w="109"/>
        <w:gridCol w:w="196"/>
        <w:gridCol w:w="721"/>
        <w:gridCol w:w="109"/>
        <w:gridCol w:w="109"/>
        <w:gridCol w:w="6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96135" cy="175260"/>
                      <wp:effectExtent l="0" t="0" r="0" b="0"/>
                      <wp:wrapNone/>
                      <wp:docPr id="291" name="Frame291"/>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4460" cy="175260"/>
                      <wp:effectExtent l="0" t="0" r="0" b="0"/>
                      <wp:wrapNone/>
                      <wp:docPr id="293" name="Frame2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57835" cy="175260"/>
                      <wp:effectExtent l="0" t="0" r="0" b="0"/>
                      <wp:wrapNone/>
                      <wp:docPr id="294" name="Frame29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92100" cy="175260"/>
                      <wp:effectExtent l="0" t="0" r="0" b="0"/>
                      <wp:wrapNone/>
                      <wp:docPr id="296" name="Frame296"/>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898525" cy="175260"/>
                      <wp:effectExtent l="0" t="0" r="0" b="0"/>
                      <wp:wrapNone/>
                      <wp:docPr id="297" name="Frame297"/>
                      <a:graphic xmlns:a="http://schemas.openxmlformats.org/drawingml/2006/main">
                        <a:graphicData uri="http://schemas.microsoft.com/office/word/2010/wordprocessingShape">
                          <wps:wsp>
                            <wps:cNvSpPr txBox="1"/>
                            <wps:spPr>
                              <a:xfrm>
                                <a:off x="0" y="0"/>
                                <a:ext cx="898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36220" cy="175260"/>
                      <wp:effectExtent l="0" t="0" r="0" b="0"/>
                      <wp:wrapNone/>
                      <wp:docPr id="300" name="Frame300"/>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802005" cy="175260"/>
                      <wp:effectExtent l="0" t="0" r="0" b="0"/>
                      <wp:wrapNone/>
                      <wp:docPr id="301" name="Frame301"/>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4460" cy="175260"/>
                      <wp:effectExtent l="0" t="0" r="0" b="0"/>
                      <wp:wrapNone/>
                      <wp:docPr id="303" name="Frame3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57835" cy="175260"/>
                      <wp:effectExtent l="0" t="0" r="0" b="0"/>
                      <wp:wrapNone/>
                      <wp:docPr id="304" name="Frame3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38785" cy="175260"/>
                      <wp:effectExtent l="0" t="0" r="0" b="0"/>
                      <wp:wrapNone/>
                      <wp:docPr id="307" name="Frame3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89"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6"/>
              </w:rPr>
            </w:pPr>
            <w:r>
              <w:rPr>
                <w:rFonts w:ascii="Times New Roman;Times;serif" w:hAnsi="Times New Roman;Times;serif"/>
                <w:b/>
                <w:i/>
                <w:sz w:val="16"/>
              </w:rPr>
              <w:t>For the nine months ended September 30, </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3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09" w:type="dxa"/>
            <w:tcBorders/>
            <w:vAlign w:val="center"/>
          </w:tcPr>
          <w:p>
            <w:pPr>
              <w:pStyle w:val="TableContents"/>
              <w:bidi w:val="0"/>
              <w:spacing w:before="0" w:after="0"/>
              <w:ind w:left="0" w:right="0" w:hanging="0"/>
              <w:jc w:val="left"/>
              <w:rPr/>
            </w:pPr>
            <w:r>
              <w:rPr/>
              <w:t>​</w:t>
            </w:r>
          </w:p>
        </w:tc>
        <w:tc>
          <w:tcPr>
            <w:tcW w:w="18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 to July 30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8,404</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8,892</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13,047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17,922</w:t>
            </w:r>
          </w:p>
        </w:tc>
        <w:tc>
          <w:tcPr>
            <w:tcW w:w="109"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22,013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(8,648)</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(17,922)</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(1,891)</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(7,205)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(2,131)</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left"/>
              <w:rPr/>
            </w:pPr>
            <w:r>
              <w:rPr/>
              <w:t>​</w:t>
            </w:r>
          </w:p>
        </w:tc>
        <w:tc>
          <w:tcPr>
            <w:tcW w:w="14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(3,856)</w:t>
            </w:r>
          </w:p>
        </w:tc>
        <w:tc>
          <w:tcPr>
            <w:tcW w:w="109" w:type="dxa"/>
            <w:tcBorders/>
            <w:vAlign w:val="center"/>
          </w:tcPr>
          <w:p>
            <w:pPr>
              <w:pStyle w:val="TableContents"/>
              <w:bidi w:val="0"/>
              <w:spacing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(12,289)</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income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(21,778)</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income: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left"/>
              <w:rPr/>
            </w:pPr>
            <w:r>
              <w:rPr/>
              <w:t>​</w:t>
            </w:r>
          </w:p>
        </w:tc>
        <w:tc>
          <w:tcPr>
            <w:tcW w:w="1415"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(loss) income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(21,874)</w:t>
            </w:r>
          </w:p>
        </w:tc>
        <w:tc>
          <w:tcPr>
            <w:tcW w:w="109"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(4,196)</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24%</w:t>
            </w:r>
          </w:p>
        </w:tc>
      </w:tr>
    </w:tbl>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was nil for the three months ended September 30, 2025 (Successor), compared to $0.1 million and $53.0 thousand for the periods from July 31, 2024 to September 30, 2024 (Successor) and from July 1, 2024 to July 30, 2024 (Predecessor), respectively, representing a decrease of $0.2 million. The decrease was primarily due to the repurchase of previously sold inventory during the three  months ended September 30, 2025 (Successor), which offset gross sales. This inventory buyback was undertaken in connection with our pause in commercial activity in Europe.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was nil for the nine months ended September 30, 2025 (Successor), compared to $0.1 million and $0.3 million for the periods from July 31, 2024 to September 30, 2024 (Successor) and from January 1, 2024 to July 30, 2024 (Predecessor), respectively, representing a decrease of $0.5 million. The decrease was primarily due to the repurchase of previously sold inventory during the nine months ended September 30, 2025 (Successor), which offset gross sales. This inventory buyback was undertaken in connection with our pause in commercial activity in Europe.</w:t>
      </w:r>
    </w:p>
    <w:p>
      <w:pPr>
        <w:pStyle w:val="TextBody"/>
        <w:bidi w:val="0"/>
        <w:spacing w:before="0" w:after="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 and operating expenses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was $31.0 thousand for the three months ended September 30, 2025 (Successor), compared to $0.4 million and $0.2 million for the period from July 31, 2024 to September 30, 2024 (Successor) and from July 1, 2024 to July 30, 2024 (Predecessor), respectively, representing a decrease of $0.5 million, or 94.6%. The decrease was primarily attributable to a pause in commercial activity in Europe during 2025 and the related impact of an inventory buyback conducted in connection with the pause.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was $0.6 million for the nine months ended September 30, 2025 (Successor), compared to $0.4 million and $1.4 million for the period from July 31, 2024 to September 30, 2024 (Successor) and from January 1, 2024 to July 30, 2024 (Predecessor), respectively, representing a decrease of $1.2 million, or 65.1%. The decrease was primarily attributable to a pause in commercial activity in Europe during 2025 and the related impact of an inventory buyback conducted in connection with the pause.</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were $2.8 million for the three months ended September 30, 2025 (Successor), compared to $1.2 million and $1.3 million for the period from July 31, 2024 to September 30, 2024 (Successor) and from July 1, 2024 to July 30, 2024 (Predecessor), respectively, representing an increase of $0.3 million, or 12.4%. The increase was primarily driven by a $0.5 million increase in clinical trial costs, partially offset by a $0.2 million decrease in quality assurance costs.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were $8.4 million for the nine months ended September 30, 2025 (Successor), compared to $1.2 million and $7.6 million for the period from July 31, 2024 to September 30, 2024 (Successor) and from January 1, 2024 to July 30, 2024 (Predecessor), respectively, representing a decrease of $0.4 million, or 4.5%. This decrease was primarily driven by a $1.4 million decrease in quality assurance, operations, and other research and development costs, partially offset by a $1.0 million increase in clinical trials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is a breakdown of our research and development costs by type of expense (in thousands):</w:t>
      </w:r>
    </w:p>
    <w:tbl>
      <w:tblPr>
        <w:tblW w:w="10205" w:type="dxa"/>
        <w:jc w:val="left"/>
        <w:tblInd w:w="0" w:type="dxa"/>
        <w:tblLayout w:type="fixed"/>
        <w:tblCellMar>
          <w:top w:w="0" w:type="dxa"/>
          <w:left w:w="0" w:type="dxa"/>
          <w:bottom w:w="0" w:type="dxa"/>
          <w:right w:w="0" w:type="dxa"/>
        </w:tblCellMar>
      </w:tblPr>
      <w:tblGrid>
        <w:gridCol w:w="2652"/>
        <w:gridCol w:w="109"/>
        <w:gridCol w:w="214"/>
        <w:gridCol w:w="582"/>
        <w:gridCol w:w="109"/>
        <w:gridCol w:w="368"/>
        <w:gridCol w:w="1005"/>
        <w:gridCol w:w="109"/>
        <w:gridCol w:w="109"/>
        <w:gridCol w:w="295"/>
        <w:gridCol w:w="799"/>
        <w:gridCol w:w="109"/>
        <w:gridCol w:w="214"/>
        <w:gridCol w:w="582"/>
        <w:gridCol w:w="109"/>
        <w:gridCol w:w="368"/>
        <w:gridCol w:w="1005"/>
        <w:gridCol w:w="109"/>
        <w:gridCol w:w="109"/>
        <w:gridCol w:w="296"/>
        <w:gridCol w:w="953"/>
      </w:tblGrid>
      <w:tr>
        <w:trPr/>
        <w:tc>
          <w:tcPr>
            <w:tcW w:w="26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5890" cy="175260"/>
                      <wp:effectExtent l="0" t="0" r="0" b="0"/>
                      <wp:wrapNone/>
                      <wp:docPr id="308" name="Frame30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9570" cy="175260"/>
                      <wp:effectExtent l="0" t="0" r="0" b="0"/>
                      <wp:wrapNone/>
                      <wp:docPr id="309" name="Frame309"/>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33680" cy="175260"/>
                      <wp:effectExtent l="0" t="0" r="0" b="0"/>
                      <wp:wrapNone/>
                      <wp:docPr id="310" name="Frame310"/>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38175" cy="175260"/>
                      <wp:effectExtent l="0" t="0" r="0" b="0"/>
                      <wp:wrapNone/>
                      <wp:docPr id="311" name="Frame311"/>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2" name="Frame3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87325" cy="175260"/>
                      <wp:effectExtent l="0" t="0" r="0" b="0"/>
                      <wp:wrapNone/>
                      <wp:docPr id="314" name="Frame31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07365" cy="175260"/>
                      <wp:effectExtent l="0" t="0" r="0" b="0"/>
                      <wp:wrapNone/>
                      <wp:docPr id="315" name="Frame315"/>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5890" cy="175260"/>
                      <wp:effectExtent l="0" t="0" r="0" b="0"/>
                      <wp:wrapNone/>
                      <wp:docPr id="316" name="Frame31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9570" cy="175260"/>
                      <wp:effectExtent l="0" t="0" r="0" b="0"/>
                      <wp:wrapNone/>
                      <wp:docPr id="317" name="Frame317"/>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8"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33680" cy="175260"/>
                      <wp:effectExtent l="0" t="0" r="0" b="0"/>
                      <wp:wrapNone/>
                      <wp:docPr id="319" name="Frame319"/>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38175" cy="175260"/>
                      <wp:effectExtent l="0" t="0" r="0" b="0"/>
                      <wp:wrapNone/>
                      <wp:docPr id="320" name="Frame320"/>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1"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87960" cy="175260"/>
                      <wp:effectExtent l="0" t="0" r="0" b="0"/>
                      <wp:wrapNone/>
                      <wp:docPr id="323" name="Frame32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05155" cy="175260"/>
                      <wp:effectExtent l="0" t="0" r="0" b="0"/>
                      <wp:wrapNone/>
                      <wp:docPr id="324" name="Frame324"/>
                      <a:graphic xmlns:a="http://schemas.openxmlformats.org/drawingml/2006/main">
                        <a:graphicData uri="http://schemas.microsoft.com/office/word/2010/wordprocessingShape">
                          <wps:wsp>
                            <wps:cNvSpPr txBox="1"/>
                            <wps:spPr>
                              <a:xfrm>
                                <a:off x="0" y="0"/>
                                <a:ext cx="605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9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745"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6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6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8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left"/>
              <w:rPr/>
            </w:pPr>
            <w:r>
              <w:rPr/>
              <w:t>​</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26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1 to July 30</w:t>
            </w:r>
          </w:p>
        </w:tc>
        <w:tc>
          <w:tcPr>
            <w:tcW w:w="109"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 to July 30</w:t>
            </w:r>
          </w:p>
        </w:tc>
      </w:tr>
      <w:tr>
        <w:trPr/>
        <w:tc>
          <w:tcPr>
            <w:tcW w:w="2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Pre-clinical trial costs and other research and development costs</w:t>
            </w:r>
          </w:p>
        </w:tc>
        <w:tc>
          <w:tcPr>
            <w:tcW w:w="109"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109"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r>
      <w:tr>
        <w:trPr/>
        <w:tc>
          <w:tcPr>
            <w:tcW w:w="26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 costs</w:t>
            </w:r>
          </w:p>
        </w:tc>
        <w:tc>
          <w:tcPr>
            <w:tcW w:w="109"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109"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95"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4,013</w:t>
            </w:r>
          </w:p>
        </w:tc>
        <w:tc>
          <w:tcPr>
            <w:tcW w:w="109"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r>
      <w:tr>
        <w:trPr/>
        <w:tc>
          <w:tcPr>
            <w:tcW w:w="2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Quality assurance costs</w:t>
            </w:r>
          </w:p>
        </w:tc>
        <w:tc>
          <w:tcPr>
            <w:tcW w:w="109"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109"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r>
      <w:tr>
        <w:trPr/>
        <w:tc>
          <w:tcPr>
            <w:tcW w:w="26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Operational costs</w:t>
            </w:r>
          </w:p>
        </w:tc>
        <w:tc>
          <w:tcPr>
            <w:tcW w:w="109" w:type="dxa"/>
            <w:tcBorders/>
            <w:vAlign w:val="center"/>
          </w:tcPr>
          <w:p>
            <w:pPr>
              <w:pStyle w:val="TableContents"/>
              <w:bidi w:val="0"/>
              <w:spacing w:before="0" w:after="0"/>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109" w:type="dxa"/>
            <w:tcBorders/>
            <w:vAlign w:val="center"/>
          </w:tcPr>
          <w:p>
            <w:pPr>
              <w:pStyle w:val="TableContents"/>
              <w:bidi w:val="0"/>
              <w:spacing w:before="0" w:after="0"/>
              <w:ind w:left="0" w:right="0" w:hanging="0"/>
              <w:jc w:val="righ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109"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r>
      <w:tr>
        <w:trPr/>
        <w:tc>
          <w:tcPr>
            <w:tcW w:w="26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w:t>
            </w:r>
          </w:p>
        </w:tc>
        <w:tc>
          <w:tcPr>
            <w:tcW w:w="109" w:type="dxa"/>
            <w:tcBorders/>
            <w:shd w:fill="CCEEFF" w:val="clear"/>
            <w:vAlign w:val="center"/>
          </w:tcPr>
          <w:p>
            <w:pPr>
              <w:pStyle w:val="TableContents"/>
              <w:bidi w:val="0"/>
              <w:spacing w:before="0" w:after="0"/>
              <w:ind w:left="0" w:right="0" w:hanging="0"/>
              <w:jc w:val="righ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8,404</w:t>
            </w:r>
          </w:p>
        </w:tc>
        <w:tc>
          <w:tcPr>
            <w:tcW w:w="109" w:type="dxa"/>
            <w:tcBorders/>
            <w:shd w:fill="CCEEFF" w:val="clear"/>
            <w:vAlign w:val="center"/>
          </w:tcPr>
          <w:p>
            <w:pPr>
              <w:pStyle w:val="TableContents"/>
              <w:bidi w:val="0"/>
              <w:spacing w:before="0" w:after="0"/>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7,585</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clinical trial expenses relate to trials for our iCLAS atrial ULTC catheter and system (CYROCURE-2), iCLAS atrial ULTC catheter and system (iCLAS for persistent atrial fibrillation), vCLAS ventricular ULTC catheter (CYROCURE-VT), vCLAS ventricular ULTC catheter (FULCRUM-VT), and PFCA catheter. Clinical trial costs include the expenses spent on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the expenses spent on product manufacturing.</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were $2.9 million for the three months ended September 30, 2025 (Successor) and $2.9 million and $4.9 million for the period from July 31, 2024 to September 30, 2024 (Successor) and from July 1, 2024 to July 30, 2024 (Predecessor), respectively. The decrease in selling, general and administrative expenses of $4.9 million, or 62.5%, was primarily due to a decrease in payroll and personnel expense related to lower headcount during the three months ended September 30, 2025, as compared to the prior periods.</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were $8.9 million for the nine months ended September 30, 2025 (Successor) and $2.9 million and $13.0 million for the period from July 31, 2024 to September 30, 2024 (Successor) and from January 1, 2024 to July 30, 2024 (Predecessor), respectively. The decrease in selling, general and administrative expenses of $7.1 million, or 44.3%, was primarily due to a decrease in payroll and personnel expense related to lower headcount during the nine months ended September 30, 2025, as compared to the prior year periods. Additionally, we changed our estimate of the useful life of our consoles from five years to three years and recognized a catch-up in January 2024, which increased depreciation expense in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notes fair value adjustment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change in convertible notes fair value resulted in a loss of $3.5 million and $1.9 million for the three and nine months ended September 30, 2025 (Successor) respectively. The change in convertible notes fair value resulted in a gain of $3.3 million and a loss of $1.9 million for the period from July 31, 2024 to September 30, 2024 (Successor) and from July 1, 2024 to July 30, 2024 (Predecessor), respectively. The change in convertible notes fair value resulted in a gain of $3.3 million and $2.1 million for the period from July 31, 2024 to September 30, 2024 (Successor) and from January 1, 2024 to July 30, 2024 (Predecessor), respectively.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 liabilities resulted in a loss of $0.2 million for the three months ended September 30, 2025, compared to a gain of $5.0 million and $0.2 million for the periods from July 31, 2024 to September 30, 2024 (Successor) and from July 1, 2024 to July 30, 2024 (Predecessor),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 liabilities resulted in a loss of $0.3 million for the nine months ended September 30, 2025, compared to a gain of $5.0 million and $0.2 million for the periods from July 31, 2024 to September 30, 2024 (Successor) and from January 1, 2024 to July 30, 2024 (Predecessor), respectively.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$0.7 million for the three months ended September 30, 2025 (Successor) and $0.4 million and $0.3 million for the period from July 31, 2024 to September 30, 2024 (Successor) and from July 1, 2024 to July 30, 2024 (Predecessor), respectively. The increase of $10 thousand, or 1.4%, was related to interest incurred from the convertible promissory notes issued in April 2023, November 2023, February 2024, May 2024, June 2024, July 2024 Notes, and the 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$2.1 million for the nine months ended September 30, 2025 (Successor) and $0.4 million and $1.8 million for the period from July 31, 2024 to September 30, 2024 (Successor) and from January 1, 2024 to July 30, 2024 (Predecessor), respectively. The decrease of $0.1 million, or 5.4%, was related to interest incurred from the convertible promissory notes issued in April 2023, November 2023, February 2024, May 2024, June 2024, July 2024 Notes, and the Convertible Securities Notes.</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was $79.0 thousand for the three months ended September 30, 2025 (Successor) and $0.2 million and nil for the period from July 31, 2024 to September 30, 2024 (Successor) and from July 1, 2024 to July 30, 2024 (Predecessor), respectively. The decrease in interest income of $87.0 thousand was primarily due to the decrease of cash balances in an asset management account.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was $0.3 million for the nine months ended September 30, 2025 (Successor) and $0.2 million and $3.0 thousand for the period from July 31, 2024 to September 30, 2024 (Successor) and from January 1, 2024 to July 30, 2024 (Predecessor), respectively. The increase in interest income of $0.2 million was primarily due to the increase of cash balances in an asset management account.</w:t>
      </w:r>
    </w:p>
    <w:p>
      <w:pPr>
        <w:pStyle w:val="TextBody"/>
        <w:bidi w:val="0"/>
        <w:spacing w:before="0" w:after="240"/>
        <w:ind w:left="0" w:right="0" w:hanging="0"/>
        <w:jc w:val="both"/>
        <w:rPr/>
      </w:pPr>
      <w:r>
        <w:rPr/>
        <w:t>​</w:t>
      </w:r>
    </w:p>
    <w:p>
      <w:pPr>
        <w:pStyle w:val="TextBody"/>
        <w:bidi w:val="0"/>
        <w:spacing w:before="40" w:after="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income, net was $12.0 thousand for the three months ended September 30, 2025 (Successor) and other income was $72.0 thousand and $5.0 thousand for the period from July 31, 2024 to September 30, 2024 (Successor) and from July 1, 2024 to July 30, 2024 (Predecessor), respectively. This net decrease in other income of $0.1 million was primarily attributable to foreign currency unrealized and realized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income, net was $0.2 million for the nine months ended September 30, 2025 (Successor) and other income was $72.0 thousand and other expense was $33.0 thousand for the period from July 31, 2024 to September 30, 2024 (Successor) and from January 1, 2024 to July 30, 2024 (Predecessor), respectively. This net increase in other income of $0.1 million was primarily attributable to foreign currency unrealized and realized gain.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To date, we have financed our operations primarily through the sale of equity securities, convertible promissory notes and the SVB Term Loan (as defined below). In connection with the closing of the Business Combination on July 31, 2024, we received net proceeds of $84.2 million. Since inception we have incurred operating losses and negative cash flows and anticipate continuing to do so for at least the next several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2025, and December 31, 2024, the Company had cash and cash equivalents of $4.7 million and $20.6 million, respectively. For the nine months ended September 30, 2025 (Successor), net losses were ($21.8) million. For the period from July 31, 2024 to September 30, 2024 (Successor) and from January 1, 2024 to July 30, 2024 (Predecessor), net income (losses) were $3.6 million and $(21.3) million, respectively. For the nine months ended September 30, 2025 (Successor) and the period from July 31, 2024 to September 30, 2024 (Successor) and the period from January 1, 2024 to July 30, 2024 (Predecessor), net cash used in operating activities was $14.9 million, $6.4 million, and $16.0 million, respectively. </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20, 2025, we announced the closing of the Private Placement which resulted in up front, aggregate gross proceeds of approximately $19 million. After deducting estimated offering expenses, the net proceeds from the Private Placement are expected to provide us with additional liquidity to fund planned operations and working capital needs. For more information see “—Recent Developments” above.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our existing cash and cash equivalents, including the anticipated net proceeds from the Private Placement, will enable us to fund our ongoing development and submission activities to support FDA evaluation of our first and next generation ULTC products. We will require additional capital to fund continued clinical activities for our next generation product, to fund our manufacturing activities, to fund precommercial activities of our programs and for working capital and general corporate purposes. The assessment of our ability to meet our future obligations is inherently judgmental, subjective and susceptible to change. Based on our current forecast, we believe that we will have sufficient cash to maintain our planned operations for the next twelve months following the issuance of these condensed consolidated financial statements.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of the numerous risks and uncertainties associated with research, development and commercialization of medical products, we are unable to estimate the exact amount of our operating capital requirements. Our future funding requirements will depend on many factors, including, but not limited to:</w:t>
      </w:r>
    </w:p>
    <w:p>
      <w:pPr>
        <w:pStyle w:val="TextBody"/>
        <w:bidi w:val="0"/>
        <w:spacing w:before="0" w:after="0"/>
        <w:ind w:left="0" w:right="0" w:firstLine="360"/>
        <w:jc w:val="both"/>
        <w:rPr/>
      </w:pPr>
      <w:r>
        <w:rPr/>
        <w:t>​</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our revenue growth;</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our research and development efforts;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our sales and marketing activities;</w:t>
      </w:r>
    </w:p>
    <w:p>
      <w:pPr>
        <w:pStyle w:val="TextBody"/>
        <w:bidi w:val="0"/>
        <w:spacing w:before="0" w:after="0"/>
        <w:ind w:left="1080" w:right="0" w:hanging="0"/>
        <w:jc w:val="left"/>
        <w:rPr/>
      </w:pPr>
      <w:r>
        <w:rPr>
          <w:caps w:val="false"/>
          <w:smallCaps w:val="false"/>
        </w:rPr>
        <w:t>•</w:t>
      </w:r>
      <w:r>
        <w:rPr>
          <w:rFonts w:ascii="Times New Roman;Times;serif" w:hAnsi="Times New Roman;Times;serif"/>
          <w:sz w:val="20"/>
        </w:rPr>
        <w:t>our ability to raise additional funds to finance our operations;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outcome, costs and timing of any clinical trial results for our current or future products;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emergence and effect of competing or complementary products;</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availability and amount of reimbursement for procedures using our products;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retain our current employees and the need and ability to hire additional management and sales, scientific and medical personnel;  </w:t>
            </w:r>
          </w:p>
        </w:tc>
      </w:tr>
    </w:tbl>
    <w:p>
      <w:pPr>
        <w:pStyle w:val="TextBody"/>
        <w:bidi w:val="0"/>
        <w:spacing w:before="0" w:after="0"/>
        <w:ind w:left="720" w:right="0" w:hanging="0"/>
        <w:jc w:val="left"/>
        <w:rPr/>
      </w:pPr>
      <w:r>
        <w:rPr>
          <w:caps w:val="false"/>
          <w:smallCaps w:val="false"/>
        </w:rPr>
        <w:t>•</w:t>
      </w:r>
      <w:r>
        <w:rPr>
          <w:rFonts w:ascii="Times New Roman;Times;serif" w:hAnsi="Times New Roman;Times;serif"/>
          <w:sz w:val="20"/>
        </w:rPr>
        <w:t>the terms and timing of any collaborative, licensing or other arrangements that we have or may establish;</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debt service requirements; and</w:t>
      </w:r>
    </w:p>
    <w:p>
      <w:pPr>
        <w:pStyle w:val="TextBody"/>
        <w:bidi w:val="0"/>
        <w:spacing w:before="0" w:after="0"/>
        <w:ind w:left="720" w:right="0" w:hanging="0"/>
        <w:jc w:val="left"/>
        <w:rPr/>
      </w:pPr>
      <w:r>
        <w:rPr>
          <w:caps w:val="false"/>
          <w:smallCaps w:val="false"/>
        </w:rPr>
        <w:t>•</w:t>
      </w:r>
      <w:r>
        <w:rPr>
          <w:rFonts w:ascii="Times New Roman;Times;serif" w:hAnsi="Times New Roman;Times;serif"/>
          <w:sz w:val="20"/>
        </w:rPr>
        <w:t xml:space="preserve">the extent to which we acquire or invest in businesses, products or technologies.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primary uses of capital are, and we expect will continue to be, investment in clinical research and development, and related supplies, marketing and physician education, legal and other regulatory expenses, commercial activities, general administrative costs and working capital.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the section of this Report titled “Risk Factors” for additional risks associated with our substantial capital requirements.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Obligations (Predecessor)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October 2022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October 2022, we entered into a Note Purchase Agreement with investors for the issuance and sale of the October 2022 Convertible Notes with an aggregate principal amount of $9.5 million at an interest rate of eight percent (8.0%) per year. The October 2022 Convertible Notes had an original maturity date of October 27, 2023, which was subsequently extended to the latest of (i) January 5, 2024, (ii) termination of agreements between Legacy Adagio and ARYA in connection with a non-binding summary of certain proposed terms and conditions of the Business Combination, or (iii) the termination or lapse of the exclusivity period as defined in the non-binding term sheet as mentioned above.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October 2022 Convertible Notes were also amended to be subordinate to the April 2023 Convertible Notes (as described below) and provide for the conversion of all principal and accrued interest in respect of all the October 2022 Convertible Notes into shares of Series E Preferred Stock of Legacy Adagio in connection with the Business Combination.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2023 and February 2024, the October 2022 Convertible Notes were further amended to also subordinate the November 2023 Convertible Notes and the 2024 Bridge Financing Note. Upon the consummation of the Business Combination, all principal and accrued interest in respect of the October 2022 Convertible Notes were converted into shares of Legacy Adagio common stock when multiplied by the exchange ratio applicable to the Legacy Adagio common stock in the Business Combination, which entitled the holder of this note to receive a number of shares of the same class of common stock that were issued in the 2024 PIPE Financing equal to the then outstanding principal amount and any accrued and unpaid interest under this note, divided by 75% of the effective price of each share of common stock sold in the 2024 PIPE Financing. Further, on the Closing Date, Legacy Adagio common stocks were converted to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October 2022 Convertible Notes automatically converted into 1,444,899 shares of the Company’s common stock.</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Bridge Financing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April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2023, we issued a $5.0 million convertible promissory note that would mature on the latest of (i) January 5, 2024, (ii) termination of agreements between Legacy Adagio and ARYA in connection with the Business Combination, or (iii) the termination or lapse of the exclusivity period as defined in the non-binding term sheet as mentioned above, and accrued simple interest at eight percent (8.0%) per annum. Additionally, we obtained the right to issue up to $10.0 million in additional convertible promissory notes available beginning one month after April 4, 2023, through the occurrence of an ARYA stockholder vote with regard to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2023, the April 2023 Notes were amended to align certain terms to the November 2023 Notes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April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November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the Perceptive PIPE Investor a $2.0 million convertible promissory note that would mature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Notes”). The November 2023 Notes accrued simple interest at eight percent (8.0%) per annum. Additionally, Legacy Adagio obtained the right to issue up to $6.0 million of Delayed Draw Commitment available beginning one month after November 28, 2023, through the occurrence of an ARYA stockholder vote with regard to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November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November 2023 Notes were amended to permit the issuance of a Delayed Draw Commitment in the original amount of $6.0 million. On December 13, 2023, and December 28, 2023, Legacy Adagio drew the principal amount of $1.0 million and $2.0 million, respectively. As of July 30, 2024, $8.0 million of the convertible promissory note had been drawn. The combined $6.0 million convertible promissory notes were issued pursuant to the clause and terms in the November 2023 Notes agreement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May 2024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21, 2024, Legacy Adagio issued a $3.0 million convertible promissory note (“May 2024 Notes”) to Perceptive PIPE Investor that matured upon the termination of the Business Combination Agreement in accordance with its terms. It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May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June 2024 Notes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25, 2024, Legacy Adagio issued a $2.5 million convertible promissory note (“June 2024 Notes”) to Perceptive PIPE Investor that matured upon the termination of the Business Combination Agreement in accordance with its terms. It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June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July 2024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(“July 2024 Notes”) to Perceptive PIPE Investor that matured upon the termination of the Business Combination Agreement in accordance with its terms. It accrued simple interest at eight percent (8.0%) per annum.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July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2024 PIPE Financing.</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February 2024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Legacy Adagio issued to Perceptive PIPE Investor a principal of $7.0 million convertible promissory note that matured upon the termination of the Business Combination Agreement in accordance with its terms. The February 2024 Convertible Notes accrued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February 2024 Convertible Notes was automatically transferred to the Company in connection with the issuance of the Convertible Securities Notes to Perceptive PIPE Investor, pursuant to, and in accordance with, the note purchase agreement and the Convertible Security Subscription Agreement. Any interest accrued on the principal amount of the February 2024 Convertible Notes was forfeited in connection with the transfer of the notes to the Company.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$7.0 million of February 2024 Convertible Notes were converted into $7.0 million Convertible Securities Notes and 525,000 Convert Warrants.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SVB Term Loan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February 2023, Legacy Adagio entered into an agreement with Silicon Valley Bank to borrow an initial term loan advance of $3.0 million and a right to borrow a subsequent term loan advance of $2.0 million (“SVB Term Loan”). The loans matured on January 1, 2025. In conjunction with the SVB Term Loan, Legacy Adagio issued Silicon Valley Bank warrants to acquire 32,720 shares of common stock in February 2023 and distributed additional warrants to acquire 16,360 shares of common stock as of December 31, 2023 (“SVB Warrants”). Prior to the Closing of the Business Combination, the existing SVB Term Loan of Legacy Adagio as on July 30, 2024, had a net balance of $1.0 million, including $1.0 million of principal payment due within twelve months with an unamortized debt discount of $9.7 thousand. The unpaid principal and accrued interest were carried as assumed liabilities to the Company and paid at the Closing. (Refer to </w:t>
      </w:r>
      <w:r>
        <w:rPr>
          <w:rFonts w:ascii="Times New Roman;Times;serif" w:hAnsi="Times New Roman;Times;serif"/>
          <w:i/>
          <w:sz w:val="20"/>
        </w:rPr>
        <w:t>Note 9 -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Obligations (Successor)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$20.0 million Convertible Securities Notes are convertible into shares of the Company’s common stock at a conversion price of $10.00 per share, subject to adjustment per the terms of the agreement, and the 1,500,000 warrants, each of which are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shows a summary of our cash flows for each of the periods shown below (in thousands):</w:t>
      </w:r>
    </w:p>
    <w:p>
      <w:pPr>
        <w:pStyle w:val="TextBody"/>
        <w:bidi w:val="0"/>
        <w:spacing w:before="0" w:after="0"/>
        <w:ind w:left="0" w:right="0" w:firstLine="360"/>
        <w:jc w:val="both"/>
        <w:rPr/>
      </w:pPr>
      <w:r>
        <w:rPr/>
        <w:t>​</w:t>
      </w:r>
    </w:p>
    <w:tbl>
      <w:tblPr>
        <w:tblW w:w="9432" w:type="dxa"/>
        <w:jc w:val="left"/>
        <w:tblInd w:w="0" w:type="dxa"/>
        <w:tblLayout w:type="fixed"/>
        <w:tblCellMar>
          <w:top w:w="0" w:type="dxa"/>
          <w:left w:w="0" w:type="dxa"/>
          <w:bottom w:w="0" w:type="dxa"/>
          <w:right w:w="0" w:type="dxa"/>
        </w:tblCellMar>
      </w:tblPr>
      <w:tblGrid>
        <w:gridCol w:w="3766"/>
        <w:gridCol w:w="109"/>
        <w:gridCol w:w="211"/>
        <w:gridCol w:w="796"/>
        <w:gridCol w:w="109"/>
        <w:gridCol w:w="109"/>
        <w:gridCol w:w="438"/>
        <w:gridCol w:w="1437"/>
        <w:gridCol w:w="109"/>
        <w:gridCol w:w="109"/>
        <w:gridCol w:w="437"/>
        <w:gridCol w:w="1648"/>
        <w:gridCol w:w="154"/>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391410" cy="175260"/>
                      <wp:effectExtent l="0" t="0" r="0" b="0"/>
                      <wp:wrapNone/>
                      <wp:docPr id="325" name="Frame325"/>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05460" cy="175260"/>
                      <wp:effectExtent l="0" t="0" r="0" b="0"/>
                      <wp:wrapNone/>
                      <wp:docPr id="328" name="Frame3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78130" cy="175260"/>
                      <wp:effectExtent l="0" t="0" r="0" b="0"/>
                      <wp:wrapNone/>
                      <wp:docPr id="331" name="Frame331"/>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12495" cy="175260"/>
                      <wp:effectExtent l="0" t="0" r="0" b="0"/>
                      <wp:wrapNone/>
                      <wp:docPr id="332" name="Frame332"/>
                      <a:graphic xmlns:a="http://schemas.openxmlformats.org/drawingml/2006/main">
                        <a:graphicData uri="http://schemas.microsoft.com/office/word/2010/wordprocessingShape">
                          <wps:wsp>
                            <wps:cNvSpPr txBox="1"/>
                            <wps:spPr>
                              <a:xfrm>
                                <a:off x="0" y="0"/>
                                <a:ext cx="912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3" name="Frame3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77495" cy="175260"/>
                      <wp:effectExtent l="0" t="0" r="0" b="0"/>
                      <wp:wrapNone/>
                      <wp:docPr id="335" name="Frame335"/>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046480" cy="175260"/>
                      <wp:effectExtent l="0" t="0" r="0" b="0"/>
                      <wp:wrapNone/>
                      <wp:docPr id="336" name="Frame336"/>
                      <a:graphic xmlns:a="http://schemas.openxmlformats.org/drawingml/2006/main">
                        <a:graphicData uri="http://schemas.microsoft.com/office/word/2010/wordprocessingShape">
                          <wps:wsp>
                            <wps:cNvSpPr txBox="1"/>
                            <wps:spPr>
                              <a:xfrm>
                                <a:off x="0" y="0"/>
                                <a:ext cx="1046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97790" cy="175260"/>
                      <wp:effectExtent l="0" t="0" r="0" b="0"/>
                      <wp:wrapNone/>
                      <wp:docPr id="337" name="Frame33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540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2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2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 to September 30</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(6,358)</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 </w:t>
            </w:r>
          </w:p>
        </w:tc>
        <w:tc>
          <w:tcPr>
            <w:tcW w:w="14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 </w:t>
            </w:r>
          </w:p>
        </w:tc>
        <w:tc>
          <w:tcPr>
            <w:tcW w:w="1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pPr>
            <w:r>
              <w:rPr/>
              <w:t>​</w:t>
            </w:r>
          </w:p>
        </w:tc>
        <w:tc>
          <w:tcPr>
            <w:tcW w:w="1437"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1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currency translation on cash</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 xml:space="preserve">Comparison of the Nine Months Ended September 30, 2025 (Successor) to the Periods from January 1, 2024 to July 30, 2024 (Predecessor) and from July 31, 2024 to September 30, 2024 (Successor)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nine months ended September 30, 2025 (Successor) was $14.9 million, consisting primarily of a net loss of $21.8 million, adjusted by non-cash items of $4.0 million and net changes in operating assets and liabilities of $2.9 million. Non-cash items primarily consisted of $0.7 million in depreciation, $0.6 million in stock-based compensation, a loss on disposal of property and equipment of $0.5 million, a change in fair value of convertible notes payable of $1.9 million, and a change in fair value of warrant liabilities of $0.3 million. Changes in operating assets and liabilities were primarily driven by a $4.8 million increase in accrued liabilities, a $2.1 million increase in other accrued liabilities, a $1.1 million decrease in inventory, and a $0.3 million decrease in prepaid expenses and other current assets, partially offset by a $3.6 million decrease in other long-term liabilities and a $1.8 million decrease in accounts payable.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period from July 31, 2024 to September 30, 2024 (Successor) was $6.4 million, consisting primarily of net income of $3.6 million, adjusted by non-cash items of $7.9 million, and net changes in our operating assets and liabilities of $2.1 million. Non-cash items primarily consisted of $0.3 million in depreciation and amortization; offset by a gain of $3.3 million from the change in fair value of convertible notes payable and a gain of $5.0 million from the change in fair value of warrant liabilities. Changes in our net operating assets and liabilities were primarily due to a $0.3 million increase in other accrued liabilities which was primarily driven by interest payable on the convertible note; offset by $1.3 million increase in prepaid expenses and other current assets, $0.4 million decrease in accounts payable, and a $0.7 million decrease in accrued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period from January 1, 2024 to July 30, 2024 (Predecessor) was $16.0 million consisting primarily of a net loss of $21.3 million, adjusted by non-cash items of $0.8 million, and net changes in our operating assets and liabilities of $6.1 million. Non-cash items primarily consisted of $0.6 million in depreciation and amortization, $0.6 million in stock-based compensation, noncash operating lease expense of $0.1 million, and loss on disposal of property and equipment of $0.1 million; offset by a gain of $2.1 million from the change in fair value of convertible notes payable, and a gain of $0.2 million from the change in fair value of warrant liabilities. Changes in our net operating assets and liabilities were primarily due to a $7.4 million increase in accrued transaction costs, the increase in accrued liabilities of $0.5 million and a $1.7 million increase in other accrued liabilities, which were primarily driven by the increase in transaction costs related to the Business Combination, the increase in accrued variable compensation related to the Business Combination, and the increase in interest related the convertible notes; offset by a $2.6 million decrease in accounts payable, $0.8 million  increase in inventory, which were primarily driven by the payment of accounts payable related to the Business combination and an increase in inventory purchases.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Used in Investing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for the nine months ended September 30, 2025 (Successor) was $0.9 million. Net cash used in investing activities for the periods from July 31, 2024 to September 30, 2024 (Successor) and January 1, 2024 to July 30, 2024 (Predecessor) was $0.6 million and $0.4 million, respectively. The increase was primarily due to higher purchases of property and equipment during the period.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Provided by Financing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nine months ended September 30, 2025 (Successor) was nil.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period from January 1, 2024 to July 30, 2024 (Predecessor) was $15.6 million, primarily due to proceeds of $16.5 million from the issuance of the $7.0 million 2024 Bridge Financing Note, the $3.0 million May 2024 Convertible Notes, the $2.5 million June 2024 Convertible Notes, the $1.0 million July 2024 Convertible Notes, and the $3.0 million draw under the November 2023 Convertible Notes, partially offset by a $0.9 million repayment of the SVB Term Loan.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us to make estimates and assumptions that affect the amounts reported in our condensed consolidated financial statements and accompanying notes included elsewhere in this Report.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Accordingly, the accounting estimates used in the preparation of our condensed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condensed consolidated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an ongoing basis, we evaluate our estimates and assumptions. Our actual results may differ from these estimates under different assumptions or conditions.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September 30, 2025, there have been no material changes to our critical accounting policies from those disclosed in Part II, Item 7, “Management’s Discussion and Analysis of Financial Condition and Results of Operations” of the 2024 Annual Report, except as noted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 and Smaller Reporting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as an emerging growth company, we may take advantage of specified reduced disclosure and other requirements that are otherwise applicable generally to public companies. These provisions include: </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exception from compliance with the auditor attestation requirements of Section 404 of the Sarbanes-Oxley Act of 2002, as amended;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reduced disclosure about our executive compensation arrangements in our periodic reports, proxy statements and registration statements;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exemptions from the requirements of holding non-binding advisory votes on executive compensation or golden parachute arrangements;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0"/>
        <w:ind w:left="144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will remain an EGC under the JOBS Act until the earliest of (i) December 31, 2026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12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2 - Summary of Significant Accounting Policies</w:t>
      </w:r>
      <w:r>
        <w:rPr>
          <w:rFonts w:ascii="Times New Roman;Times;serif" w:hAnsi="Times New Roman;Times;serif"/>
          <w:sz w:val="20"/>
        </w:rPr>
        <w:t xml:space="preserve"> in our condensed consolidated financial statements included elsewhere in this Report for a description of recent accounting pronouncements applicable to our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bookmarkStart w:id="1859" w:name="Item3QuantitativeandQualitativeDisclosur"/>
      <w:bookmarkStart w:id="1860" w:name="_54696e40_4333_4f0d_9bd1_4bfa6bd8e23d"/>
      <w:bookmarkEnd w:id="1859"/>
      <w:bookmarkEnd w:id="1860"/>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61" w:name="Item4ControlsandProcedures_352413"/>
      <w:bookmarkStart w:id="1862" w:name="_7e6cc837_5256_4fab_be23_43a055da4c3b"/>
      <w:bookmarkEnd w:id="1861"/>
      <w:bookmarkEnd w:id="1862"/>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maintain “disclosure controls and procedures,” as defined in Rule 13a-15(e) and Rule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applies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management’s evaluation pursuant to Rules 13a-15(d) or 15d-15(d) of the Exchange Act during the period covered by this Report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63" w:name="PARTIIOTHERINFORMATION_699286"/>
      <w:bookmarkStart w:id="1864" w:name="_9279384b_84f8_4d85_87b7_15b4b1b6bb96"/>
      <w:bookmarkEnd w:id="1863"/>
      <w:bookmarkEnd w:id="1864"/>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1865" w:name="Item1_184970"/>
      <w:bookmarkEnd w:id="1865"/>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1866" w:name="Item1A_807724"/>
      <w:bookmarkStart w:id="1867" w:name="risk"/>
      <w:bookmarkStart w:id="1868" w:name="_3e0ad564_e6c0_463f_ac76_3c40da7ab39d"/>
      <w:bookmarkEnd w:id="1866"/>
      <w:bookmarkEnd w:id="1867"/>
      <w:bookmarkEnd w:id="1868"/>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bookmarkStart w:id="1869" w:name="_Hlk197604881"/>
      <w:bookmarkEnd w:id="1869"/>
      <w:r>
        <w:rPr>
          <w:rFonts w:ascii="Times New Roman;Times;serif" w:hAnsi="Times New Roman;Times;serif"/>
          <w:sz w:val="20"/>
        </w:rPr>
        <w:t>Except as set forth below, there have been no material changes from the risk factors disclosed in Part I, Item 1A. “Risk Factors” of our Annual Report on Form 10-K filed with the SEC on March 27, 2025 (the “2024 Annual Report”). The risk factors described in our 2024 Annual Report, as well as other information set forth in this Quarterly Report on Form 10-Q, could materially adversely affect our business, financial condition, results of operations and prospects, and should be carefully considered. The risks and uncertainties that we face, however, are not limited to those described in the 2024 Annual Report. Additional risks and uncertainties not presently known to us or that we currently believe to be immaterial may also adversely affect our business and the trading price of our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International trade policies, including tariffs, sanctions and trade barriers may adversely affect our business, financial condition, results of operations and prospects</w:t>
      </w:r>
      <w:r>
        <w:rPr>
          <w:rFonts w:ascii="Times New Roman;Times;serif" w:hAnsi="Times New Roman;Times;serif"/>
          <w:b/>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source some materials from international suppliers, with reliance on foreign manufacturers, including China. Tariff policies, particularly those affecting China could materially increase our costs and reduce our profitability, including as a result of our inability to adjust pricing in formulary-based markets. Recent and potential future changes in international trade policies, particularly regarding U.S. China trade relations present risks to our operations and financial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Unlike many industries, our ability to pass increased costs to customers may be limited by the structure of medical device pricing and reimbursement systems. In many cases, pricing of medical devices are established through annual or multi-year contracts with commercial, third-party payors, customers, and group purchasing organizations, and reimbursement methodologies established by government programs, such as Medicare. These arrangements typically include fixed pricing terms. As a result, and depending on the timing and scope of our future commercialization and the implementation of any future tariffs, cost increases due to tariffs may be difficult or impossible to pass through to customers until the next negotiation cycle.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Current or future tariffs will also result in increased research and development expenses, including with respect to increased costs associated with raw materials,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corporate prioritization initiative may not achieve our intended outcome and may result in significant adverse consequences.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2025, we implemented a corporate prioritization initiative focusing all resources on the FULCRUM-VT clinical trial activities and our new product design optimization program. This corporate prioritization initiative may result in unintended consequences and costs, such as the loss of institutional knowledge and expertise, attrition beyond the intended number of employees, decreased morale among our remaining employees, and the risk that we may not achieve the anticipated benefits of the corporate prioritization initiative. If we are unable to realize the anticipated benefits from the corporate prioritization initiative, or if we experience significant adverse consequences from the corporate prioritization initiative, our business, financial condition, and results of operations may be materially adversely affected</w:t>
      </w:r>
      <w:r>
        <w:rPr>
          <w:rFonts w:ascii="Times New Roman;Times;serif" w:hAnsi="Times New Roman;Times;serif"/>
          <w:b/>
          <w:i/>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Products</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Changes in the regulatory landscape, policies, or processes, as well as disruptions at the FDA and other government agencies caused by layoffs, changes in personnel, funding shortages or global health concerns could negatively impact our business.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ability of the FDA to review proposed clinical trials or approve new products can be affected by a variety of factors, including government budget and funding levels, statutory, regulatory, and policy changes, the FDA’s ability to hire and retain key personnel and accept payment of user fees, and other events that may otherwise affect the FDA’s ability to perform routine functions. In addition, government funding of other government agencies that fund research and development activities is subject to the political process, including executive and congressional priorities, the impacts of which are inherently fluid and unpredictable. Disruptions at the FDA and other agencies may slow the time necessary for new product candidates to be reviewed and/or approved, which would adversely affect our business. For example, over the last several years, including in October 2025, the U.S. government has shut down several times and certain regulatory agencies, such as the FDA, have had to furlough critical FDA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increased uncertainty as to how the FDA and other regulatory agencies will regulate our products.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A breakthrough device designation by the FDA for vCLAS</w:t>
      </w:r>
      <w:r>
        <w:rPr>
          <w:rFonts w:ascii="Times New Roman;Times;serif" w:hAnsi="Times New Roman;Times;serif"/>
          <w:b/>
          <w:i/>
          <w:sz w:val="15"/>
          <w:shd w:fill="FFFFFF" w:val="clear"/>
        </w:rPr>
        <w:t>TM</w:t>
      </w:r>
      <w:r>
        <w:rPr>
          <w:rFonts w:ascii="Times New Roman;Times;serif" w:hAnsi="Times New Roman;Times;serif"/>
          <w:sz w:val="20"/>
          <w:shd w:fill="FFFFFF" w:val="clear"/>
        </w:rPr>
        <w:t xml:space="preserve"> </w:t>
      </w:r>
      <w:r>
        <w:rPr>
          <w:rFonts w:ascii="Times New Roman;Times;serif" w:hAnsi="Times New Roman;Times;serif"/>
          <w:b/>
          <w:i/>
          <w:sz w:val="20"/>
          <w:shd w:fill="FFFFFF" w:val="clear"/>
        </w:rPr>
        <w:t>may not lead to a faster development, regulatory review or approval process, and it may not increase the likelihood that vCLAS</w:t>
      </w:r>
      <w:r>
        <w:rPr>
          <w:rFonts w:ascii="Times New Roman;Times;serif" w:hAnsi="Times New Roman;Times;serif"/>
          <w:b/>
          <w:i/>
          <w:sz w:val="15"/>
          <w:shd w:fill="FFFFFF" w:val="clear"/>
        </w:rPr>
        <w:t>TM</w:t>
      </w:r>
      <w:r>
        <w:rPr>
          <w:rFonts w:ascii="Times New Roman;Times;serif" w:hAnsi="Times New Roman;Times;serif"/>
          <w:sz w:val="20"/>
          <w:shd w:fill="FFFFFF" w:val="clear"/>
        </w:rPr>
        <w:t xml:space="preserve"> </w:t>
      </w:r>
      <w:r>
        <w:rPr>
          <w:rFonts w:ascii="Times New Roman;Times;serif" w:hAnsi="Times New Roman;Times;serif"/>
          <w:b/>
          <w:i/>
          <w:sz w:val="20"/>
          <w:shd w:fill="FFFFFF" w:val="clear"/>
        </w:rPr>
        <w:t xml:space="preserve">will receive premarket approval (“PMA”) approval from the FDA. </w:t>
      </w:r>
    </w:p>
    <w:p>
      <w:pPr>
        <w:pStyle w:val="TextBody"/>
        <w:bidi w:val="0"/>
        <w:spacing w:before="0" w:after="0"/>
        <w:ind w:left="0" w:right="0" w:firstLine="360"/>
        <w:jc w:val="both"/>
        <w:rPr/>
      </w:pPr>
      <w:r>
        <w:rPr/>
        <w:t>​</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sz w:val="20"/>
        </w:rPr>
        <w:t>In April 2025, we announced that the FDA granted breakthrough device designation for the vCLAS</w:t>
      </w:r>
      <w:r>
        <w:rPr>
          <w:rFonts w:ascii="Times New Roman;Times;serif" w:hAnsi="Times New Roman;Times;serif"/>
          <w:sz w:val="15"/>
        </w:rPr>
        <w:t>TM</w:t>
      </w:r>
      <w:r>
        <w:rPr>
          <w:rFonts w:ascii="Times New Roman;Times;serif" w:hAnsi="Times New Roman;Times;serif"/>
          <w:sz w:val="20"/>
        </w:rPr>
        <w:t xml:space="preserve"> Cryoablation System for the treatment of drug-refractory, recurrent, sustained monomorphic ventricular tachycardia in patients with ischemic or non-ischemic structural heart disease. Breakthrough Device designation provides potential benefits to device developers, including more interactive and timely communications with FDA staff, use of post-market data collection when scientifically appropriate, and opportunities for flexible clinical study design. The receipt of breakthrough device designation for vCLAS</w:t>
      </w:r>
      <w:r>
        <w:rPr>
          <w:rFonts w:ascii="Times New Roman;Times;serif" w:hAnsi="Times New Roman;Times;serif"/>
          <w:sz w:val="15"/>
        </w:rPr>
        <w:t>TM</w:t>
      </w:r>
      <w:r>
        <w:rPr>
          <w:rFonts w:ascii="Times New Roman;Times;serif" w:hAnsi="Times New Roman;Times;serif"/>
          <w:sz w:val="20"/>
        </w:rPr>
        <w:t xml:space="preserve"> may not result in a faster development process, review or approval compared to conventional FDA procedures and does not ensure ultimate PMA approval by the FDA. In addition, even if a product qualifies as a breakthrough device, the FDA may later decide that the product no longer meets the conditions for qualification.</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Regulatory and Legal Compliance Matters</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business could be negatively impacted by changes in the United States political environment.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Any changes in the political and regulatory landscape, policies, or processes, could significantly affect our business. Specific legislative and regulatory proposals discussed during election campaigns and more recently that might materially impact our business include, but are not limited to, promoting access to healthcare via market competition and pricing transparency, enhancing flexibility and choice in healthcare at the state and individual level, prioritizing domestic production and increasing tariffs on imports (which may complicate and increase costs associated with our supply chain), and rolling back regulatory initiatives adopted under the previous administration. We cannot predict whether industry initiatives to seek tariff carve-outs for devices or other life sciences goods and products will be successful.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increased uncertainty as to how the FDA and other regulatory agencies will regulate our products. For example, the Bureau of Industry and Security, U.S. Department of Commerce, has initiated an investigation to determine whether medical devices, including their components and accessories, manufactured outside the United States pose a national security risk and should be subject to additional tariffs. In addition, the current administration also has issued, and is expected to continue relying upon, Executive Orders to address a wide range of policy areas, some of which may impact our business. Such political developments may require us to allocate significant time, resources, and expense to modifying our policies and procedures, processes, systems, and practices to ensure compliance or adapt to the new regulatory climate, particularly to the extent such actions are subject to protracted and uncertain legal challenges. To the extent changes in the political environment have a negative impact on us or on our markets, our business, results of operation, and financial condition could be materially and adversely affected in the future.</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bookmarkStart w:id="1870" w:name="Item2UnregisteredSalesofEquity_747415"/>
      <w:bookmarkStart w:id="1871" w:name="_dee6d9de_1ad1_4011_9353_3a29b1ce5a3f"/>
      <w:bookmarkEnd w:id="1870"/>
      <w:bookmarkEnd w:id="1871"/>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 from Registered Securities.</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872" w:name="Item3DefaultsuponSeniorSecurities_12800"/>
      <w:bookmarkStart w:id="1873" w:name="_b8e5bf9f_eb33_4a5a_8fe4_8803ae6063db"/>
      <w:bookmarkEnd w:id="1872"/>
      <w:bookmarkEnd w:id="1873"/>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874" w:name="Item4MineSafetyDisclosures_857010"/>
      <w:bookmarkStart w:id="1875" w:name="_563eb321_7fad_43c9_a660_a49082a26901"/>
      <w:bookmarkEnd w:id="1874"/>
      <w:bookmarkEnd w:id="1875"/>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1876" w:name="Item5OtherInformation_402779"/>
      <w:bookmarkStart w:id="1877" w:name="_5c7688de_4e77_4d62_ae8c_cd95e9ae04d5"/>
      <w:bookmarkEnd w:id="1876"/>
      <w:bookmarkEnd w:id="1877"/>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our last fiscal quarter, no director or officer (as defined in Rule 16a-1(f) under the Exchange Act) adopted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78" w:name="Item6Exhibits_682725"/>
      <w:bookmarkStart w:id="1879" w:name="_72fc6515_7570_42a6_8ada_0552c7ebea4f"/>
      <w:bookmarkEnd w:id="1878"/>
      <w:bookmarkEnd w:id="1879"/>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following exhibits are either filed or furnished with, or incorporated by reference into, this Quarterly Report on Form 10-Q. </w:t>
      </w:r>
    </w:p>
    <w:p>
      <w:pPr>
        <w:pStyle w:val="TextBody"/>
        <w:bidi w:val="0"/>
        <w:spacing w:before="0" w:after="0"/>
        <w:ind w:left="0" w:right="0" w:firstLine="360"/>
        <w:jc w:val="left"/>
        <w:rPr/>
      </w:pPr>
      <w:r>
        <w:rPr/>
        <w:t>​</w:t>
      </w:r>
    </w:p>
    <w:tbl>
      <w:tblPr>
        <w:tblW w:w="10205" w:type="dxa"/>
        <w:jc w:val="left"/>
        <w:tblInd w:w="0" w:type="dxa"/>
        <w:tblLayout w:type="fixed"/>
        <w:tblCellMar>
          <w:top w:w="0" w:type="dxa"/>
          <w:left w:w="0" w:type="dxa"/>
          <w:bottom w:w="28" w:type="dxa"/>
          <w:right w:w="0" w:type="dxa"/>
        </w:tblCellMar>
      </w:tblPr>
      <w:tblGrid>
        <w:gridCol w:w="652"/>
        <w:gridCol w:w="326"/>
        <w:gridCol w:w="9227"/>
      </w:tblGrid>
      <w:tr>
        <w:trPr/>
        <w:tc>
          <w:tcPr>
            <w:tcW w:w="65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922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652"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Business Combination Agreement, dated as of February 13, 2024, by and among Aja HoldCo, Inc., ARYA Sciences Acquisition Corp IV, Aja Merger Sub 1, Aja Merger Sub 2, Inc. and Adagio Medical, Inc. (incorporated by reference to Exhibit 2.1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Consent and Amendment No. 1 to the Business Combination Agreement, dated as of June 25, 2024, by and among ARYA Sciences Acquisition Corp IV and Adagio Medical, Inc. (incorporated by reference to Exhibit 2.2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August 6, 2024).</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930xex10d1.htm">
              <w:r>
                <w:rPr>
                  <w:rStyle w:val="InternetLink"/>
                  <w:rFonts w:ascii="Times New Roman;Times;serif" w:hAnsi="Times New Roman;Times;serif"/>
                  <w:b w:val="false"/>
                  <w:i w:val="false"/>
                  <w:caps w:val="false"/>
                  <w:smallCaps w:val="false"/>
                  <w:sz w:val="20"/>
                </w:rPr>
                <w:t>Amended and Restated Offer Letter, dated September 3, 2025, between Adagio Medical Holdings, Inc. and Deborah Kaster</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930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930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pPr>
            <w:hyperlink w:anchor="adgm-2025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5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for the cover page of this Quarterly Report on Form 10-Q, included in the Exhibit 101 Inline XBRL Document Set.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80" w:name="SIGNATURES_342629"/>
      <w:bookmarkStart w:id="1881" w:name="_db3df9b9_5d12_4088_b63d_5af25fd6c20a"/>
      <w:bookmarkEnd w:id="1880"/>
      <w:bookmarkEnd w:id="188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2088"/>
        <w:gridCol w:w="626"/>
        <w:gridCol w:w="7491"/>
      </w:tblGrid>
      <w:tr>
        <w:trPr/>
        <w:tc>
          <w:tcPr>
            <w:tcW w:w="20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25880" cy="175260"/>
                      <wp:effectExtent l="0" t="0" r="0" b="0"/>
                      <wp:wrapNone/>
                      <wp:docPr id="338" name="Frame338"/>
                      <a:graphic xmlns:a="http://schemas.openxmlformats.org/drawingml/2006/main">
                        <a:graphicData uri="http://schemas.microsoft.com/office/word/2010/wordprocessingShape">
                          <wps:wsp>
                            <wps:cNvSpPr txBox="1"/>
                            <wps:spPr>
                              <a:xfrm>
                                <a:off x="0" y="0"/>
                                <a:ext cx="1325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97510" cy="175260"/>
                      <wp:effectExtent l="0" t="0" r="0" b="0"/>
                      <wp:wrapNone/>
                      <wp:docPr id="339" name="Frame339"/>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756785" cy="175260"/>
                      <wp:effectExtent l="0" t="0" r="0" b="0"/>
                      <wp:wrapNone/>
                      <wp:docPr id="340" name="Frame340"/>
                      <a:graphic xmlns:a="http://schemas.openxmlformats.org/drawingml/2006/main">
                        <a:graphicData uri="http://schemas.microsoft.com/office/word/2010/wordprocessingShape">
                          <wps:wsp>
                            <wps:cNvSpPr txBox="1"/>
                            <wps:spPr>
                              <a:xfrm>
                                <a:off x="0" y="0"/>
                                <a:ext cx="475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8"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7491" w:type="dxa"/>
            <w:tcBorders/>
            <w:vAlign w:val="center"/>
          </w:tcPr>
          <w:p>
            <w:pPr>
              <w:pStyle w:val="TableContents"/>
              <w:bidi w:val="0"/>
              <w:spacing w:before="0" w:after="0"/>
              <w:ind w:left="0" w:right="0" w:hanging="0"/>
              <w:jc w:val="left"/>
              <w:rPr/>
            </w:pPr>
            <w:r>
              <w:rPr/>
              <w:t>​</w:t>
            </w:r>
          </w:p>
        </w:tc>
      </w:tr>
      <w:tr>
        <w:trPr/>
        <w:tc>
          <w:tcPr>
            <w:tcW w:w="2088" w:type="dxa"/>
            <w:tcBorders/>
            <w:vAlign w:val="center"/>
          </w:tcPr>
          <w:p>
            <w:pPr>
              <w:pStyle w:val="TableContents"/>
              <w:bidi w:val="0"/>
              <w:spacing w:before="0" w:after="0"/>
              <w:ind w:left="0" w:right="0" w:hanging="0"/>
              <w:jc w:val="left"/>
              <w:rPr/>
            </w:pPr>
            <w:r>
              <w:rPr/>
              <w:t>​</w:t>
            </w:r>
          </w:p>
        </w:tc>
        <w:tc>
          <w:tcPr>
            <w:tcW w:w="81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ADAGIO MEDICAL HOLDINGS, INC.</w:t>
            </w:r>
          </w:p>
        </w:tc>
      </w:tr>
      <w:tr>
        <w:trPr/>
        <w:tc>
          <w:tcPr>
            <w:tcW w:w="2088"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7491" w:type="dxa"/>
            <w:tcBorders/>
            <w:vAlign w:val="center"/>
          </w:tcPr>
          <w:p>
            <w:pPr>
              <w:pStyle w:val="TableContents"/>
              <w:bidi w:val="0"/>
              <w:spacing w:before="0" w:after="0"/>
              <w:ind w:left="0" w:right="0" w:hanging="0"/>
              <w:jc w:val="left"/>
              <w:rPr/>
            </w:pPr>
            <w:r>
              <w:rPr/>
              <w:t>​</w:t>
            </w:r>
          </w:p>
        </w:tc>
      </w:tr>
      <w:tr>
        <w:trPr/>
        <w:tc>
          <w:tcPr>
            <w:tcW w:w="20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2025</w:t>
            </w:r>
          </w:p>
        </w:tc>
        <w:tc>
          <w:tcPr>
            <w:tcW w:w="626" w:type="dxa"/>
            <w:tcBorders/>
            <w:vAlign w:val="center"/>
          </w:tcPr>
          <w:p>
            <w:pPr>
              <w:pStyle w:val="TableContents"/>
              <w:bidi w:val="0"/>
              <w:spacing w:before="0" w:after="0"/>
              <w:ind w:left="0" w:right="0" w:hanging="0"/>
              <w:jc w:val="left"/>
              <w:rPr/>
            </w:pPr>
            <w:r>
              <w:rPr/>
              <w:t>​</w:t>
            </w:r>
          </w:p>
        </w:tc>
        <w:tc>
          <w:tcPr>
            <w:tcW w:w="74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2088"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49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2088"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r>
              <w:rPr>
                <w:rFonts w:ascii="Times New Roman;Times;serif" w:hAnsi="Times New Roman;Times;serif"/>
                <w:i/>
                <w:sz w:val="20"/>
              </w:rPr>
              <w:t>Principal Executive Officer</w:t>
            </w:r>
            <w:r>
              <w:rPr>
                <w:rFonts w:ascii="Times New Roman;Times;serif" w:hAnsi="Times New Roman;Times;serif"/>
                <w:sz w:val="20"/>
              </w:rPr>
              <w:t>)</w:t>
            </w:r>
          </w:p>
        </w:tc>
      </w:tr>
      <w:tr>
        <w:trPr/>
        <w:tc>
          <w:tcPr>
            <w:tcW w:w="2088"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c>
          <w:tcPr>
            <w:tcW w:w="7491" w:type="dxa"/>
            <w:tcBorders/>
            <w:vAlign w:val="center"/>
          </w:tcPr>
          <w:p>
            <w:pPr>
              <w:pStyle w:val="TableContents"/>
              <w:bidi w:val="0"/>
              <w:spacing w:before="0" w:after="0"/>
              <w:ind w:left="0" w:right="0" w:hanging="0"/>
              <w:jc w:val="left"/>
              <w:rPr/>
            </w:pPr>
            <w:r>
              <w:rPr/>
              <w:t>​</w:t>
            </w:r>
          </w:p>
        </w:tc>
      </w:tr>
      <w:tr>
        <w:trPr/>
        <w:tc>
          <w:tcPr>
            <w:tcW w:w="20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2025</w:t>
            </w:r>
          </w:p>
        </w:tc>
        <w:tc>
          <w:tcPr>
            <w:tcW w:w="626" w:type="dxa"/>
            <w:tcBorders/>
            <w:vAlign w:val="center"/>
          </w:tcPr>
          <w:p>
            <w:pPr>
              <w:pStyle w:val="TableContents"/>
              <w:bidi w:val="0"/>
              <w:spacing w:before="0" w:after="0"/>
              <w:ind w:left="0" w:right="0" w:hanging="0"/>
              <w:jc w:val="left"/>
              <w:rPr/>
            </w:pPr>
            <w:r>
              <w:rPr/>
              <w:t>​</w:t>
            </w:r>
          </w:p>
        </w:tc>
        <w:tc>
          <w:tcPr>
            <w:tcW w:w="74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Deborah Kaster</w:t>
            </w:r>
          </w:p>
        </w:tc>
      </w:tr>
      <w:tr>
        <w:trPr/>
        <w:tc>
          <w:tcPr>
            <w:tcW w:w="2088"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49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Kaster</w:t>
            </w:r>
          </w:p>
        </w:tc>
      </w:tr>
      <w:tr>
        <w:trPr/>
        <w:tc>
          <w:tcPr>
            <w:tcW w:w="2088"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Business Officer (</w:t>
            </w:r>
            <w:r>
              <w:rPr>
                <w:rFonts w:ascii="Times New Roman;Times;serif" w:hAnsi="Times New Roman;Times;serif"/>
                <w:i/>
                <w:sz w:val="20"/>
              </w:rPr>
              <w:t>Principal Financial and Accounting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0"/>
        <w:ind w:left="0" w:right="0" w:hanging="0"/>
        <w:jc w:val="right"/>
        <w:rPr>
          <w:rFonts w:ascii="Times New Roman;Times;serif" w:hAnsi="Times New Roman;Times;serif"/>
          <w:b/>
          <w:sz w:val="20"/>
        </w:rPr>
      </w:pPr>
      <w:bookmarkStart w:id="1882" w:name="adgm-20250930xex10d1.htm"/>
      <w:bookmarkStart w:id="1883" w:name="ksadgm20250930xex10d1"/>
      <w:bookmarkEnd w:id="1882"/>
      <w:bookmarkEnd w:id="1883"/>
      <w:r>
        <w:rPr>
          <w:rFonts w:ascii="Times New Roman;Times;serif" w:hAnsi="Times New Roman;Times;serif"/>
          <w:b/>
          <w:sz w:val="20"/>
        </w:rPr>
        <w:t>Exhibit 10.1</w:t>
      </w:r>
      <w:r>
        <w:br w:type="page"/>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30 Via Hermosa</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Greenbrae, CA 94904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Re:</w:t>
      </w:r>
      <w:r>
        <w:rPr>
          <w:rFonts w:ascii="Times New Roman;Times;serif" w:hAnsi="Times New Roman;Times;serif"/>
          <w:b/>
          <w:sz w:val="22"/>
        </w:rPr>
        <w:t>Amended and Restated Employment Terms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Dear Debbie: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This amended and restated offer letter agreement amends and replaces the offer letter dated March 25, 2025 between you and Adagio Medical Holdings, Inc. (the “</w:t>
      </w:r>
      <w:r>
        <w:rPr>
          <w:rFonts w:ascii="Times New Roman;Times;serif" w:hAnsi="Times New Roman;Times;serif"/>
          <w:b/>
          <w:sz w:val="22"/>
        </w:rPr>
        <w:t>Company</w:t>
      </w:r>
      <w:r>
        <w:rPr>
          <w:rFonts w:ascii="Times New Roman;Times;serif" w:hAnsi="Times New Roman;Times;serif"/>
          <w:sz w:val="22"/>
        </w:rPr>
        <w:t>”). I am pleased to offer you continued employment in the roles of Chief Financial Officer and Chief Business Officer, on the terms set forth in this offer letter agreement (the “</w:t>
      </w:r>
      <w:r>
        <w:rPr>
          <w:rFonts w:ascii="Times New Roman;Times;serif" w:hAnsi="Times New Roman;Times;serif"/>
          <w:b/>
          <w:sz w:val="22"/>
        </w:rPr>
        <w:t>Agreement</w:t>
      </w:r>
      <w:r>
        <w:rPr>
          <w:rFonts w:ascii="Times New Roman;Times;serif" w:hAnsi="Times New Roman;Times;serif"/>
          <w:sz w:val="22"/>
        </w:rPr>
        <w:t>”). As discussed, your role as Chief Financial Officer and Chief Business Officer shall be effective upon the full execution of this Agreement and no later than September 2, 2025 (such actual date of your employment as both Chief Financial Officer and Chief Business Officer shall be referred to herein as the “</w:t>
      </w:r>
      <w:r>
        <w:rPr>
          <w:rFonts w:ascii="Times New Roman;Times;serif" w:hAnsi="Times New Roman;Times;serif"/>
          <w:b/>
          <w:sz w:val="22"/>
        </w:rPr>
        <w:t>Effective Date</w:t>
      </w:r>
      <w:r>
        <w:rPr>
          <w:rFonts w:ascii="Times New Roman;Times;serif" w:hAnsi="Times New Roman;Times;serif"/>
          <w:sz w:val="22"/>
        </w:rPr>
        <w:t>”).</w:t>
      </w:r>
    </w:p>
    <w:p>
      <w:pPr>
        <w:pStyle w:val="TextBody"/>
        <w:bidi w:val="0"/>
        <w:spacing w:before="0" w:after="0"/>
        <w:ind w:left="0" w:right="0" w:hanging="0"/>
        <w:jc w:val="left"/>
        <w:rPr/>
      </w:pPr>
      <w:r>
        <w:rPr/>
        <w:t>​</w:t>
      </w:r>
    </w:p>
    <w:tbl>
      <w:tblPr>
        <w:tblW w:w="3235" w:type="dxa"/>
        <w:jc w:val="left"/>
        <w:tblInd w:w="0" w:type="dxa"/>
        <w:tblLayout w:type="fixed"/>
        <w:tblCellMar>
          <w:top w:w="0" w:type="dxa"/>
          <w:left w:w="0" w:type="dxa"/>
          <w:bottom w:w="0" w:type="dxa"/>
          <w:right w:w="0" w:type="dxa"/>
        </w:tblCellMar>
      </w:tblPr>
      <w:tblGrid>
        <w:gridCol w:w="200"/>
        <w:gridCol w:w="3035"/>
      </w:tblGrid>
      <w:tr>
        <w:trPr/>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Employment by the Company. </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4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Position. </w:t>
            </w:r>
            <w:r>
              <w:rPr>
                <w:rFonts w:ascii="Times New Roman;Times;serif" w:hAnsi="Times New Roman;Times;serif"/>
                <w:b w:val="false"/>
                <w:i w:val="false"/>
                <w:caps w:val="false"/>
                <w:smallCaps w:val="false"/>
                <w:sz w:val="22"/>
              </w:rPr>
              <w:t xml:space="preserve">You will serve as the Company’s Chief Financial Officer and Chief Business Officer. During the term of your employment with the Company, you will continue to devote your best efforts and substantially all of your business time and attention to the business of the Company, except for approved vacation periods and reasonable periods of illness or other incapacities permitted by the Company’s general employment policies. </w:t>
            </w:r>
          </w:p>
        </w:tc>
      </w:tr>
    </w:tbl>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10029"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Duties and Location. </w:t>
            </w:r>
            <w:r>
              <w:rPr>
                <w:rFonts w:ascii="Times New Roman;Times;serif" w:hAnsi="Times New Roman;Times;serif"/>
                <w:b w:val="false"/>
                <w:i w:val="false"/>
                <w:caps w:val="false"/>
                <w:smallCaps w:val="false"/>
                <w:sz w:val="22"/>
              </w:rPr>
              <w:t xml:space="preserve">You will perform those duties and responsibilities as may be directed by the Chief Executive Officer, to whom you will report. Your primary office location will be the Company’s offices in Laguna Hills, California; however, it is understood that you will be primarily working remotely. Notwithstanding the foregoing, the Company reserves the right to reasonably require you to perform your duties at places other than your primary office location from time to time, and to require reasonable business travel. </w:t>
            </w:r>
          </w:p>
        </w:tc>
      </w:tr>
    </w:tbl>
    <w:p>
      <w:pPr>
        <w:pStyle w:val="TextBody"/>
        <w:bidi w:val="0"/>
        <w:spacing w:before="0" w:after="0"/>
        <w:ind w:left="720" w:right="0" w:hanging="0"/>
        <w:jc w:val="both"/>
        <w:rPr/>
      </w:pPr>
      <w:r>
        <w:rPr/>
        <w:t>​</w:t>
      </w:r>
    </w:p>
    <w:tbl>
      <w:tblPr>
        <w:tblW w:w="4510" w:type="dxa"/>
        <w:jc w:val="left"/>
        <w:tblInd w:w="0" w:type="dxa"/>
        <w:tblLayout w:type="fixed"/>
        <w:tblCellMar>
          <w:top w:w="0" w:type="dxa"/>
          <w:left w:w="0" w:type="dxa"/>
          <w:bottom w:w="0" w:type="dxa"/>
          <w:right w:w="0" w:type="dxa"/>
        </w:tblCellMar>
      </w:tblPr>
      <w:tblGrid>
        <w:gridCol w:w="200"/>
        <w:gridCol w:w="4310"/>
      </w:tblGrid>
      <w:tr>
        <w:trPr/>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431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Base Salary, Bonus and Employee Benefits. </w:t>
            </w:r>
          </w:p>
        </w:tc>
      </w:tr>
    </w:tbl>
    <w:tbl>
      <w:tblPr>
        <w:tblW w:w="10205" w:type="dxa"/>
        <w:jc w:val="left"/>
        <w:tblInd w:w="0" w:type="dxa"/>
        <w:tblLayout w:type="fixed"/>
        <w:tblCellMar>
          <w:top w:w="0" w:type="dxa"/>
          <w:left w:w="0" w:type="dxa"/>
          <w:bottom w:w="0" w:type="dxa"/>
          <w:right w:w="0" w:type="dxa"/>
        </w:tblCellMar>
      </w:tblPr>
      <w:tblGrid>
        <w:gridCol w:w="23"/>
        <w:gridCol w:w="133"/>
        <w:gridCol w:w="10049"/>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49"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Salary. </w:t>
            </w:r>
            <w:r>
              <w:rPr>
                <w:rFonts w:ascii="Times New Roman;Times;serif" w:hAnsi="Times New Roman;Times;serif"/>
                <w:b w:val="false"/>
                <w:i w:val="false"/>
                <w:caps w:val="false"/>
                <w:smallCaps w:val="false"/>
                <w:sz w:val="22"/>
              </w:rPr>
              <w:t xml:space="preserve">You will be paid a base salary at the rate of $366,000 per year, less applicable payroll deductions and withholdings. After the closing of the first tranche of a Company Financing, you shall immediately receive a salary increase of no less than 4% of your base salary, which will take effect on the first payroll period following the closing of such financing. Your base salary will be paid on the Company’s ordinary payroll cycle. As an exempt salaried employee, you will be required to work the Company’s normal business hours, and such additional time as appropriate for your work assignments and position, and you will not be entitled to overtime compensation. For purposes of this paragraph 2.(a), “Company Financing” means the Company’s receipt of gross cash proceeds of at least $5 million. </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1003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Annual Discretionary Bonus. </w:t>
            </w:r>
            <w:r>
              <w:rPr>
                <w:rFonts w:ascii="Times New Roman;Times;serif" w:hAnsi="Times New Roman;Times;serif"/>
                <w:b w:val="false"/>
                <w:i w:val="false"/>
                <w:caps w:val="false"/>
                <w:smallCaps w:val="false"/>
                <w:sz w:val="22"/>
              </w:rPr>
              <w:t>You will continue to be eligible to earn an annual discretionary performance and retention bonus of up to 40% of your base salary rate (the “</w:t>
            </w:r>
            <w:r>
              <w:rPr>
                <w:rFonts w:ascii="Times New Roman;Times;serif" w:hAnsi="Times New Roman;Times;serif"/>
                <w:b/>
                <w:i w:val="false"/>
                <w:caps w:val="false"/>
                <w:smallCaps w:val="false"/>
                <w:sz w:val="22"/>
              </w:rPr>
              <w:t>Annual Bonus</w:t>
            </w:r>
            <w:r>
              <w:rPr>
                <w:caps w:val="false"/>
                <w:smallCaps w:val="false"/>
              </w:rPr>
              <w:t>”</w:t>
            </w:r>
            <w:r>
              <w:rPr>
                <w:rFonts w:ascii="Times New Roman;Times;serif" w:hAnsi="Times New Roman;Times;serif"/>
                <w:b w:val="false"/>
                <w:i w:val="false"/>
                <w:caps w:val="false"/>
                <w:smallCaps w:val="false"/>
                <w:sz w:val="22"/>
              </w:rPr>
              <w:t>). The Annual Bonus will be based upon the Company’s assessment of your individual performance and the Company’s performance for a given calendar year, as well as any other criteria the Company deems relevant. The Company will determine, in its sole discretion, whether you have earned an Annual Bonus and the amount of any such bonus. Bonus payments, if any, will be paid subject to applicable payroll deductions and withholdings. No amount of Annual Bonus is guaranteed, and you must be an employee on the Annual Bonus payment date to be eligible to receive an Annual Bonus; no partial or prorated bonuses will be provided. The Annual Bonus, if earned, will be paid no later than March 15 of the calendar year after the applicable bonus year. Your bonus eligibility is subject to change in the discretion of the Board (or any authorized committee thereof).</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1002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Employee Benefits. </w:t>
            </w:r>
            <w:r>
              <w:rPr>
                <w:rFonts w:ascii="Times New Roman;Times;serif" w:hAnsi="Times New Roman;Times;serif"/>
                <w:b w:val="false"/>
                <w:i w:val="false"/>
                <w:caps w:val="false"/>
                <w:smallCaps w:val="false"/>
                <w:sz w:val="22"/>
              </w:rPr>
              <w:t xml:space="preserve">As a regular full-time employee, you will continue to be eligible to participate in the Company’s standard employee benefits offered to executive level employees, as in effect from time to time and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subject to the terms and conditions of the benefit plans and applicable Company policies. A full description of these benefits is available upon request.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1004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Expenses. </w:t>
            </w:r>
            <w:r>
              <w:rPr>
                <w:rFonts w:ascii="Times New Roman;Times;serif" w:hAnsi="Times New Roman;Times;serif"/>
                <w:b w:val="false"/>
                <w:i w:val="false"/>
                <w:caps w:val="false"/>
                <w:smallCaps w:val="false"/>
                <w:sz w:val="22"/>
              </w:rPr>
              <w:t xml:space="preserve">The Company will reimburse you for reasonable travel, entertainment or other expenses incurred by you in furtherance of or in connection with the performance of your duties hereunder, in accordance with the Company’s expense reimbursement policies and practices as in effect from time to time.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1006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Equity Compensation. </w:t>
            </w:r>
            <w:r>
              <w:rPr>
                <w:rFonts w:ascii="Times New Roman;Times;serif" w:hAnsi="Times New Roman;Times;serif"/>
                <w:b w:val="false"/>
                <w:i w:val="false"/>
                <w:caps w:val="false"/>
                <w:smallCaps w:val="false"/>
                <w:sz w:val="22"/>
              </w:rPr>
              <w:t>The Company has granted you options to purchase 819,000 shares of the Company’s Common Stock with an exercise price equal to the closing per-share trading price of the Company’s common stock on the date of grant (the “</w:t>
            </w:r>
            <w:r>
              <w:rPr>
                <w:rFonts w:ascii="Times New Roman;Times;serif" w:hAnsi="Times New Roman;Times;serif"/>
                <w:b/>
                <w:i w:val="false"/>
                <w:caps w:val="false"/>
                <w:smallCaps w:val="false"/>
                <w:sz w:val="22"/>
              </w:rPr>
              <w:t>Options</w:t>
            </w:r>
            <w:r>
              <w:rPr>
                <w:caps w:val="false"/>
                <w:smallCaps w:val="false"/>
              </w:rPr>
              <w:t>”</w:t>
            </w:r>
            <w:r>
              <w:rPr>
                <w:rFonts w:ascii="Times New Roman;Times;serif" w:hAnsi="Times New Roman;Times;serif"/>
                <w:b w:val="false"/>
                <w:i w:val="false"/>
                <w:caps w:val="false"/>
                <w:smallCaps w:val="false"/>
                <w:sz w:val="22"/>
              </w:rPr>
              <w:t>). Options to purchase 546,000 shares (the “</w:t>
            </w:r>
            <w:r>
              <w:rPr>
                <w:rFonts w:ascii="Times New Roman;Times;serif" w:hAnsi="Times New Roman;Times;serif"/>
                <w:b/>
                <w:i w:val="false"/>
                <w:caps w:val="false"/>
                <w:smallCaps w:val="false"/>
                <w:sz w:val="22"/>
              </w:rPr>
              <w:t>Time-Based Option</w:t>
            </w:r>
            <w:r>
              <w:rPr>
                <w:caps w:val="false"/>
                <w:smallCaps w:val="false"/>
              </w:rPr>
              <w:t>”</w:t>
            </w:r>
            <w:r>
              <w:rPr>
                <w:rFonts w:ascii="Times New Roman;Times;serif" w:hAnsi="Times New Roman;Times;serif"/>
                <w:b w:val="false"/>
                <w:i w:val="false"/>
                <w:caps w:val="false"/>
                <w:smallCaps w:val="false"/>
                <w:sz w:val="22"/>
              </w:rPr>
              <w:t xml:space="preserve">) vest subject to your continued employment over a four-year period, whereby twenty-five percent (25%) of your Time-Based Option shares will vest on the one year anniversary of April 1, 2025, with the remaining shares subject to the Time-Based Option vesting in thirty-six (36) equal monthly installments thereafter, in each case generally subject to your continued employment through the applicable vesting dates. The remaining Options to purchase 273,000 shares are subject to certain performance-based milestones (the “Performance-Based Options”). As of the Effective Date, the Company agrees to amend the terms of Performance-Based Options to purchase 182,000 shares such that the vesting of such Options will be identical to the Time-Based Options (and such Options shall thereafter be deemed to be a Time-Based Option). The remaining Performance-Based Options to purchase 91,000 shares will vest immediately at the time of the consummation of a Change in Control, within the meaning of the Plan, that results in total consideration to the Company’s stockholders of more than $250,000,000. In connection with the Company’s next equity financing (the “Financing”), the Company agrees at the next meeting of the Company’s Board of Directors following the Financing, to issue to you equity in the Company such that, immediately following the closing of the Financing, you shall own 2% of the Company’s fully diluted capitalization (the “Guaranteed Ownership Interest”). For purposes of this Section, “fully diluted capitalization” means the total number of shares of the Company’s capital stock outstanding on an as-converted basis, plus all shares subject to outstanding options, warrants, convertible securities, and any other rights to acquire capital stock of the Company, whether vested or unvested, including without limitation any warrants or other equity rights issued to investors in the Financing (including milestone-based warrants). </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2"/>
        </w:rPr>
      </w:pPr>
      <w:r>
        <w:rPr>
          <w:rFonts w:ascii="Times New Roman;Times;serif" w:hAnsi="Times New Roman;Times;serif"/>
          <w:sz w:val="22"/>
        </w:rPr>
        <w:t xml:space="preserve">The Options continue to otherwise be subject to the terms of the Plan and the applicable award agreement thereunder. In the event of a Change in Control within the meaning of the Plan, (i) the portion of the Performance-Based Options whose vesting is contingent upon the occurrence of a Change in Control shall vest if and as applicable based on the terms of the Change in Control, (ii) the remaining portion of the Performance-Based Options shall be forfeited if still outstanding and (iii) the Time-Based Option shall either vest in full and be settled or, if the Time-Based Option continues in effect or is assumed or an equivalent award is substituted, vest in full if your employment is terminated within two years following the Change in Control by the Company other than for Cause or by you for Good Reason. </w:t>
        <w:b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5.</w:t>
            </w:r>
          </w:p>
        </w:tc>
        <w:tc>
          <w:tcPr>
            <w:tcW w:w="1006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Compliance with Confidentiality Information Agreement and Company Policies. </w:t>
            </w:r>
            <w:r>
              <w:rPr>
                <w:rFonts w:ascii="Times New Roman;Times;serif" w:hAnsi="Times New Roman;Times;serif"/>
                <w:b w:val="false"/>
                <w:i w:val="false"/>
                <w:caps w:val="false"/>
                <w:smallCaps w:val="false"/>
                <w:sz w:val="22"/>
              </w:rPr>
              <w:t>Your signed Employee Confidential Information and Inventions Assignment Agreement between you the Company (the “</w:t>
            </w:r>
            <w:r>
              <w:rPr>
                <w:rFonts w:ascii="Times New Roman;Times;serif" w:hAnsi="Times New Roman;Times;serif"/>
                <w:b/>
                <w:i w:val="false"/>
                <w:caps w:val="false"/>
                <w:smallCaps w:val="false"/>
                <w:sz w:val="22"/>
              </w:rPr>
              <w:t>Confidentiality Agreement</w:t>
            </w:r>
            <w:r>
              <w:rPr>
                <w:caps w:val="false"/>
                <w:smallCaps w:val="false"/>
              </w:rPr>
              <w:t>”</w:t>
            </w:r>
            <w:r>
              <w:rPr>
                <w:rFonts w:ascii="Times New Roman;Times;serif" w:hAnsi="Times New Roman;Times;serif"/>
                <w:b w:val="false"/>
                <w:i w:val="false"/>
                <w:caps w:val="false"/>
                <w:smallCaps w:val="false"/>
                <w:sz w:val="22"/>
              </w:rPr>
              <w:t xml:space="preserve">) will continue to be in full force and effect, and binding on you. In addition, you continue to be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w:t>
            </w:r>
            <w:r>
              <w:rPr>
                <w:rFonts w:ascii="Times New Roman;Times;serif" w:hAnsi="Times New Roman;Times;serif"/>
                <w:b w:val="false"/>
                <w:i/>
                <w:sz w:val="22"/>
              </w:rPr>
              <w:t>provided</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sz w:val="22"/>
              </w:rPr>
              <w:t>however</w:t>
            </w:r>
            <w:r>
              <w:rPr>
                <w:rFonts w:ascii="Times New Roman;Times;serif" w:hAnsi="Times New Roman;Times;serif"/>
                <w:b w:val="false"/>
                <w:i w:val="false"/>
                <w:caps w:val="false"/>
                <w:smallCaps w:val="false"/>
                <w:sz w:val="22"/>
              </w:rPr>
              <w:t xml:space="preserve">, that in the event the terms of this Agreement differ from or are in conflict with the Company’s general employment policies or practices, this Agreement shall control. </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w:t>
            </w:r>
          </w:p>
        </w:tc>
        <w:tc>
          <w:tcPr>
            <w:tcW w:w="1006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Protection of Third Party Information. </w:t>
            </w:r>
            <w:r>
              <w:rPr>
                <w:rFonts w:ascii="Times New Roman;Times;serif" w:hAnsi="Times New Roman;Times;serif"/>
                <w:b w:val="false"/>
                <w:i w:val="false"/>
                <w:caps w:val="false"/>
                <w:smallCaps w:val="false"/>
                <w:sz w:val="22"/>
              </w:rPr>
              <w:t xml:space="preserve">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w:t>
            </w:r>
          </w:p>
        </w:tc>
        <w:tc>
          <w:tcPr>
            <w:tcW w:w="1005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At-Will Employment Relationship. </w:t>
            </w:r>
            <w:r>
              <w:rPr>
                <w:rFonts w:ascii="Times New Roman;Times;serif" w:hAnsi="Times New Roman;Times;serif"/>
                <w:b w:val="false"/>
                <w:i w:val="false"/>
                <w:caps w:val="false"/>
                <w:smallCaps w:val="false"/>
                <w:sz w:val="22"/>
              </w:rPr>
              <w:t>Your employment relationship with the Company will continue to be at will. Accordingly, you may terminate your employment with the Company at any time and for any reason whatsoever simply by notifying the Company; and the Company may terminate your employment at any time, with or without Cause or advance notice. While the Company also may change your position, job duties, work location, reporting structure, compensation, and benefits from time to time in its discretion, the at-will nature of your employment can only be changed in an express written agreement signed by you and a duly authorized officer of the Company.</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8.</w:t>
            </w:r>
          </w:p>
        </w:tc>
        <w:tc>
          <w:tcPr>
            <w:tcW w:w="10059"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Severance Absent Change in Control. </w:t>
            </w:r>
            <w:r>
              <w:rPr>
                <w:rFonts w:ascii="Times New Roman;Times;serif" w:hAnsi="Times New Roman;Times;serif"/>
                <w:b w:val="false"/>
                <w:i w:val="false"/>
                <w:caps w:val="false"/>
                <w:smallCaps w:val="false"/>
                <w:sz w:val="22"/>
              </w:rPr>
              <w:t>If, at any time, the Company terminates your employment without Cause (other than as a result of your death or disability) or you resign for Good Reason (either such termination referred to as a “</w:t>
            </w:r>
            <w:r>
              <w:rPr>
                <w:rFonts w:ascii="Times New Roman;Times;serif" w:hAnsi="Times New Roman;Times;serif"/>
                <w:b/>
                <w:i w:val="false"/>
                <w:caps w:val="false"/>
                <w:smallCaps w:val="false"/>
                <w:sz w:val="22"/>
              </w:rPr>
              <w:t>Qualifying Termination</w:t>
            </w:r>
            <w:r>
              <w:rPr>
                <w:caps w:val="false"/>
                <w:smallCaps w:val="false"/>
              </w:rPr>
              <w:t>”</w:t>
            </w:r>
            <w:r>
              <w:rPr>
                <w:rFonts w:ascii="Times New Roman;Times;serif" w:hAnsi="Times New Roman;Times;serif"/>
                <w:b w:val="false"/>
                <w:i w:val="false"/>
                <w:caps w:val="false"/>
                <w:smallCaps w:val="false"/>
                <w:sz w:val="22"/>
              </w:rPr>
              <w:t>), provided such termination or resignation constitutes a Separation from Service (as defined under Treasury Regulation Section 1.409A-1(h), without regard to any alternative definition thereunder, a “</w:t>
            </w:r>
            <w:r>
              <w:rPr>
                <w:rFonts w:ascii="Times New Roman;Times;serif" w:hAnsi="Times New Roman;Times;serif"/>
                <w:b/>
                <w:i w:val="false"/>
                <w:caps w:val="false"/>
                <w:smallCaps w:val="false"/>
                <w:sz w:val="22"/>
              </w:rPr>
              <w:t>Separation from Service</w:t>
            </w:r>
            <w:r>
              <w:rPr>
                <w:caps w:val="false"/>
                <w:smallCaps w:val="false"/>
              </w:rPr>
              <w:t>”</w:t>
            </w:r>
            <w:r>
              <w:rPr>
                <w:rFonts w:ascii="Times New Roman;Times;serif" w:hAnsi="Times New Roman;Times;serif"/>
                <w:b w:val="false"/>
                <w:i w:val="false"/>
                <w:caps w:val="false"/>
                <w:smallCaps w:val="false"/>
                <w:sz w:val="22"/>
              </w:rPr>
              <w:t>), then subject to Sections 10 (“Limitation on Severance Benefits / Clawback and Recovery”), 12 (“Conditions to Receipt of Any Severance”) and 13 (“Return of Company Property”) below and your continued compliance with the terms of this Agreement (including without limitation the Confidentiality Agreement), the Company will provide you with the following severance benefits (the “</w:t>
            </w:r>
            <w:r>
              <w:rPr>
                <w:rFonts w:ascii="Times New Roman;Times;serif" w:hAnsi="Times New Roman;Times;serif"/>
                <w:b/>
                <w:i w:val="false"/>
                <w:caps w:val="false"/>
                <w:smallCaps w:val="false"/>
                <w:sz w:val="22"/>
              </w:rPr>
              <w:t>Non-CIC Severance Benefits</w:t>
            </w:r>
            <w:r>
              <w:rPr>
                <w:caps w:val="false"/>
                <w:smallCaps w:val="false"/>
              </w:rPr>
              <w:t>”</w:t>
            </w:r>
            <w:r>
              <w:rPr>
                <w:rFonts w:ascii="Times New Roman;Times;serif" w:hAnsi="Times New Roman;Times;serif"/>
                <w:b w:val="false"/>
                <w:i w:val="false"/>
                <w:caps w:val="false"/>
                <w:smallCaps w:val="false"/>
                <w:sz w:val="22"/>
              </w:rPr>
              <w:t xml:space="preserve">):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4"/>
        <w:gridCol w:w="10048"/>
      </w:tblGrid>
      <w:tr>
        <w:trPr/>
        <w:tc>
          <w:tcPr>
            <w:tcW w:w="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4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Base Salary Severance</w:t>
            </w:r>
            <w:r>
              <w:rPr>
                <w:rFonts w:ascii="Times New Roman;Times;serif" w:hAnsi="Times New Roman;Times;serif"/>
                <w:b w:val="false"/>
                <w:i w:val="false"/>
                <w:caps w:val="false"/>
                <w:smallCaps w:val="false"/>
                <w:sz w:val="22"/>
              </w:rPr>
              <w:t>. The Company will pay you, as cash severance, six (6) months of your base salary in effect as of your Separation from Service date, less standard payroll deductions and tax withholdings (the “</w:t>
            </w:r>
            <w:r>
              <w:rPr>
                <w:rFonts w:ascii="Times New Roman;Times;serif" w:hAnsi="Times New Roman;Times;serif"/>
                <w:b/>
                <w:i w:val="false"/>
                <w:caps w:val="false"/>
                <w:smallCaps w:val="false"/>
                <w:sz w:val="22"/>
              </w:rPr>
              <w:t>Base Salary Severance</w:t>
            </w:r>
            <w:r>
              <w:rPr>
                <w:caps w:val="false"/>
                <w:smallCaps w:val="false"/>
              </w:rPr>
              <w:t>”</w:t>
            </w:r>
            <w:r>
              <w:rPr>
                <w:rFonts w:ascii="Times New Roman;Times;serif" w:hAnsi="Times New Roman;Times;serif"/>
                <w:b w:val="false"/>
                <w:i w:val="false"/>
                <w:caps w:val="false"/>
                <w:smallCaps w:val="false"/>
                <w:sz w:val="22"/>
              </w:rPr>
              <w:t>). The Severance will be paid in installments in the form of continuation of your base salary payments, paid on the Company’s ordinary payroll dates, commencing on the Company’s first regular payroll date that is more than sixty (60) days following your Separation from Service date, and shall be for any accrued base salary for the sixty (60)-day period plus the period from the sixtieth (60</w:t>
            </w:r>
            <w:r>
              <w:rPr>
                <w:rFonts w:ascii="Times New Roman;Times;serif" w:hAnsi="Times New Roman;Times;serif"/>
                <w:b w:val="false"/>
                <w:i w:val="false"/>
                <w:caps w:val="false"/>
                <w:smallCaps w:val="false"/>
                <w:sz w:val="14"/>
              </w:rPr>
              <w:t>th</w:t>
            </w:r>
            <w:r>
              <w:rPr>
                <w:rFonts w:ascii="Times New Roman;Times;serif" w:hAnsi="Times New Roman;Times;serif"/>
                <w:b w:val="false"/>
                <w:i w:val="false"/>
                <w:caps w:val="false"/>
                <w:smallCaps w:val="false"/>
                <w:sz w:val="22"/>
              </w:rPr>
              <w:t xml:space="preserve">) day until the regular payroll date, if applicable, and all salary continuation payments thereafter, if any, shall be made on the Company’s regular payroll dates.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1003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Bonus Eligibility Severance. </w:t>
            </w:r>
            <w:r>
              <w:rPr>
                <w:rFonts w:ascii="Times New Roman;Times;serif" w:hAnsi="Times New Roman;Times;serif"/>
                <w:b w:val="false"/>
                <w:i w:val="false"/>
                <w:caps w:val="false"/>
                <w:smallCaps w:val="false"/>
                <w:sz w:val="22"/>
              </w:rPr>
              <w:t xml:space="preserve">The Company will allow you to remain eligible to receive a prorated amount of the actual bonus you could have received if you had remained employed with the Company until the payment date of your annual discretionary bonus for the year of your Qualifying Termination and otherwise satisfied the requirements for earning such annual bonus. If the Company awards you any such bonus, it will be prorated for the time that you were employed by the Company during the calendar year of your Qualifying Termination and will be paid to you, less standard deductions and withholdings, in a lump sum payment at the time that similarly situated executives of the Company are paid such bonuses, if any, but in no event later than March 15 of the year following the year of your Qualifying Termination. </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0</w:t>
      </w:r>
      <w:r>
        <w:rPr>
          <w:rFonts w:ascii="Times New Roman;Times;serif" w:hAnsi="Times New Roman;Times;serif"/>
          <w:sz w:val="24"/>
        </w:rPr>
        <w: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 xml:space="preserve">You hereby acknowledge and agree that nothing under the terms of your continued employment or regarding the amendment of your employment pursuant to this Agreement entitles you to resign for Good Reason under your prior offer letter agreement or otherwise.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w:t>
            </w:r>
          </w:p>
        </w:tc>
        <w:tc>
          <w:tcPr>
            <w:tcW w:w="10061"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Change in Control Severance. </w:t>
            </w:r>
            <w:r>
              <w:rPr>
                <w:rFonts w:ascii="Times New Roman;Times;serif" w:hAnsi="Times New Roman;Times;serif"/>
                <w:b w:val="false"/>
                <w:i w:val="false"/>
                <w:caps w:val="false"/>
                <w:smallCaps w:val="false"/>
                <w:sz w:val="22"/>
              </w:rPr>
              <w:t>In the event of a Qualifying Termination that occurs three (3) months prior to or within twelve (12) months following the closing of a Change in Control (as defined below), provided such Qualifying Termination constitutes a Separation from Service, then subject to Sections 10 (“Limitation on Severance Benefits / Clawback and Recovery”), 12 (“Conditions to Receipt of Any Severance”) and 13 (“Return of Company Property”) below and your continued compliance with the terms of this Agreement (including without limitation the Confidentiality Agreement), the Company will: (a) increase the amount of Base Salary Severance described in Section 8(a) to twelve (12) months; and (b) pay you, as an additional severance benefit, an amount equal to a prorated amount of your target Annual Bonus for the year of your Qualifying Termination (based on the time that you were employed by the Company during the calendar year of your Qualifying Termination), with such cash component to be paid in a single lump sum within ten business days after the effective date of the Release (collectively, the “</w:t>
            </w:r>
            <w:r>
              <w:rPr>
                <w:rFonts w:ascii="Times New Roman;Times;serif" w:hAnsi="Times New Roman;Times;serif"/>
                <w:b/>
                <w:i w:val="false"/>
                <w:caps w:val="false"/>
                <w:smallCaps w:val="false"/>
                <w:sz w:val="22"/>
              </w:rPr>
              <w:t>CIC Severance Benefits</w:t>
            </w:r>
            <w:r>
              <w:rPr>
                <w:caps w:val="false"/>
                <w:smallCaps w:val="false"/>
              </w:rPr>
              <w:t xml:space="preserve">” </w:t>
            </w:r>
            <w:r>
              <w:rPr>
                <w:rFonts w:ascii="Times New Roman;Times;serif" w:hAnsi="Times New Roman;Times;serif"/>
                <w:b w:val="false"/>
                <w:i w:val="false"/>
                <w:caps w:val="false"/>
                <w:smallCaps w:val="false"/>
                <w:sz w:val="22"/>
              </w:rPr>
              <w:t>and, together with the Non-CIC Severance Benefits, the “</w:t>
            </w:r>
            <w:r>
              <w:rPr>
                <w:rFonts w:ascii="Times New Roman;Times;serif" w:hAnsi="Times New Roman;Times;serif"/>
                <w:b/>
                <w:i w:val="false"/>
                <w:caps w:val="false"/>
                <w:smallCaps w:val="false"/>
                <w:sz w:val="22"/>
              </w:rPr>
              <w:t>Severance Benefits</w:t>
            </w:r>
            <w:r>
              <w:rPr>
                <w:caps w:val="false"/>
                <w:smallCaps w:val="false"/>
              </w:rPr>
              <w:t>”</w:t>
            </w:r>
            <w:r>
              <w:rPr>
                <w:rFonts w:ascii="Times New Roman;Times;serif" w:hAnsi="Times New Roman;Times;serif"/>
                <w:b w:val="false"/>
                <w:i w:val="false"/>
                <w:caps w:val="false"/>
                <w:smallCaps w:val="false"/>
                <w:sz w:val="22"/>
              </w:rPr>
              <w:t>).</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10.</w:t>
            </w:r>
          </w:p>
        </w:tc>
        <w:tc>
          <w:tcPr>
            <w:tcW w:w="993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Limitation on Severance Benefits / Clawback and Recovery. </w:t>
            </w:r>
            <w:r>
              <w:rPr>
                <w:rFonts w:ascii="Times New Roman;Times;serif" w:hAnsi="Times New Roman;Times;serif"/>
                <w:b w:val="false"/>
                <w:i w:val="false"/>
                <w:caps w:val="false"/>
                <w:smallCaps w:val="false"/>
                <w:sz w:val="22"/>
              </w:rPr>
              <w:t xml:space="preserve">Under no circumstances will you be able to receive both the Non-CIC Severance Benefits and the CIC Severance Benefits. Any and all Severance benefits provided under this Agreement will be subject to recoupment in accordance with any recoupment policy or policies that shall have been adopted by the Company, as the same may be amended or restated from time to time.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11.</w:t>
            </w:r>
          </w:p>
        </w:tc>
        <w:tc>
          <w:tcPr>
            <w:tcW w:w="9938"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Resignation Without Good Reason; Termination for Cause; Death or Disability. </w:t>
            </w:r>
            <w:r>
              <w:rPr>
                <w:rFonts w:ascii="Times New Roman;Times;serif" w:hAnsi="Times New Roman;Times;serif"/>
                <w:b w:val="false"/>
                <w:i w:val="false"/>
                <w:caps w:val="false"/>
                <w:smallCaps w:val="false"/>
                <w:sz w:val="22"/>
              </w:rPr>
              <w:t xml:space="preserve">If, at any time, you resign your employment without Good Reason, or the Company terminates your employment for Cause, or if either party terminates your employment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any Severance, other than your rights to the vested portion of your Option and any other rights to which you are entitled under the Company’s benefit programs.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12.</w:t>
            </w:r>
          </w:p>
        </w:tc>
        <w:tc>
          <w:tcPr>
            <w:tcW w:w="993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Conditions to Receipt of Any Severance. </w:t>
            </w:r>
            <w:r>
              <w:rPr>
                <w:rFonts w:ascii="Times New Roman;Times;serif" w:hAnsi="Times New Roman;Times;serif"/>
                <w:b w:val="false"/>
                <w:i w:val="false"/>
                <w:caps w:val="false"/>
                <w:smallCaps w:val="false"/>
                <w:sz w:val="22"/>
              </w:rPr>
              <w:t>Prior to and as a condition to your receipt of any severance benefits as set forth in Sections 8 or 9 above, you shall execute and deliver to the Company an effective release of claims in favor of and in a form acceptable to the Company (the “</w:t>
            </w:r>
            <w:r>
              <w:rPr>
                <w:rFonts w:ascii="Times New Roman;Times;serif" w:hAnsi="Times New Roman;Times;serif"/>
                <w:b/>
                <w:i w:val="false"/>
                <w:caps w:val="false"/>
                <w:smallCaps w:val="false"/>
                <w:sz w:val="22"/>
              </w:rPr>
              <w:t>Release</w:t>
            </w:r>
            <w:r>
              <w:rPr>
                <w:caps w:val="false"/>
                <w:smallCaps w:val="false"/>
              </w:rPr>
              <w:t>”</w:t>
            </w:r>
            <w:r>
              <w:rPr>
                <w:rFonts w:ascii="Times New Roman;Times;serif" w:hAnsi="Times New Roman;Times;serif"/>
                <w:b w:val="false"/>
                <w:i w:val="false"/>
                <w:caps w:val="false"/>
                <w:smallCaps w:val="false"/>
                <w:sz w:val="22"/>
              </w:rPr>
              <w:t>) within the timeframe set forth therein, but not later than forty-five (45) days following your Separation from Service date, and allow the Release to become effective according to its terms (by not invoking any legal right to revoke it) within any applicable time period set forth therein (such latest permitted effective date, the “</w:t>
            </w:r>
            <w:r>
              <w:rPr>
                <w:rFonts w:ascii="Times New Roman;Times;serif" w:hAnsi="Times New Roman;Times;serif"/>
                <w:b/>
                <w:i w:val="false"/>
                <w:caps w:val="false"/>
                <w:smallCaps w:val="false"/>
                <w:sz w:val="22"/>
              </w:rPr>
              <w:t>Release Deadline</w:t>
            </w:r>
            <w:r>
              <w:rPr>
                <w:caps w:val="false"/>
                <w:smallCaps w:val="false"/>
              </w:rPr>
              <w:t>”</w:t>
            </w:r>
            <w:r>
              <w:rPr>
                <w:rFonts w:ascii="Times New Roman;Times;serif" w:hAnsi="Times New Roman;Times;serif"/>
                <w:b w:val="false"/>
                <w:i w:val="false"/>
                <w:caps w:val="false"/>
                <w:smallCaps w:val="false"/>
                <w:sz w:val="22"/>
              </w:rPr>
              <w:t xml:space="preserve">).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13.</w:t>
            </w:r>
          </w:p>
        </w:tc>
        <w:tc>
          <w:tcPr>
            <w:tcW w:w="994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Return of Company Property. </w:t>
            </w:r>
            <w:r>
              <w:rPr>
                <w:rFonts w:ascii="Times New Roman;Times;serif" w:hAnsi="Times New Roman;Times;serif"/>
                <w:b w:val="false"/>
                <w:i w:val="false"/>
                <w:caps w:val="false"/>
                <w:smallCaps w:val="false"/>
                <w:sz w:val="22"/>
              </w:rPr>
              <w:t xml:space="preserve">Upon the termination of your employment for any reason, as a precondition to your receipt of the Severance (if applicable), within five (5) days after your Separation from Service Date (or earlier if requested by the Company), you must return to the Company all Company documents (and all copies thereof) and other Company property in your possession, custody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or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You also must provide the Company all passwords, log-ins, administrative access, and any other information or access for and relating to any Company computer or other device that you have used to access or use the Company’s network, as well as any Company database or Company accounts with third parties which you established, administered, or to which you had access, and must terminate your access to such network and accounts and otherwise comply with any Company requests regarding all such access and accounts. In addition, if you have used any personal computer, server, or email system to receive, store, review, prepare or transmit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any confidential or proprietary data, materials or information of the Company, then within five (5) days after your Separation from Service date (or earlier if requested by the Company) you must provide the Company with a computer-useable copy of such information and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If requested, you shall deliver to the Company a signed statement certifying compliance with this Section prior to the receipt of the Severance. </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14.</w:t>
            </w:r>
          </w:p>
        </w:tc>
        <w:tc>
          <w:tcPr>
            <w:tcW w:w="994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Outside Activities. </w:t>
            </w:r>
            <w:r>
              <w:rPr>
                <w:rFonts w:ascii="Times New Roman;Times;serif" w:hAnsi="Times New Roman;Times;serif"/>
                <w:b w:val="false"/>
                <w:i w:val="false"/>
                <w:caps w:val="false"/>
                <w:smallCaps w:val="false"/>
                <w:sz w:val="22"/>
              </w:rPr>
              <w:t xml:space="preserve">Throughout your employment with the Company, you may engage in civic and not-for-profit activities so long as such 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 </w:t>
            </w:r>
          </w:p>
        </w:tc>
      </w:tr>
    </w:tbl>
    <w:p>
      <w:pPr>
        <w:pStyle w:val="TextBody"/>
        <w:bidi w:val="0"/>
        <w:spacing w:before="0" w:after="0"/>
        <w:ind w:left="720" w:right="0" w:hanging="0"/>
        <w:jc w:val="left"/>
        <w:rPr/>
      </w:pPr>
      <w:r>
        <w:rPr/>
        <w:t>​</w:t>
      </w:r>
    </w:p>
    <w:tbl>
      <w:tblPr>
        <w:tblW w:w="9730" w:type="dxa"/>
        <w:jc w:val="left"/>
        <w:tblInd w:w="0" w:type="dxa"/>
        <w:tblLayout w:type="fixed"/>
        <w:tblCellMar>
          <w:top w:w="0" w:type="dxa"/>
          <w:left w:w="0" w:type="dxa"/>
          <w:bottom w:w="0" w:type="dxa"/>
          <w:right w:w="0" w:type="dxa"/>
        </w:tblCellMar>
      </w:tblPr>
      <w:tblGrid>
        <w:gridCol w:w="320"/>
        <w:gridCol w:w="9410"/>
      </w:tblGrid>
      <w:tr>
        <w:trPr/>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15.</w:t>
            </w:r>
          </w:p>
        </w:tc>
        <w:tc>
          <w:tcPr>
            <w:tcW w:w="94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Definitions. </w:t>
            </w:r>
            <w:r>
              <w:rPr>
                <w:rFonts w:ascii="Times New Roman;Times;serif" w:hAnsi="Times New Roman;Times;serif"/>
                <w:b w:val="false"/>
                <w:i w:val="false"/>
                <w:caps w:val="false"/>
                <w:smallCaps w:val="false"/>
                <w:sz w:val="22"/>
              </w:rPr>
              <w:t>For purposes of this Agreement, the following terms shall have the following meanings:</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For purposes of this Agreement, “</w:t>
            </w:r>
            <w:r>
              <w:rPr>
                <w:rFonts w:ascii="Times New Roman;Times;serif" w:hAnsi="Times New Roman;Times;serif"/>
                <w:b/>
                <w:i w:val="false"/>
                <w:caps w:val="false"/>
                <w:smallCaps w:val="false"/>
                <w:sz w:val="22"/>
              </w:rPr>
              <w:t>Cause</w:t>
            </w:r>
            <w:r>
              <w:rPr>
                <w:caps w:val="false"/>
                <w:smallCaps w:val="false"/>
              </w:rPr>
              <w:t xml:space="preserve">” </w:t>
            </w:r>
            <w:r>
              <w:rPr>
                <w:rFonts w:ascii="Times New Roman;Times;serif" w:hAnsi="Times New Roman;Times;serif"/>
                <w:b w:val="false"/>
                <w:i w:val="false"/>
                <w:caps w:val="false"/>
                <w:smallCaps w:val="false"/>
                <w:sz w:val="22"/>
              </w:rPr>
              <w:t>for termination will mean your: (i) commission or conviction (including a guilty plea or plea of nolo contendere) of any felony or any other crime involving fraud, dishonesty or moral turpitude; (ii) your commission or attempted commission of or participation in a fraud or act of dishonesty or misrepresentation against the Company; (iii) material breach of your duties to the Company; (iv) intentional damage to any property of the Company; (v) misconduct, or other violation of Company policy that causes harm; (vi) your material violation of any written and fully executed contract or agreement between you and the Company, including without limitation, material breach of your Confidentiality Agreement, or of any Company policy, or of any statutory duty you owe to the Company; or (vii) conduct by you which in the good faith and reasonable determination of the Company demonstrates gross unfitness to serve. The determination that a termination is for Cause shall be made by the Company in its sole discretion.</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100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For purposes of this Agreement, you shall have “</w:t>
            </w:r>
            <w:r>
              <w:rPr>
                <w:rFonts w:ascii="Times New Roman;Times;serif" w:hAnsi="Times New Roman;Times;serif"/>
                <w:b/>
                <w:i w:val="false"/>
                <w:caps w:val="false"/>
                <w:smallCaps w:val="false"/>
                <w:sz w:val="22"/>
              </w:rPr>
              <w:t>Good Reason</w:t>
            </w:r>
            <w:r>
              <w:rPr>
                <w:caps w:val="false"/>
                <w:smallCaps w:val="false"/>
              </w:rPr>
              <w:t xml:space="preserve">” </w:t>
            </w:r>
            <w:r>
              <w:rPr>
                <w:rFonts w:ascii="Times New Roman;Times;serif" w:hAnsi="Times New Roman;Times;serif"/>
                <w:b w:val="false"/>
                <w:i w:val="false"/>
                <w:caps w:val="false"/>
                <w:smallCaps w:val="false"/>
                <w:sz w:val="22"/>
              </w:rPr>
              <w:t xml:space="preserve">for resigning from employment with the Company if any of the following actions are taken by the Company without your prior written consent: (i) a material diminution in your duties, title or responsibilities, excluding for this purpose any isolated, insubstantial or inadvertent actions not taken in bad faith and which are remedied by the Company promptly after receipt of notice thereof given by you; provided, however, that if you are serving as a member of the Board (or similar governing body) of the Company or any other entity in which the Company holds an equity interest, in no event shall your removal as a board member, regardless of the reason for such removal, constitute Good Reason; (ii) a material change in the geographic location at which you perform your principal duties for the Company to a new location that is more than 50 miles from the location at which you perform your principal duties for the Company as of the date immediately prior to such change; or (iii) any material reduction in your base salary (other than a general reduction that affects all similarly situated executives in substantially the same proportions). In order to resign for Good Reason, you must provide written notice to the Board within 90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60 days after the expiration of the cure period. </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100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For purposes of this Agreement, “</w:t>
            </w:r>
            <w:r>
              <w:rPr>
                <w:rFonts w:ascii="Times New Roman;Times;serif" w:hAnsi="Times New Roman;Times;serif"/>
                <w:b/>
                <w:i w:val="false"/>
                <w:caps w:val="false"/>
                <w:smallCaps w:val="false"/>
                <w:sz w:val="22"/>
              </w:rPr>
              <w:t>Change in Control</w:t>
            </w:r>
            <w:r>
              <w:rPr>
                <w:caps w:val="false"/>
                <w:smallCaps w:val="false"/>
              </w:rPr>
              <w:t xml:space="preserve">” </w:t>
            </w:r>
            <w:r>
              <w:rPr>
                <w:rFonts w:ascii="Times New Roman;Times;serif" w:hAnsi="Times New Roman;Times;serif"/>
                <w:b w:val="false"/>
                <w:i w:val="false"/>
                <w:caps w:val="false"/>
                <w:smallCaps w:val="false"/>
                <w:sz w:val="22"/>
              </w:rPr>
              <w:t xml:space="preserve">shall have the meaning set forth in the Plan, as may be amended from time to time. </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2"/>
        </w:rPr>
        <w:t>0</w:t>
      </w: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16.</w:t>
            </w:r>
          </w:p>
        </w:tc>
        <w:tc>
          <w:tcPr>
            <w:tcW w:w="994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Compliance with Section 409A. </w:t>
            </w:r>
            <w:r>
              <w:rPr>
                <w:rFonts w:ascii="Times New Roman;Times;serif" w:hAnsi="Times New Roman;Times;serif"/>
                <w:b w:val="false"/>
                <w:i w:val="false"/>
                <w:caps w:val="false"/>
                <w:smallCaps w:val="false"/>
                <w:sz w:val="22"/>
              </w:rPr>
              <w:t>It is intended that the Severance set forth in this Agreement satisfy, to the greatest extent possible, the exemptions from the application of Section 409A of the Internal Revenue Code of 1986, as amended, (the “</w:t>
            </w:r>
            <w:r>
              <w:rPr>
                <w:rFonts w:ascii="Times New Roman;Times;serif" w:hAnsi="Times New Roman;Times;serif"/>
                <w:b/>
                <w:i w:val="false"/>
                <w:caps w:val="false"/>
                <w:smallCaps w:val="false"/>
                <w:sz w:val="22"/>
              </w:rPr>
              <w:t>Code</w:t>
            </w:r>
            <w:r>
              <w:rPr>
                <w:caps w:val="false"/>
                <w:smallCaps w:val="false"/>
              </w:rPr>
              <w:t>”</w:t>
            </w:r>
            <w:r>
              <w:rPr>
                <w:rFonts w:ascii="Times New Roman;Times;serif" w:hAnsi="Times New Roman;Times;serif"/>
                <w:b w:val="false"/>
                <w:i w:val="false"/>
                <w:caps w:val="false"/>
                <w:smallCaps w:val="false"/>
                <w:sz w:val="22"/>
              </w:rPr>
              <w:t>) (Section 409A, together with any state law of similar effect, “</w:t>
            </w:r>
            <w:r>
              <w:rPr>
                <w:rFonts w:ascii="Times New Roman;Times;serif" w:hAnsi="Times New Roman;Times;serif"/>
                <w:b/>
                <w:i w:val="false"/>
                <w:caps w:val="false"/>
                <w:smallCaps w:val="false"/>
                <w:sz w:val="22"/>
              </w:rPr>
              <w:t>Section 409A</w:t>
            </w:r>
            <w:r>
              <w:rPr>
                <w:caps w:val="false"/>
                <w:smallCaps w:val="false"/>
              </w:rPr>
              <w:t>”</w:t>
            </w:r>
            <w:r>
              <w:rPr>
                <w:rFonts w:ascii="Times New Roman;Times;serif" w:hAnsi="Times New Roman;Times;serif"/>
                <w:b w:val="false"/>
                <w:i w:val="false"/>
                <w:caps w:val="false"/>
                <w:smallCaps w:val="false"/>
                <w:sz w:val="22"/>
              </w:rPr>
              <w:t>) provided under Treasury Regulations 1.409A-1(b)(4), 1.409A-1(b)(5) and 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Severance constitute “deferred compensation” under Section 409A and you are, on the date of your Separation from Service, a “specified employee” of the Company or any successor entity thereto, as such term is defined in Section 409A(a)(2)(B)(i) of the Code (a “</w:t>
            </w:r>
            <w:r>
              <w:rPr>
                <w:rFonts w:ascii="Times New Roman;Times;serif" w:hAnsi="Times New Roman;Times;serif"/>
                <w:b/>
                <w:i w:val="false"/>
                <w:caps w:val="false"/>
                <w:smallCaps w:val="false"/>
                <w:sz w:val="22"/>
              </w:rPr>
              <w:t>Specified Employee</w:t>
            </w:r>
            <w:r>
              <w:rPr>
                <w:caps w:val="false"/>
                <w:smallCaps w:val="false"/>
              </w:rPr>
              <w:t>”</w:t>
            </w:r>
            <w:r>
              <w:rPr>
                <w:rFonts w:ascii="Times New Roman;Times;serif" w:hAnsi="Times New Roman;Times;serif"/>
                <w:b w:val="false"/>
                <w:i w:val="false"/>
                <w:caps w:val="false"/>
                <w:smallCaps w:val="false"/>
                <w:sz w:val="22"/>
              </w:rPr>
              <w:t>), then, solely to the extent necessary to avoid the incurrence of adverse personal tax consequences under Section 409A, the timing of the Severance shall be delayed until the earliest of: (i) the date that is six (6) months and one (1) day after your Separation from Service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Section shall be paid in a lump sum or provided in full by the Company (or the successor entity thereto, as applicable), and any remaining payments due shall be paid as otherwise provided herein. No interest shall be due on any amounts so deferred. If the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Severance benefits are intended to qualify for an exemption from application of Section 409A or comply with its requirements to the extent necessary to avoid adverse personal tax consequences under Section 409A, and any ambiguities herein shall be interpreted accordingly</w:t>
            </w:r>
            <w:r>
              <w:rPr>
                <w:rFonts w:ascii="Times New Roman;Times;serif" w:hAnsi="Times New Roman;Times;serif"/>
                <w:b w:val="false"/>
                <w:i w:val="false"/>
                <w:caps w:val="false"/>
                <w:smallCaps w:val="false"/>
                <w:sz w:val="23"/>
              </w:rPr>
              <w:t xml:space="preserve">. </w:t>
            </w:r>
            <w:r>
              <w:rPr>
                <w:rFonts w:ascii="Times New Roman;Times;serif" w:hAnsi="Times New Roman;Times;serif"/>
                <w:b w:val="false"/>
                <w:i w:val="false"/>
                <w:caps w:val="false"/>
                <w:smallCaps w:val="false"/>
                <w:sz w:val="22"/>
              </w:rPr>
              <w:t xml:space="preserve">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 </w:t>
            </w:r>
          </w:p>
        </w:tc>
      </w:tr>
    </w:tbl>
    <w:p>
      <w:pPr>
        <w:pStyle w:val="TextBody"/>
        <w:bidi w:val="0"/>
        <w:spacing w:before="0" w:after="0"/>
        <w:ind w:left="360" w:right="0" w:hanging="0"/>
        <w:jc w:val="left"/>
        <w:rPr/>
      </w:pPr>
      <w:r>
        <w:rPr/>
        <w:t>​</w:t>
      </w:r>
    </w:p>
    <w:tbl>
      <w:tblPr>
        <w:tblW w:w="3910" w:type="dxa"/>
        <w:jc w:val="left"/>
        <w:tblInd w:w="0" w:type="dxa"/>
        <w:tblLayout w:type="fixed"/>
        <w:tblCellMar>
          <w:top w:w="0" w:type="dxa"/>
          <w:left w:w="0" w:type="dxa"/>
          <w:bottom w:w="0" w:type="dxa"/>
          <w:right w:w="0" w:type="dxa"/>
        </w:tblCellMar>
      </w:tblPr>
      <w:tblGrid>
        <w:gridCol w:w="320"/>
        <w:gridCol w:w="3590"/>
      </w:tblGrid>
      <w:tr>
        <w:trPr/>
        <w:tc>
          <w:tcPr>
            <w:tcW w:w="32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w:t>
            </w:r>
          </w:p>
        </w:tc>
        <w:tc>
          <w:tcPr>
            <w:tcW w:w="359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Section 280G; Parachute Payments.</w:t>
            </w:r>
            <w:r>
              <w:rPr>
                <w:caps w:val="false"/>
                <w:smallCaps w:val="false"/>
              </w:rPr>
              <w:t xml:space="preserve"> </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100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If any payment or benefit you will or may receive from the Company or otherwise (a “</w:t>
            </w:r>
            <w:r>
              <w:rPr>
                <w:rFonts w:ascii="Times New Roman;Times;serif" w:hAnsi="Times New Roman;Times;serif"/>
                <w:b/>
                <w:i w:val="false"/>
                <w:caps w:val="false"/>
                <w:smallCaps w:val="false"/>
                <w:sz w:val="22"/>
              </w:rPr>
              <w:t>280G Payment</w:t>
            </w:r>
            <w:r>
              <w:rPr>
                <w:caps w:val="false"/>
                <w:smallCaps w:val="false"/>
              </w:rPr>
              <w:t>”</w:t>
            </w:r>
            <w:r>
              <w:rPr>
                <w:rFonts w:ascii="Times New Roman;Times;serif" w:hAnsi="Times New Roman;Times;serif"/>
                <w:b w:val="false"/>
                <w:i w:val="false"/>
                <w:caps w:val="false"/>
                <w:smallCaps w:val="false"/>
                <w:sz w:val="22"/>
              </w:rPr>
              <w:t>) would (i) constitute a “parachute payment” within the meaning of Section 280G of the Code, and (ii) but for this sentence, be subject to the excise tax imposed by Section 4999 of the Code (the “</w:t>
            </w:r>
            <w:r>
              <w:rPr>
                <w:rFonts w:ascii="Times New Roman;Times;serif" w:hAnsi="Times New Roman;Times;serif"/>
                <w:b/>
                <w:i w:val="false"/>
                <w:caps w:val="false"/>
                <w:smallCaps w:val="false"/>
                <w:sz w:val="22"/>
              </w:rPr>
              <w:t>Excise Tax</w:t>
            </w:r>
            <w:r>
              <w:rPr>
                <w:caps w:val="false"/>
                <w:smallCaps w:val="false"/>
              </w:rPr>
              <w:t>”</w:t>
            </w:r>
            <w:r>
              <w:rPr>
                <w:rFonts w:ascii="Times New Roman;Times;serif" w:hAnsi="Times New Roman;Times;serif"/>
                <w:b w:val="false"/>
                <w:i w:val="false"/>
                <w:caps w:val="false"/>
                <w:smallCaps w:val="false"/>
                <w:sz w:val="22"/>
              </w:rPr>
              <w:t>), then any such 280G Payment provided pursuant to this Agreement (a “</w:t>
            </w:r>
            <w:r>
              <w:rPr>
                <w:rFonts w:ascii="Times New Roman;Times;serif" w:hAnsi="Times New Roman;Times;serif"/>
                <w:b/>
                <w:i w:val="false"/>
                <w:caps w:val="false"/>
                <w:smallCaps w:val="false"/>
                <w:sz w:val="22"/>
              </w:rPr>
              <w:t>Payment</w:t>
            </w:r>
            <w:r>
              <w:rPr>
                <w:caps w:val="false"/>
                <w:smallCaps w:val="false"/>
              </w:rPr>
              <w:t>”</w:t>
            </w:r>
            <w:r>
              <w:rPr>
                <w:rFonts w:ascii="Times New Roman;Times;serif" w:hAnsi="Times New Roman;Times;serif"/>
                <w:b w:val="false"/>
                <w:i w:val="false"/>
                <w:caps w:val="false"/>
                <w:smallCaps w:val="false"/>
                <w:sz w:val="22"/>
              </w:rPr>
              <w:t>) shall be equal to the Reduced Amount. The “</w:t>
            </w:r>
            <w:r>
              <w:rPr>
                <w:rFonts w:ascii="Times New Roman;Times;serif" w:hAnsi="Times New Roman;Times;serif"/>
                <w:b/>
                <w:i w:val="false"/>
                <w:caps w:val="false"/>
                <w:smallCaps w:val="false"/>
                <w:sz w:val="22"/>
              </w:rPr>
              <w:t>Reduced Amount</w:t>
            </w:r>
            <w:r>
              <w:rPr>
                <w:caps w:val="false"/>
                <w:smallCaps w:val="false"/>
              </w:rPr>
              <w:t xml:space="preserve">” </w:t>
            </w:r>
            <w:r>
              <w:rPr>
                <w:rFonts w:ascii="Times New Roman;Times;serif" w:hAnsi="Times New Roman;Times;serif"/>
                <w:b w:val="false"/>
                <w:i w:val="false"/>
                <w:caps w:val="false"/>
                <w:smallCaps w:val="false"/>
                <w:sz w:val="22"/>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Times;serif" w:hAnsi="Times New Roman;Times;serif"/>
                <w:b/>
                <w:i w:val="false"/>
                <w:caps w:val="false"/>
                <w:smallCaps w:val="false"/>
                <w:sz w:val="22"/>
              </w:rPr>
              <w:t>Reduction Method</w:t>
            </w:r>
            <w:r>
              <w:rPr>
                <w:caps w:val="false"/>
                <w:smallCaps w:val="false"/>
              </w:rPr>
              <w:t>”</w:t>
            </w:r>
            <w:r>
              <w:rPr>
                <w:rFonts w:ascii="Times New Roman;Times;serif" w:hAnsi="Times New Roman;Times;serif"/>
                <w:b w:val="false"/>
                <w:i w:val="false"/>
                <w:caps w:val="false"/>
                <w:smallCaps w:val="false"/>
                <w:sz w:val="22"/>
              </w:rPr>
              <w:t>) that results in the greatest economic benefit for you. If more than one method of reduction will result in the same economic benefit, the items so reduced will be reduced pro rata (the “</w:t>
            </w:r>
            <w:r>
              <w:rPr>
                <w:rFonts w:ascii="Times New Roman;Times;serif" w:hAnsi="Times New Roman;Times;serif"/>
                <w:b/>
                <w:i w:val="false"/>
                <w:caps w:val="false"/>
                <w:smallCaps w:val="false"/>
                <w:sz w:val="22"/>
              </w:rPr>
              <w:t>Pro Rata Reduction Method</w:t>
            </w:r>
            <w:r>
              <w:rPr>
                <w:caps w:val="false"/>
                <w:smallCaps w:val="false"/>
              </w:rPr>
              <w:t>”</w:t>
            </w:r>
            <w:r>
              <w:rPr>
                <w:rFonts w:ascii="Times New Roman;Times;serif" w:hAnsi="Times New Roman;Times;serif"/>
                <w:b w:val="false"/>
                <w:i w:val="false"/>
                <w:caps w:val="false"/>
                <w:smallCaps w:val="false"/>
                <w:sz w:val="22"/>
              </w:rPr>
              <w:t xml:space="preserve">).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7</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Notwithstanding any provision of subsection (a)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(i) as a first priority, the modification shall preserve to the greatest extent possible, the greatest economic benefit for you as determined on an after-tax basis; (ii) as a second priority, Payments that are contingent on future events (e.g., being terminated without Cause), shall be reduced (or eliminated) before Payments that are not contingent on future events; and (iii) as a third priority, Payments that are "deferred compensation" within the meaning of Section 409A shall be reduced (or eliminated) before Payments that are not deferred compensation within the meaning of Section 409A. </w:t>
            </w:r>
          </w:p>
        </w:tc>
      </w:tr>
    </w:tbl>
    <w:tbl>
      <w:tblPr>
        <w:tblW w:w="10205" w:type="dxa"/>
        <w:jc w:val="left"/>
        <w:tblInd w:w="0" w:type="dxa"/>
        <w:tblLayout w:type="fixed"/>
        <w:tblCellMar>
          <w:top w:w="0" w:type="dxa"/>
          <w:left w:w="0" w:type="dxa"/>
          <w:bottom w:w="0" w:type="dxa"/>
          <w:right w:w="0" w:type="dxa"/>
        </w:tblCellMar>
      </w:tblPr>
      <w:tblGrid>
        <w:gridCol w:w="23"/>
        <w:gridCol w:w="130"/>
        <w:gridCol w:w="10052"/>
      </w:tblGrid>
      <w:tr>
        <w:trPr/>
        <w:tc>
          <w:tcPr>
            <w:tcW w:w="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100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17 (“Section 280G; Parachute Payments”).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 </w:t>
            </w:r>
          </w:p>
        </w:tc>
      </w:tr>
    </w:tbl>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10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you receive a Payment for which the Reduced Amount was determined pursuant to clause (x) of Section 17(a) and the Internal Revenue Service determines thereafter that some portion of the Payment is subject to the Excise Tax, you agree to promptly return to the Company a sufficient amount of the Payment (after reduction pursuant to clause (x) of Section 17(a)) so that no portion of the remaining Payment is subject to the Excise Tax. For the avoidance of doubt, if the Reduced Amount was determined pursuant to clause (y) of Section 17(a), you shall have no obligation to return any portion of the Payment pursuant to the preceding sentence.</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18.</w:t>
            </w:r>
          </w:p>
        </w:tc>
        <w:tc>
          <w:tcPr>
            <w:tcW w:w="994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Dispute Resolution. </w:t>
            </w:r>
            <w:r>
              <w:rPr>
                <w:rFonts w:ascii="Times New Roman;Times;serif" w:hAnsi="Times New Roman;Times;serif"/>
                <w:b w:val="false"/>
                <w:i w:val="false"/>
                <w:caps w:val="false"/>
                <w:smallCaps w:val="false"/>
                <w:sz w:val="22"/>
              </w:rPr>
              <w:t xml:space="preserve">To ensure the rapid and economical resolution of disputes that may arise in connection with your 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pursuant to the Federal Arbitration Act, 9 U.S.C. § 1-16, to the fullest extent permitted by law, by final, binding and confidential arbitration conducted JAMS or its successor, under such arbitration service’s then applicable rules and procedures appropriate to the relief being sought (available upon request and also currently available at the following web address(es): (i) </w:t>
            </w:r>
            <w:r>
              <w:rPr>
                <w:rFonts w:ascii="Times New Roman;Times;serif" w:hAnsi="Times New Roman;Times;serif"/>
                <w:b w:val="false"/>
                <w:i w:val="false"/>
                <w:caps w:val="false"/>
                <w:smallCaps w:val="false"/>
                <w:color w:val="0000FF"/>
                <w:sz w:val="22"/>
              </w:rPr>
              <w:t xml:space="preserve">https://www.jamsadr.com/rules-employment-arbitration/ </w:t>
            </w:r>
            <w:r>
              <w:rPr>
                <w:rFonts w:ascii="Times New Roman;Times;serif" w:hAnsi="Times New Roman;Times;serif"/>
                <w:b w:val="false"/>
                <w:i w:val="false"/>
                <w:caps w:val="false"/>
                <w:smallCaps w:val="false"/>
                <w:sz w:val="22"/>
              </w:rPr>
              <w:t xml:space="preserve">and (ii) </w:t>
            </w:r>
            <w:r>
              <w:rPr>
                <w:rFonts w:ascii="Times New Roman;Times;serif" w:hAnsi="Times New Roman;Times;serif"/>
                <w:b w:val="false"/>
                <w:i w:val="false"/>
                <w:caps w:val="false"/>
                <w:smallCaps w:val="false"/>
                <w:color w:val="0000FF"/>
                <w:sz w:val="22"/>
              </w:rPr>
              <w:t>https://www.jamsadr.com/rules-comprehensive-arbitration/</w:t>
            </w:r>
            <w:r>
              <w:rPr>
                <w:rFonts w:ascii="Times New Roman;Times;serif" w:hAnsi="Times New Roman;Times;serif"/>
                <w:b w:val="false"/>
                <w:i w:val="false"/>
                <w:caps w:val="false"/>
                <w:smallCaps w:val="false"/>
                <w:sz w:val="22"/>
              </w:rPr>
              <w:t xml:space="preserve">) at a location closest to where you last worked for the Company or another mutually agreeable location. </w:t>
            </w:r>
            <w:r>
              <w:rPr>
                <w:rFonts w:ascii="Times New Roman;Times;serif" w:hAnsi="Times New Roman;Times;serif"/>
                <w:b/>
                <w:i w:val="false"/>
                <w:caps w:val="false"/>
                <w:smallCaps w:val="false"/>
                <w:sz w:val="22"/>
              </w:rPr>
              <w:t xml:space="preserve">You acknowledge that by agreeing to this arbitration procedure, both you and the Company waive the right to resolve any such dispute through a trial by jury or judge. </w:t>
            </w:r>
            <w:r>
              <w:rPr>
                <w:rFonts w:ascii="Times New Roman;Times;serif" w:hAnsi="Times New Roman;Times;serif"/>
                <w:b w:val="false"/>
                <w:i w:val="false"/>
                <w:caps w:val="false"/>
                <w:smallCaps w:val="false"/>
                <w:sz w:val="22"/>
              </w:rPr>
              <w:t>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Times;serif" w:hAnsi="Times New Roman;Times;serif"/>
                <w:b/>
                <w:i w:val="false"/>
                <w:caps w:val="false"/>
                <w:smallCaps w:val="false"/>
                <w:sz w:val="22"/>
              </w:rPr>
              <w:t>Excluded Claims</w:t>
            </w:r>
            <w:r>
              <w:rPr>
                <w:caps w:val="false"/>
                <w:smallCaps w:val="false"/>
              </w:rPr>
              <w:t>”</w:t>
            </w:r>
            <w:r>
              <w:rPr>
                <w:rFonts w:ascii="Times New Roman;Times;serif" w:hAnsi="Times New Roman;Times;serif"/>
                <w:b w:val="false"/>
                <w:i w:val="false"/>
                <w:caps w:val="false"/>
                <w:smallCaps w:val="false"/>
                <w:sz w:val="22"/>
              </w:rPr>
              <w:t xml:space="preserve">), including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8</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Claims arising out of 9 U.S.C., chapter 4,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or representative claims or proceedings are found to violate applicable law or are otherwise found unenforceable, any claim(s) alleged or brought on behalf of a class or in a representative capacity shall proceed in a court of law rather than by arbitration. You will have the right to be represented by legal counsel at any arbitration proceeding. Questions of whether a claim is subject to arbitration under this agreement shall be decided by the arbitrator, unless applicable law requires otherwise. Likewise, procedural questions which grow out of the dispute and bear on the final disposition are also matters for the arbitrator,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arbitration administrative fees in excess of the administrative fees that you would be required to pay if the dispute were decided in a court of law. Each party is responsible for its own attorneys’ fees, except as may be expressly set forth in your employee confidential information and inventions assignment agreement or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w:t>
            </w:r>
          </w:p>
        </w:tc>
        <w:tc>
          <w:tcPr>
            <w:tcW w:w="994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 xml:space="preserve">Miscellaneous. </w:t>
            </w:r>
            <w:r>
              <w:rPr>
                <w:rFonts w:ascii="Times New Roman;Times;serif" w:hAnsi="Times New Roman;Times;serif"/>
                <w:b w:val="false"/>
                <w:i w:val="false"/>
                <w:caps w:val="false"/>
                <w:smallCaps w:val="false"/>
                <w:sz w:val="22"/>
              </w:rPr>
              <w:t xml:space="preserve">This Agreement, together with your Confidentiality Agreement, forms the complete and exclusive statement of your employment agreement with the Company. It supersedes any other agreements or promises made to you by anyone, whether oral or written. You acknowledge and agree that you are not eligible for any other form of compensation or benefits as part of your continued employment, except as expressly set forth in this Agreement, including without limitation under any prior offer letter agreement or severance benefits agreement.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2, 2025</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Page 9</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2"/>
        </w:rPr>
      </w:pPr>
      <w:r>
        <w:rPr>
          <w:rFonts w:ascii="Times New Roman;Times;serif" w:hAnsi="Times New Roman;Times;serif"/>
          <w:sz w:val="22"/>
        </w:rPr>
        <w:t xml:space="preserve">Please sign and date this Agreement and the enclosed Confidentiality Agreement and return them to me on or before March 28 if you wish to accept employment at the Company under the terms described above. The offer of employment herein will expire if I do not receive this signed letter by that date. I would be happy to discuss any questions that you may have about these terms. </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2"/>
        </w:rPr>
      </w:pPr>
      <w:r>
        <w:rPr>
          <w:rFonts w:ascii="Times New Roman;Times;serif" w:hAnsi="Times New Roman;Times;serif"/>
          <w:sz w:val="22"/>
        </w:rPr>
        <w:t xml:space="preserve">We are delighted to be making this offer and the Company looks forward to your favorable reply and to a productive and enjoyable work relationship. </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2"/>
        </w:rPr>
      </w:pPr>
      <w:r>
        <w:rPr>
          <w:rFonts w:ascii="Times New Roman;Times;serif" w:hAnsi="Times New Roman;Times;serif"/>
          <w:sz w:val="22"/>
        </w:rPr>
        <w:t>Sincerely,</w:t>
      </w:r>
    </w:p>
    <w:p>
      <w:pPr>
        <w:pStyle w:val="TextBody"/>
        <w:bidi w:val="0"/>
        <w:spacing w:before="0" w:after="0"/>
        <w:ind w:left="0" w:right="0" w:hanging="0"/>
        <w:jc w:val="left"/>
        <w:rPr/>
      </w:pPr>
      <w:r>
        <w:rPr/>
        <w:t>​</w:t>
      </w:r>
    </w:p>
    <w:tbl>
      <w:tblPr>
        <w:tblW w:w="5969" w:type="dxa"/>
        <w:jc w:val="center"/>
        <w:tblInd w:w="0" w:type="dxa"/>
        <w:tblLayout w:type="fixed"/>
        <w:tblCellMar>
          <w:top w:w="0" w:type="dxa"/>
          <w:left w:w="0" w:type="dxa"/>
          <w:bottom w:w="0" w:type="dxa"/>
          <w:right w:w="0" w:type="dxa"/>
        </w:tblCellMar>
      </w:tblPr>
      <w:tblGrid>
        <w:gridCol w:w="4111"/>
        <w:gridCol w:w="326"/>
        <w:gridCol w:w="541"/>
        <w:gridCol w:w="991"/>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610485" cy="175260"/>
                      <wp:effectExtent l="0" t="0" r="0" b="0"/>
                      <wp:wrapNone/>
                      <wp:docPr id="341" name="Frame341"/>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29285" cy="175260"/>
                      <wp:effectExtent l="0" t="0" r="0" b="0"/>
                      <wp:wrapNone/>
                      <wp:docPr id="342" name="Frame3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caps/>
                <w:sz w:val="22"/>
              </w:rPr>
            </w:pPr>
            <w:r>
              <w:rPr>
                <w:rFonts w:ascii="Times New Roman;Times;serif" w:hAnsi="Times New Roman;Times;serif"/>
                <w:b/>
                <w:caps/>
                <w:sz w:val="22"/>
              </w:rPr>
              <w:t>Adagio Medical Holdings, Inc.</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Todd Usen</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Todd Usen</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Reviewed, Understood, and Accepted:</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r>
      <w:tr>
        <w:trPr/>
        <w:tc>
          <w:tcPr>
            <w:tcW w:w="4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Debbie Kaster</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9/3/2025</w:t>
            </w:r>
          </w:p>
        </w:tc>
      </w:tr>
      <w:tr>
        <w:trPr/>
        <w:tc>
          <w:tcPr>
            <w:tcW w:w="41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Debbie Kaster</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w:t>
            </w:r>
          </w:p>
        </w:tc>
        <w:tc>
          <w:tcPr>
            <w:tcW w:w="9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Exhibit A:  Confidentiality Agreement</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pPr>
      <w:r>
        <w:rPr/>
        <w:drawing>
          <wp:inline distT="0" distB="0" distL="0" distR="0">
            <wp:extent cx="2056765" cy="723900"/>
            <wp:effectExtent l="0" t="0" r="0" b="0"/>
            <wp:docPr id="3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 descr=""/>
                    <pic:cNvPicPr>
                      <a:picLocks noChangeAspect="1" noChangeArrowheads="1"/>
                    </pic:cNvPicPr>
                  </pic:nvPicPr>
                  <pic:blipFill>
                    <a:blip r:embed="rId6"/>
                    <a:stretch>
                      <a:fillRect/>
                    </a:stretch>
                  </pic:blipFill>
                  <pic:spPr bwMode="auto">
                    <a:xfrm>
                      <a:off x="0" y="0"/>
                      <a:ext cx="2056765" cy="72390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Exhibit A</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CONFIDENTIALITY AgreemenT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84" w:name="adgm-20250930xex31d1.htm"/>
      <w:bookmarkStart w:id="1885" w:name="ksadgm20250930xex31d1"/>
      <w:bookmarkEnd w:id="1884"/>
      <w:bookmarkEnd w:id="1885"/>
      <w:r>
        <w:rPr>
          <w:rFonts w:ascii="Times New Roman;Times;serif" w:hAnsi="Times New Roman;Times;serif"/>
          <w:b/>
          <w:sz w:val="22"/>
        </w:rPr>
        <w:t>Exhibit 31.1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20"/>
        <w:ind w:left="0" w:right="0" w:hanging="0"/>
        <w:jc w:val="left"/>
        <w:rPr>
          <w:rFonts w:ascii="Times New Roman;Times;serif" w:hAnsi="Times New Roman;Times;serif"/>
          <w:sz w:val="22"/>
        </w:rPr>
      </w:pPr>
      <w:r>
        <w:rPr>
          <w:rFonts w:ascii="Times New Roman;Times;serif" w:hAnsi="Times New Roman;Times;serif"/>
          <w:sz w:val="22"/>
        </w:rPr>
        <w:t>I, Todd Usen, certify that:</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3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September 30, 2025, of Adagio Medical Holdings, Inc. (formerly known as “Aja Holdco,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bookmarkStart w:id="1886" w:name="_Hlk197960923"/>
            <w:bookmarkEnd w:id="1886"/>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7128" w:type="dxa"/>
        <w:jc w:val="left"/>
        <w:tblInd w:w="0" w:type="dxa"/>
        <w:tblLayout w:type="fixed"/>
        <w:tblCellMar>
          <w:top w:w="0" w:type="dxa"/>
          <w:left w:w="0" w:type="dxa"/>
          <w:bottom w:w="0" w:type="dxa"/>
          <w:right w:w="0" w:type="dxa"/>
        </w:tblCellMar>
      </w:tblPr>
      <w:tblGrid>
        <w:gridCol w:w="2206"/>
        <w:gridCol w:w="451"/>
        <w:gridCol w:w="447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00810" cy="29210"/>
                      <wp:effectExtent l="0" t="0" r="0" b="0"/>
                      <wp:wrapNone/>
                      <wp:docPr id="344" name="Frame343"/>
                      <a:graphic xmlns:a="http://schemas.openxmlformats.org/drawingml/2006/main">
                        <a:graphicData uri="http://schemas.microsoft.com/office/word/2010/wordprocessingShape">
                          <wps:wsp>
                            <wps:cNvSpPr txBox="1"/>
                            <wps:spPr>
                              <a:xfrm>
                                <a:off x="0" y="0"/>
                                <a:ext cx="1400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86385" cy="29210"/>
                      <wp:effectExtent l="0" t="0" r="0" b="0"/>
                      <wp:wrapNone/>
                      <wp:docPr id="345" name="Frame344"/>
                      <a:graphic xmlns:a="http://schemas.openxmlformats.org/drawingml/2006/main">
                        <a:graphicData uri="http://schemas.microsoft.com/office/word/2010/wordprocessingShape">
                          <wps:wsp>
                            <wps:cNvSpPr txBox="1"/>
                            <wps:spPr>
                              <a:xfrm>
                                <a:off x="0" y="0"/>
                                <a:ext cx="286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839085" cy="29210"/>
                      <wp:effectExtent l="0" t="0" r="0" b="0"/>
                      <wp:wrapNone/>
                      <wp:docPr id="346" name="Frame345"/>
                      <a:graphic xmlns:a="http://schemas.openxmlformats.org/drawingml/2006/main">
                        <a:graphicData uri="http://schemas.microsoft.com/office/word/2010/wordprocessingShape">
                          <wps:wsp>
                            <wps:cNvSpPr txBox="1"/>
                            <wps:spPr>
                              <a:xfrm>
                                <a:off x="0" y="0"/>
                                <a:ext cx="2839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2025</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4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220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4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220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87" w:name="adgm-20250930xex31d2.htm"/>
      <w:bookmarkStart w:id="1888" w:name="ksadgm20250930xex31d2"/>
      <w:bookmarkEnd w:id="1887"/>
      <w:bookmarkEnd w:id="1888"/>
      <w:r>
        <w:rPr>
          <w:rFonts w:ascii="Times New Roman;Times;serif" w:hAnsi="Times New Roman;Times;serif"/>
          <w:b/>
          <w:sz w:val="22"/>
        </w:rPr>
        <w:t>Exhibit 31.2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20"/>
        <w:ind w:left="0" w:right="0" w:hanging="0"/>
        <w:jc w:val="left"/>
        <w:rPr>
          <w:rFonts w:ascii="Times New Roman;Times;serif" w:hAnsi="Times New Roman;Times;serif"/>
          <w:sz w:val="22"/>
        </w:rPr>
      </w:pPr>
      <w:r>
        <w:rPr>
          <w:rFonts w:ascii="Times New Roman;Times;serif" w:hAnsi="Times New Roman;Times;serif"/>
          <w:sz w:val="22"/>
        </w:rPr>
        <w:t>I, Deborah Kaster, certify that:</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3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September 30, 2025, of Adagio Medical Holdings, Inc. (formerly known as “Aja Holdco,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4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6828" w:type="dxa"/>
        <w:jc w:val="left"/>
        <w:tblInd w:w="0" w:type="dxa"/>
        <w:tblLayout w:type="fixed"/>
        <w:tblCellMar>
          <w:top w:w="0" w:type="dxa"/>
          <w:left w:w="0" w:type="dxa"/>
          <w:bottom w:w="0" w:type="dxa"/>
          <w:right w:w="0" w:type="dxa"/>
        </w:tblCellMar>
      </w:tblPr>
      <w:tblGrid>
        <w:gridCol w:w="2206"/>
        <w:gridCol w:w="406"/>
        <w:gridCol w:w="421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400810" cy="29210"/>
                      <wp:effectExtent l="0" t="0" r="0" b="0"/>
                      <wp:wrapNone/>
                      <wp:docPr id="347" name="Frame346"/>
                      <a:graphic xmlns:a="http://schemas.openxmlformats.org/drawingml/2006/main">
                        <a:graphicData uri="http://schemas.microsoft.com/office/word/2010/wordprocessingShape">
                          <wps:wsp>
                            <wps:cNvSpPr txBox="1"/>
                            <wps:spPr>
                              <a:xfrm>
                                <a:off x="0" y="0"/>
                                <a:ext cx="1400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57810" cy="29210"/>
                      <wp:effectExtent l="0" t="0" r="0" b="0"/>
                      <wp:wrapNone/>
                      <wp:docPr id="348" name="Frame347"/>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677160" cy="29210"/>
                      <wp:effectExtent l="0" t="0" r="0" b="0"/>
                      <wp:wrapNone/>
                      <wp:docPr id="349" name="Frame348"/>
                      <a:graphic xmlns:a="http://schemas.openxmlformats.org/drawingml/2006/main">
                        <a:graphicData uri="http://schemas.microsoft.com/office/word/2010/wordprocessingShape">
                          <wps:wsp>
                            <wps:cNvSpPr txBox="1"/>
                            <wps:spPr>
                              <a:xfrm>
                                <a:off x="0" y="0"/>
                                <a:ext cx="2677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Deborah Kaster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Kaster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Business Officer</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89" w:name="adgm-20250930xex32d1.htm"/>
      <w:bookmarkStart w:id="1890" w:name="ksadgm20250930xex32d1"/>
      <w:bookmarkEnd w:id="1889"/>
      <w:bookmarkEnd w:id="1890"/>
      <w:r>
        <w:rPr>
          <w:rFonts w:ascii="Times New Roman;Times;serif" w:hAnsi="Times New Roman;Times;serif"/>
          <w:b/>
          <w:sz w:val="22"/>
        </w:rPr>
        <w:t>Exhibit 32.1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(formerly known as “Aja Holdco, Inc.”) (the “Company”) for the quarter ended September 30, 2025 as filed with the Securities and Exchange Commission on the date hereof (the “Quarterly Report”), I, Todd Usen, Chief Executive Officer of the Company, hereby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5118" w:type="dxa"/>
        <w:jc w:val="left"/>
        <w:tblInd w:w="0" w:type="dxa"/>
        <w:tblLayout w:type="fixed"/>
        <w:tblCellMar>
          <w:top w:w="0" w:type="dxa"/>
          <w:left w:w="0" w:type="dxa"/>
          <w:bottom w:w="0" w:type="dxa"/>
          <w:right w:w="0" w:type="dxa"/>
        </w:tblCellMar>
      </w:tblPr>
      <w:tblGrid>
        <w:gridCol w:w="2206"/>
        <w:gridCol w:w="406"/>
        <w:gridCol w:w="250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400810" cy="175260"/>
                      <wp:effectExtent l="0" t="0" r="0" b="0"/>
                      <wp:wrapNone/>
                      <wp:docPr id="350" name="Frame349"/>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57810" cy="175260"/>
                      <wp:effectExtent l="0" t="0" r="0" b="0"/>
                      <wp:wrapNone/>
                      <wp:docPr id="351" name="Frame35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91310" cy="175260"/>
                      <wp:effectExtent l="0" t="0" r="0" b="0"/>
                      <wp:wrapNone/>
                      <wp:docPr id="352" name="Frame35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Todd Usen</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Todd Usen</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91" w:name="adgm-20250930xex32d2.htm"/>
      <w:bookmarkStart w:id="1892" w:name="ksadgm20250930xex32d2"/>
      <w:bookmarkEnd w:id="1891"/>
      <w:bookmarkEnd w:id="1892"/>
      <w:r>
        <w:rPr>
          <w:rFonts w:ascii="Times New Roman;Times;serif" w:hAnsi="Times New Roman;Times;serif"/>
          <w:b/>
          <w:sz w:val="22"/>
        </w:rPr>
        <w:t>Exhibit 32.2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(formerly known as “Aja Holdco, Inc.”) (the “Company”) for the quarter ended September 30, 2025 as filed with the Securities and Exchange Commission on the date hereof (the “Quarterly Report”), I, Deborah Kaster, Chief Financial Officer of the Company, hereby certify, pursuant to 18 U.S.C. § 1350, as adopted pursuant to § 906 of the Sarbanes-Oxley Act of 2002, that to the best of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6828" w:type="dxa"/>
        <w:jc w:val="left"/>
        <w:tblInd w:w="0" w:type="dxa"/>
        <w:tblLayout w:type="fixed"/>
        <w:tblCellMar>
          <w:top w:w="0" w:type="dxa"/>
          <w:left w:w="0" w:type="dxa"/>
          <w:bottom w:w="0" w:type="dxa"/>
          <w:right w:w="0" w:type="dxa"/>
        </w:tblCellMar>
      </w:tblPr>
      <w:tblGrid>
        <w:gridCol w:w="2206"/>
        <w:gridCol w:w="406"/>
        <w:gridCol w:w="421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400810" cy="175260"/>
                      <wp:effectExtent l="0" t="0" r="0" b="0"/>
                      <wp:wrapNone/>
                      <wp:docPr id="353" name="Frame352"/>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57810" cy="175260"/>
                      <wp:effectExtent l="0" t="0" r="0" b="0"/>
                      <wp:wrapNone/>
                      <wp:docPr id="354" name="Frame35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677160" cy="175260"/>
                      <wp:effectExtent l="0" t="0" r="0" b="0"/>
                      <wp:wrapNone/>
                      <wp:docPr id="355" name="Frame35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12,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Deborah Kaster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Deborah Kaster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Chief Business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TimesNewRom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6986/000114036124035942/ef20033584_ex2-1.htm" TargetMode="External"/><Relationship Id="rId3" Type="http://schemas.openxmlformats.org/officeDocument/2006/relationships/hyperlink" Target="https://www.sec.gov/Archives/edgar/data/2006986/000114036124035942/ef20033584_ex2-2.htm" TargetMode="External"/><Relationship Id="rId4" Type="http://schemas.openxmlformats.org/officeDocument/2006/relationships/hyperlink" Target="https://www.sec.gov/Archives/edgar/data/2006986/000114036124035942/ef20033584_ex3-1.htm" TargetMode="External"/><Relationship Id="rId5" Type="http://schemas.openxmlformats.org/officeDocument/2006/relationships/hyperlink" Target="https://www.sec.gov/Archives/edgar/data/2006986/000114036124035942/ef20033584_ex3-2.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48840</Words>
  <Characters>269366</Characters>
  <CharactersWithSpaces>320268</CharactersWithSpaces>
  <Paragraphs>8299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