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ADAGIO MEDICAL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1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001-42199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99-1151466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718" w:right="339" w:bottom="1440" w:gutter="0" w:footer="0" w:header="0"/>
          <w:type w:val="continuous"/>
        </w:sectPr>
      </w:pPr>
    </w:p>
    <w:p>
      <w:pPr>
        <w:spacing w:after="0" w:line="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26051 Merit Circle, Suite 102</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Laguna Hills, CA</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92653</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718"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(949) 348-1188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ADGM</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16, 2026, Adagio Medical Holdings, Inc. (the “Company”) held its 2026 Annual Meeting of Stockholders (the “Annual Meeting”). The stockholders considered two proposals, each of which is described in more detail in the Company’s definitive proxy statement filed with the Securities and Exchange Commission on April 30, 2026 (the “Proxy Statement”). Of the 22,210,459 shares outstanding as of the record date, 16,069,984 shares, or 72.35%, were present or represented by proxy at the Annual Meeting. The final results for each of the matters submitted to the stockholders at the Annual Meeting are as follows: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of two nominees to serve as directors until the 2029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The votes were cast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7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For</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Withheld</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Orly Mishan</w:t>
            </w:r>
          </w:p>
        </w:tc>
        <w:tc>
          <w:tcPr>
            <w:tcW w:w="14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11,930,745</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1,396,139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2,743,100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Sean Salmon</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13,322,425</w:t>
            </w:r>
          </w:p>
        </w:tc>
        <w:tc>
          <w:tcPr>
            <w:tcW w:w="24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4,459</w:t>
            </w:r>
          </w:p>
        </w:tc>
        <w:tc>
          <w:tcPr>
            <w:tcW w:w="20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2,743,100</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nominees were elected.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Ratification of the appointment of WithumSmith+Brown, PC as independent registered public accounting firm for the fiscal year ending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votes were cast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For</w:t>
            </w:r>
          </w:p>
        </w:tc>
        <w:tc>
          <w:tcPr>
            <w:tcW w:w="258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i w:val="1"/>
                <w:iCs w:val="1"/>
                <w:color w:val="auto"/>
              </w:rPr>
              <w:t>Against</w:t>
            </w:r>
          </w:p>
        </w:tc>
        <w:tc>
          <w:tcPr>
            <w:tcW w:w="220" w:type="dxa"/>
            <w:vAlign w:val="bottom"/>
          </w:tcPr>
          <w:p>
            <w:pPr>
              <w:spacing w:after="0"/>
              <w:rPr>
                <w:sz w:val="20"/>
                <w:szCs w:val="20"/>
                <w:color w:val="auto"/>
              </w:rPr>
            </w:pPr>
          </w:p>
        </w:tc>
        <w:tc>
          <w:tcPr>
            <w:tcW w:w="28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Abstain</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tc>
      </w:tr>
      <w:tr>
        <w:trPr>
          <w:trHeight w:val="210"/>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16,055,195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14,081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Deborah Kaster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Business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2026-06-16T16:38:59Z</dcterms:created>
  <dcterms:modified xsi:type="dcterms:W3CDTF">2026-06-16T16:38:59Z</dcterms:modified>
</cp:coreProperties>
</file>