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992x2_def14a_100-regcov_pg1"/>
        <w:bookmarkStart w:id="1" w:name="ny20082992x2_def14a.htm"/>
        <w:bookmarkStart w:id="2" w:name="ksny20082992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(Amendment No.)</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020" w:type="dxa"/>
        <w:jc w:val="left"/>
        <w:tblInd w:w="0" w:type="dxa"/>
        <w:tblLayout w:type="fixed"/>
        <w:tblCellMar>
          <w:top w:w="0" w:type="dxa"/>
          <w:left w:w="0" w:type="dxa"/>
          <w:bottom w:w="0" w:type="dxa"/>
          <w:right w:w="0" w:type="dxa"/>
        </w:tblCellMar>
      </w:tblPr>
      <w:tblGrid>
        <w:gridCol w:w="6020"/>
      </w:tblGrid>
      <w:tr>
        <w:trPr/>
        <w:tc>
          <w:tcPr>
            <w:tcW w:w="6020" w:type="dxa"/>
            <w:tcBorders/>
            <w:vAlign w:val="center"/>
          </w:tcPr>
          <w:p>
            <w:pPr>
              <w:pStyle w:val="TableContents"/>
              <w:bidi w:val="0"/>
              <w:spacing w:before="0" w:after="0"/>
              <w:jc w:val="left"/>
              <w:rPr/>
            </w:pPr>
            <w:r>
              <w:rPr/>
              <w:t> </w:t>
            </w:r>
          </w:p>
        </w:tc>
      </w:tr>
      <w:tr>
        <w:trPr/>
        <w:tc>
          <w:tcPr>
            <w:tcW w:w="6020"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u w:val="single"/>
              </w:rPr>
              <w:t>Adagio Medical Holdings, Inc.</w:t>
            </w:r>
            <w:r>
              <w:rPr>
                <w:rFonts w:ascii="Times New Roman;Times;serif" w:hAnsi="Times New Roman;Times;serif"/>
                <w:b/>
                <w:color w:val="000000"/>
                <w:sz w:val="40"/>
              </w:rPr>
              <w:t xml:space="preserve"> </w:t>
            </w:r>
          </w:p>
        </w:tc>
      </w:tr>
      <w:tr>
        <w:trPr/>
        <w:tc>
          <w:tcPr>
            <w:tcW w:w="60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6020" w:type="dxa"/>
            <w:tcBorders/>
            <w:vAlign w:val="center"/>
          </w:tcPr>
          <w:p>
            <w:pPr>
              <w:pStyle w:val="TableContents"/>
              <w:bidi w:val="0"/>
              <w:spacing w:before="0" w:after="0"/>
              <w:jc w:val="left"/>
              <w:rPr>
                <w:color w:val="000000"/>
              </w:rPr>
            </w:pPr>
            <w:r>
              <w:rPr>
                <w:color w:val="000000"/>
              </w:rPr>
              <w:t> </w:t>
            </w:r>
          </w:p>
        </w:tc>
      </w:tr>
      <w:tr>
        <w:trPr/>
        <w:tc>
          <w:tcPr>
            <w:tcW w:w="602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02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02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jc w:val="left"/>
              <w:rPr>
                <w:color w:val="000000"/>
              </w:rPr>
            </w:pPr>
            <w:r>
              <w:rPr>
                <w:color w:val="000000"/>
              </w:rPr>
              <w:t>☒</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320"/>
        <w:gridCol w:w="3845"/>
      </w:tblGrid>
      <w:tr>
        <w:trPr/>
        <w:tc>
          <w:tcPr>
            <w:tcW w:w="320"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05" w:type="dxa"/>
        <w:jc w:val="left"/>
        <w:tblInd w:w="0" w:type="dxa"/>
        <w:tblLayout w:type="fixed"/>
        <w:tblCellMar>
          <w:top w:w="0" w:type="dxa"/>
          <w:left w:w="0" w:type="dxa"/>
          <w:bottom w:w="0" w:type="dxa"/>
          <w:right w:w="0" w:type="dxa"/>
        </w:tblCellMar>
      </w:tblPr>
      <w:tblGrid>
        <w:gridCol w:w="320"/>
        <w:gridCol w:w="8285"/>
      </w:tblGrid>
      <w:tr>
        <w:trPr/>
        <w:tc>
          <w:tcPr>
            <w:tcW w:w="320"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2992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1336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581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26051 Merit Circle, Suite 102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Laguna Hills, CA, 92653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NOTICE OF SPECIAL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23, 2026 </w:t>
      </w:r>
    </w:p>
    <w:p>
      <w:pPr>
        <w:pStyle w:val="TextBody"/>
        <w:bidi w:val="0"/>
        <w:spacing w:before="15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Stockholder: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the Special Meeting of Stockholders (the “Special Meeting”) of Adagio Medical Holdings, Inc., a Delaware corporation (the “Company”). The meeting will be held on Friday, October 23, 2026 at 8:00 a.m. Pacific Time. The Special Meeting will be a virtual meeting of stockholders, which will be conducted only via a live webcast. You will be able to attend the Special Meeting, submit your questions and vote online during the meeting by visiting www.virtualshareholdermeeting.com/ADGM2026SM. The meeting will be held for the following purposes: </w:t>
      </w:r>
    </w:p>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1.</w:t>
            </w:r>
          </w:p>
        </w:tc>
        <w:tc>
          <w:tcPr>
            <w:tcW w:w="10082" w:type="dxa"/>
            <w:tcBorders/>
            <w:vAlign w:val="center"/>
          </w:tcPr>
          <w:p>
            <w:pPr>
              <w:pStyle w:val="TableContents"/>
              <w:bidi w:val="0"/>
              <w:spacing w:before="0" w:after="0"/>
              <w:jc w:val="both"/>
              <w:rPr>
                <w:rFonts w:ascii="Times New Roman;Times;serif" w:hAnsi="Times New Roman;Times;serif"/>
                <w:color w:val="000000"/>
                <w:sz w:val="18"/>
              </w:rPr>
            </w:pPr>
            <w:r>
              <w:rPr>
                <w:rFonts w:ascii="Times New Roman;Times;serif" w:hAnsi="Times New Roman;Times;serif"/>
                <w:color w:val="000000"/>
                <w:sz w:val="18"/>
              </w:rPr>
              <w:t xml:space="preserve">To approve a series of alternate amendments to the Company’s Amended and Restated Certificate of Incorporation to effect, at the option of the Company’s Board of Directors, a reverse stock split of our common stock at a ratio in the range of 1-for-10 to 1-for-500, inclusive, with such ratio to be determined by the Company’s Board of Directors in its sole discretion. We refer to this proposal as the “Reverse Stock Split Proposal” or “Proposal No. 1”. </w:t>
            </w:r>
          </w:p>
        </w:tc>
      </w:tr>
    </w:tbl>
    <w:tbl>
      <w:tblPr>
        <w:tblW w:w="5020" w:type="dxa"/>
        <w:jc w:val="left"/>
        <w:tblInd w:w="0" w:type="dxa"/>
        <w:tblLayout w:type="fixed"/>
        <w:tblCellMar>
          <w:top w:w="0" w:type="dxa"/>
          <w:left w:w="0" w:type="dxa"/>
          <w:bottom w:w="0" w:type="dxa"/>
          <w:right w:w="0" w:type="dxa"/>
        </w:tblCellMar>
      </w:tblPr>
      <w:tblGrid>
        <w:gridCol w:w="155"/>
        <w:gridCol w:w="4865"/>
      </w:tblGrid>
      <w:tr>
        <w:trPr/>
        <w:tc>
          <w:tcPr>
            <w:tcW w:w="15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2.</w:t>
            </w:r>
          </w:p>
        </w:tc>
        <w:tc>
          <w:tcPr>
            <w:tcW w:w="486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conduct any other business properly brought before the meeting. </w:t>
            </w:r>
          </w:p>
        </w:tc>
      </w:tr>
    </w:tbl>
    <w:p>
      <w:pPr>
        <w:pStyle w:val="TextBody"/>
        <w:bidi w:val="0"/>
        <w:spacing w:before="13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These items of business are more fully described in the proxy statement accompanying these proxy materials.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Special Meeting will be held virtually through a live webcast. Stockholders of record at the close of business on October 5, 2026 and their proxy holders will be able to attend the Special Meeting, submit questions and vote during the live webcast by visiting www.virtualshareholdermeeting.com/ADGM2026SM and entering the Control Number included in your proxy card, voting instruction form, or in the instructions that you received via email. Please refer to the additional logistical details and recommendations in the accompanying proxy statement. You may log-in beginning at 7:45 a.m. Pacific Time, on October 23, 2026.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Only stockholders of record at the close of business on October 5, 2026 and their proxy holders may vote at the meeting or any adjournment thereof. A complete list of these stockholders will be available for examination by any stockholder during the ten days prior to the Special Meeting for a purpose germane to the meeting during ordinary business hours at the Company’s principal executive office. The Special Meeting may be continued or adjourned from time to time without notice other than by announcement at the Special Meeting. </w:t>
      </w:r>
    </w:p>
    <w:p>
      <w:pPr>
        <w:pStyle w:val="TextBody"/>
        <w:bidi w:val="0"/>
        <w:spacing w:before="90" w:after="283"/>
        <w:jc w:val="center"/>
        <w:rPr>
          <w:rFonts w:ascii="Times New Roman;Times;serif" w:hAnsi="Times New Roman;Times;serif"/>
          <w:b/>
          <w:color w:val="000000"/>
          <w:sz w:val="18"/>
          <w:bdr w:val="single" w:sz="8" w:space="6" w:color="000000"/>
        </w:rPr>
      </w:pPr>
      <w:r>
        <w:rPr>
          <w:rFonts w:ascii="Times New Roman;Times;serif" w:hAnsi="Times New Roman;Times;serif"/>
          <w:b/>
          <w:color w:val="000000"/>
          <w:sz w:val="18"/>
          <w:bdr w:val="single" w:sz="8" w:space="6" w:color="000000"/>
        </w:rPr>
        <w:t>Important Notice Regarding the Availability of Proxy Materials for the Stockholders Meeting to Be Held on October 23, 2026 at 8:00 a.m. Pacific Time at www.virtualshareholdermeeting.com/ADGM2026SM.</w:t>
      </w:r>
    </w:p>
    <w:p>
      <w:pPr>
        <w:pStyle w:val="TextBody"/>
        <w:bidi w:val="0"/>
        <w:spacing w:before="0" w:after="283"/>
        <w:jc w:val="center"/>
        <w:rPr>
          <w:color w:val="000000"/>
          <w:bdr w:val="single" w:sz="8" w:space="6" w:color="000000"/>
        </w:rPr>
      </w:pPr>
      <w:r>
        <w:rPr>
          <w:color w:val="000000"/>
          <w:bdr w:val="single" w:sz="8" w:space="6" w:color="000000"/>
        </w:rPr>
        <w:t xml:space="preserve">  </w:t>
      </w:r>
    </w:p>
    <w:p>
      <w:pPr>
        <w:pStyle w:val="TextBody"/>
        <w:bidi w:val="0"/>
        <w:spacing w:before="0" w:after="283"/>
        <w:jc w:val="center"/>
        <w:rPr>
          <w:rFonts w:ascii="Times New Roman;Times;serif" w:hAnsi="Times New Roman;Times;serif"/>
          <w:b/>
          <w:color w:val="000000"/>
          <w:sz w:val="18"/>
          <w:bdr w:val="single" w:sz="8" w:space="6" w:color="000000"/>
        </w:rPr>
      </w:pPr>
      <w:r>
        <w:rPr>
          <w:rFonts w:ascii="Times New Roman;Times;serif" w:hAnsi="Times New Roman;Times;serif"/>
          <w:b/>
          <w:color w:val="000000"/>
          <w:sz w:val="18"/>
          <w:bdr w:val="single" w:sz="8" w:space="6" w:color="000000"/>
        </w:rPr>
        <w:t>The proxy statement is available at investors.adagiomedical.com and www.proxyvote.com.</w:t>
      </w:r>
    </w:p>
    <w:tbl>
      <w:tblPr>
        <w:tblW w:w="4130" w:type="dxa"/>
        <w:jc w:val="left"/>
        <w:tblInd w:w="0" w:type="dxa"/>
        <w:tblLayout w:type="fixed"/>
        <w:tblCellMar>
          <w:top w:w="0" w:type="dxa"/>
          <w:left w:w="0" w:type="dxa"/>
          <w:bottom w:w="0" w:type="dxa"/>
          <w:right w:w="0" w:type="dxa"/>
        </w:tblCellMar>
      </w:tblPr>
      <w:tblGrid>
        <w:gridCol w:w="3695"/>
        <w:gridCol w:w="140"/>
        <w:gridCol w:w="140"/>
        <w:gridCol w:w="155"/>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bottom w:val="single" w:sz="8" w:space="0" w:color="000000"/>
            </w:tcBorders>
            <w:tcMar>
              <w:bottom w:w="4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 Deborah Kaster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Deborah Kaster </w:t>
              <w:br/>
              <w:t xml:space="preserve">Chief Financial Officer and Chief Business Officer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Laguna Hills, CA </w:t>
              <w:br/>
              <w:t>October 13, 2026</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5" w:type="dxa"/>
            <w:gridSpan w:val="2"/>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55"/>
        <w:gridCol w:w="9895"/>
        <w:gridCol w:w="155"/>
      </w:tblGrid>
      <w:tr>
        <w:trPr/>
        <w:tc>
          <w:tcPr>
            <w:tcW w:w="155" w:type="dxa"/>
            <w:tcBorders/>
            <w:vAlign w:val="center"/>
          </w:tcPr>
          <w:p>
            <w:pPr>
              <w:pStyle w:val="TableContents"/>
              <w:bidi w:val="0"/>
              <w:spacing w:before="0" w:after="0"/>
              <w:jc w:val="left"/>
              <w:rPr/>
            </w:pPr>
            <w:r>
              <w:rPr/>
              <w:t> </w:t>
            </w:r>
          </w:p>
        </w:tc>
        <w:tc>
          <w:tcPr>
            <w:tcW w:w="98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5" w:type="dxa"/>
            <w:tcBorders/>
            <w:vAlign w:val="center"/>
          </w:tcPr>
          <w:p>
            <w:pPr>
              <w:pStyle w:val="TableContents"/>
              <w:bidi w:val="0"/>
              <w:spacing w:before="0" w:after="283"/>
              <w:ind w:left="65" w:right="0" w:hanging="0"/>
              <w:jc w:val="both"/>
              <w:rPr>
                <w:rFonts w:ascii="Times New Roman;Times;serif" w:hAnsi="Times New Roman;Times;serif"/>
                <w:b/>
                <w:color w:val="000000"/>
                <w:sz w:val="18"/>
              </w:rPr>
            </w:pPr>
            <w:r>
              <w:rPr>
                <w:rFonts w:ascii="Times New Roman;Times;serif" w:hAnsi="Times New Roman;Times;serif"/>
                <w:b/>
                <w:color w:val="000000"/>
                <w:sz w:val="18"/>
              </w:rPr>
              <w:t>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2992x2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09"/>
        <w:gridCol w:w="140"/>
        <w:gridCol w:w="140"/>
        <w:gridCol w:w="416"/>
      </w:tblGrid>
      <w:tr>
        <w:trPr/>
        <w:tc>
          <w:tcPr>
            <w:tcW w:w="95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0"/>
              <w:jc w:val="left"/>
              <w:rPr/>
            </w:pPr>
            <w:r>
              <w:rPr/>
              <w:t> </w:t>
            </w:r>
          </w:p>
        </w:tc>
      </w:tr>
      <w:tr>
        <w:trPr/>
        <w:tc>
          <w:tcPr>
            <w:tcW w:w="95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09"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PS">
              <w:r>
                <w:rPr>
                  <w:rStyle w:val="InternetLink"/>
                  <w:rFonts w:ascii="Times New Roman;Times;serif" w:hAnsi="Times New Roman;Times;serif"/>
                  <w:color w:val="000000"/>
                  <w:sz w:val="20"/>
                </w:rPr>
                <w:t>1</w:t>
              </w:r>
            </w:hyperlink>
          </w:p>
        </w:tc>
      </w:tr>
      <w:tr>
        <w:trPr/>
        <w:tc>
          <w:tcPr>
            <w:tcW w:w="9509"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color w:val="000000"/>
                  <w:sz w:val="20"/>
                </w:rPr>
                <w:t xml:space="preserve">PROPOSAL NO. 1 – APPROVAL OF A SERIES OF ALTERNATE AMENDMENTS TO OUR AMENDED AND RESTATED CERTIFICATE OF INCORPORATION TO EFFECT A REVERSE STOCK SPLIT OF OUR COMMON STOCK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6</w:t>
              </w:r>
            </w:hyperlink>
          </w:p>
        </w:tc>
      </w:tr>
      <w:tr>
        <w:trPr/>
        <w:tc>
          <w:tcPr>
            <w:tcW w:w="9509" w:type="dxa"/>
            <w:tcBorders/>
            <w:shd w:fill="CCEEFF" w:val="clear"/>
            <w:vAlign w:val="center"/>
          </w:tcPr>
          <w:p>
            <w:pPr>
              <w:pStyle w:val="TableContents"/>
              <w:bidi w:val="0"/>
              <w:spacing w:before="0" w:after="283"/>
              <w:ind w:left="0" w:right="0" w:hanging="0"/>
              <w:jc w:val="left"/>
              <w:rPr/>
            </w:pPr>
            <w:hyperlink w:anchor="tSO">
              <w:r>
                <w:rPr>
                  <w:rStyle w:val="InternetLink"/>
                  <w:rFonts w:ascii="Times New Roman;Times;serif" w:hAnsi="Times New Roman;Times;serif"/>
                  <w:color w:val="000000"/>
                  <w:sz w:val="20"/>
                </w:rPr>
                <w:t xml:space="preserve">SECURITY OWNERSHIP OF CERTAIN BENEFICIAL OWNERS AND MANAGEMENT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SO">
              <w:r>
                <w:rPr>
                  <w:rStyle w:val="InternetLink"/>
                  <w:rFonts w:ascii="Times New Roman;Times;serif" w:hAnsi="Times New Roman;Times;serif"/>
                  <w:color w:val="000000"/>
                  <w:sz w:val="20"/>
                </w:rPr>
                <w:t>15</w:t>
              </w:r>
            </w:hyperlink>
          </w:p>
        </w:tc>
      </w:tr>
      <w:tr>
        <w:trPr/>
        <w:tc>
          <w:tcPr>
            <w:tcW w:w="9509" w:type="dxa"/>
            <w:tcBorders/>
            <w:vAlign w:val="center"/>
          </w:tcPr>
          <w:p>
            <w:pPr>
              <w:pStyle w:val="TableContents"/>
              <w:bidi w:val="0"/>
              <w:spacing w:before="0" w:after="283"/>
              <w:ind w:left="0" w:right="0" w:hanging="0"/>
              <w:jc w:val="left"/>
              <w:rPr/>
            </w:pPr>
            <w:hyperlink w:anchor="tOI">
              <w:r>
                <w:rPr>
                  <w:rStyle w:val="InternetLink"/>
                  <w:rFonts w:ascii="Times New Roman;Times;serif" w:hAnsi="Times New Roman;Times;serif"/>
                  <w:color w:val="000000"/>
                  <w:sz w:val="20"/>
                </w:rPr>
                <w:t xml:space="preserve">OTHER INFORMATION FOR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 w:type="dxa"/>
            <w:tcBorders/>
            <w:vAlign w:val="center"/>
          </w:tcPr>
          <w:p>
            <w:pPr>
              <w:pStyle w:val="TableContents"/>
              <w:bidi w:val="0"/>
              <w:spacing w:before="0" w:after="283"/>
              <w:ind w:left="9" w:right="0" w:hanging="0"/>
              <w:jc w:val="left"/>
              <w:rPr/>
            </w:pPr>
            <w:hyperlink w:anchor="tOI">
              <w:r>
                <w:rPr>
                  <w:rStyle w:val="InternetLink"/>
                  <w:rFonts w:ascii="Times New Roman;Times;serif" w:hAnsi="Times New Roman;Times;serif"/>
                  <w:color w:val="000000"/>
                  <w:sz w:val="20"/>
                </w:rPr>
                <w:t>17</w:t>
              </w:r>
            </w:hyperlink>
          </w:p>
        </w:tc>
      </w:tr>
      <w:tr>
        <w:trPr/>
        <w:tc>
          <w:tcPr>
            <w:tcW w:w="9509" w:type="dxa"/>
            <w:tcBorders/>
            <w:shd w:fill="CCEEFF" w:val="clear"/>
            <w:vAlign w:val="center"/>
          </w:tcPr>
          <w:p>
            <w:pPr>
              <w:pStyle w:val="TableContents"/>
              <w:bidi w:val="0"/>
              <w:spacing w:before="0" w:after="283"/>
              <w:ind w:left="200" w:right="0" w:hanging="200"/>
              <w:jc w:val="left"/>
              <w:rPr/>
            </w:pPr>
            <w:hyperlink w:anchor="tAPPA">
              <w:r>
                <w:rPr>
                  <w:rStyle w:val="InternetLink"/>
                  <w:rFonts w:ascii="Times New Roman;Times;serif" w:hAnsi="Times New Roman;Times;serif"/>
                  <w:color w:val="000000"/>
                  <w:sz w:val="20"/>
                </w:rPr>
                <w:t>APPENDIX A – CERTIFICATE OF AMENDMENT TO AMENDED AND RESTATED CERTIFICATE OF INCORPORATION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5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2992x2_def14a_103-proxy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ADAGIO MEDICAL HOLDINGS, INC.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26051 Merit Circle, Suite 102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Laguna Hills, CA, 92653 </w:t>
      </w:r>
    </w:p>
    <w:p>
      <w:pPr>
        <w:pStyle w:val="TextBody"/>
        <w:bidi w:val="0"/>
        <w:spacing w:before="290" w:after="283"/>
        <w:jc w:val="center"/>
        <w:rPr>
          <w:rFonts w:ascii="Times New Roman;Times;serif" w:hAnsi="Times New Roman;Times;serif"/>
          <w:b/>
          <w:color w:val="000000"/>
          <w:sz w:val="20"/>
        </w:rPr>
      </w:pPr>
      <w:bookmarkStart w:id="8" w:name="tPS"/>
      <w:bookmarkEnd w:id="8"/>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23, 2026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QUESTIONS AND ANSWERS ABOUT THESE PROXY MATERIALS AND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indicates otherwise, references in this proxy statement to the “Company,” “Adagio,” “we,” “us,” “our” and similar terms refer to Adagio Medical Holdings, Inc.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sent you these proxy materials because the Board of Directors (the “Board”) of Adagio Medical Holdings, Inc. is soliciting your proxy to vote at the 2026 Special Meeting of Stockholders (the “Special Meeting”), including at any adjournments or postponements of the meeting. You are invited to attend the Special Meeting online to vote on the proposals described in this proxy statement. However, you do not need to attend the meeting to vote your shares. Instead, you may simply complete, sign and return the enclosed proxy card, or follow the instructions below to submit your proxy over the phone or through the internet.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first mail these proxy materials on or about October 13, 2026 to all stockholders of record entitled to vote at the Special Meeting.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virtual meeting, which will be conducted entirely online via audio webcast to allow greater participation. You may attend, vote and ask questions at the Special Meeting by following the instructions provided on the proxy card or voting instruction form to log in to www.virtualshareholdermeeting.com/ADGM2026SM. If you are a stockholder of record, you will be asked to provide the 16-digit control number from your proxy card. If you are a beneficial owner of shares registered in the name of your broker, bank or other agent, follow the instructions from your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audio webcast of the Special Meeting will begin promptly at 8:00 a.m. Pacific Time. We encourage you to access the meeting prior to the start time. Online check-in will begin at 7:45 a.m. Pacific Time, and you should allow reasonable time for the check-in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Special Meeting if you were a stockholder of record as of the close of business on October 5, 2026, the record date, or hold a valid proxy for the meeting. To be admitted to the Special Meeting, you will need to visit www.virtualshareholdermeeting.com/ADGM2026SM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or not you participate in the Special Meeting, it is important that you vote your shares.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if you do not have your Control Number and you are a registered stockholder, you will be able to login as a guest. To view the meeting webcast visit www.virtualshareholdermeeting.com/ADGM2026SM and register as a guest. If you login as a guest, you will not be able to vote your shares or ask questions during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we get technical assistance if we are having trouble accessing the meeting or during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difficulty accessing the meeting or during the meeting, please refer to the technical support telephone number posted on the virtual meeting website login page, where technicians will be available to help you.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2992x2_def14a_103-proxy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the Special Meeting, how do we ask questions of management and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plan to spend up to 15 minutes answering appropriate stockholder questions at the conclusion of the Special Meeting and will include as many stockholder questions that comply with the rules of conduct for the Special Meeting as the allotted time permits. If we receive substantially similar questions, we will group such questions together and provide a single response to avoid repetition. Questions that are not pertinent to the Company and in compliance with the rules of conduct for the Special Meeting will not be responded to. Questions may be submitted during the Special Meeting through www.virtualshareholdermeeting.com/ADGM2026SM.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5, 2026 will be entitled to vote at the Special Meeting.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October 5, 2026 your shares were registered directly in your name with the Adagio’s transfer agent, Continental Stock Transfer &amp; Trust Company, then you are a stockholder of record. As a stockholder of record, you may vote online, at the meeting or vote by proxy. Whether or not you plan to attend the meeting, we urge you to fill out and return the enclosed proxy card, vote by proxy over the telephone, or vote by proxy through the internet to ensure your vote is counted.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on October 5, 2026 your shares were held, not in your name, but rather in an account at a brokerage firm, bank or other similar organization, then you are the beneficial owner of shares held in “street name” and these proxy materials should be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one matter scheduled for a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No. 1 – To approve a series of alternate amendments to the Company’s Amended and Restated Certificate of Incorporation to effect, at the option of the Board, a reverse stock split of our common stock at a ratio in the range of 1-for-10 to 1-for-500, inclusive (the “Reverse Stock Split”), with such ratio to be determined by the Board in its sole discretion.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Proposal No. 1, you may either vote “For” all the nominees to the Board or you may “Withhold” your vote for any nominee to the Board that you specify.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2992x2_def14a_103-proxy_pg3"/>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at the Special Meeting, vote by proxy using the enclosed proxy card, or you may vote by proxy over the telephone or through the internet. Whether or not you plan to attend the Special Meeting, we urge you to vote by proxy to ensure your vote is counted. You may still attend the Special Meeting and vote at the Special Meeting even if you have already voted by proxy. This is only required if you want to change your original vote, since votes will not be double counted. </w:t>
      </w:r>
    </w:p>
    <w:tbl>
      <w:tblPr>
        <w:tblW w:w="10205" w:type="dxa"/>
        <w:jc w:val="left"/>
        <w:tblInd w:w="0" w:type="dxa"/>
        <w:tblLayout w:type="fixed"/>
        <w:tblCellMar>
          <w:top w:w="0" w:type="dxa"/>
          <w:left w:w="0" w:type="dxa"/>
          <w:bottom w:w="0" w:type="dxa"/>
          <w:right w:w="0" w:type="dxa"/>
        </w:tblCellMar>
      </w:tblPr>
      <w:tblGrid>
        <w:gridCol w:w="2330"/>
        <w:gridCol w:w="140"/>
        <w:gridCol w:w="140"/>
        <w:gridCol w:w="1445"/>
        <w:gridCol w:w="140"/>
        <w:gridCol w:w="140"/>
        <w:gridCol w:w="1835"/>
        <w:gridCol w:w="140"/>
        <w:gridCol w:w="140"/>
        <w:gridCol w:w="3755"/>
      </w:tblGrid>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r>
      <w:tr>
        <w:trPr/>
        <w:tc>
          <w:tcPr>
            <w:tcW w:w="23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Internet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Telephone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By 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the Meeting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vote your shares from any location in the world at www.proxyvote.com (you will need the control number printed on your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vote your shares by calling 1-800-690-6903 and following the instructions on your proxy card.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received a proxy card by mail, you may vote by completing, dating and signing the proxy card and promptly mailing it in the postage-paid envelope provided.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vote at the meeting, visit www.virtualshareholdermeeting.com/ADGM2026SM (you will need the control number printed on your proxy registration confirmation email)</w:t>
            </w:r>
          </w:p>
        </w:tc>
      </w:tr>
      <w:tr>
        <w:trPr/>
        <w:tc>
          <w:tcPr>
            <w:tcW w:w="23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facilities for stockholders of record will be available for 24 hours a day and will close at 8:59 p.m. Pacific Time on October 22,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at the Special Meeting, your shares will not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Proposal No. 1. If any other matter is properly presented at the meeting, your proxy holder (one of the individuals named on your proxy card) will vote your shares using that individual’s best judgment.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Adagio.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Special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 </w:t>
      </w:r>
    </w:p>
    <w:p>
      <w:pPr>
        <w:pStyle w:val="TextBody"/>
        <w:bidi w:val="0"/>
        <w:spacing w:before="90" w:after="283"/>
        <w:ind w:left="10" w:right="0" w:hanging="0"/>
        <w:jc w:val="both"/>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common stock you owned as of October 5, 2026 is entitled to one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2992x2_def14a_103-proxy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at the Special Meeting, your shares will not be voted.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Proposal No. 1. If any other matter is properly presented at the meeting, your proxy holder (one of the individuals named on your proxy card) will vote your shares using that individual’s best judgment. </w:t>
      </w:r>
    </w:p>
    <w:p>
      <w:pPr>
        <w:pStyle w:val="TextBody"/>
        <w:bidi w:val="0"/>
        <w:spacing w:before="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 No. 1 is considered to be “routine” under applicable rules, meaning your broker or nominee may vote your shares on Proposal No. 1. </w:t>
      </w:r>
    </w:p>
    <w:p>
      <w:pPr>
        <w:pStyle w:val="TextBody"/>
        <w:bidi w:val="0"/>
        <w:spacing w:before="6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are a beneficial owner of shares held in street name, and you do not plan to attend the Special Meeting, in order to ensure your shares are voted in the way you would prefer, you </w:t>
      </w:r>
      <w:r>
        <w:rPr>
          <w:rFonts w:ascii="Times New Roman;Times;serif" w:hAnsi="Times New Roman;Times;serif"/>
          <w:b/>
          <w:color w:val="000000"/>
          <w:sz w:val="20"/>
          <w:u w:val="single"/>
        </w:rPr>
        <w:t>must</w:t>
      </w:r>
      <w:r>
        <w:rPr>
          <w:rFonts w:ascii="Times New Roman;Times;serif" w:hAnsi="Times New Roman;Times;serif"/>
          <w:b/>
          <w:color w:val="000000"/>
          <w:sz w:val="20"/>
        </w:rPr>
        <w:t xml:space="preserve"> provide voting instructions to your broker, bank or other agent by the deadline provided in the materials you receive from your broker, bank or other agent.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No. 1 is a “routine” matter and we therefore expect brokers, banks or other securities intermediaries to vote on that proposal. </w:t>
      </w:r>
    </w:p>
    <w:p>
      <w:pPr>
        <w:pStyle w:val="TextBody"/>
        <w:bidi w:val="0"/>
        <w:spacing w:before="6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As a reminder, if you are a beneficial owner of shares held in street name, in order to ensure your shares are voted in the way you would prefer, you </w:t>
      </w:r>
      <w:r>
        <w:rPr>
          <w:rFonts w:ascii="Times New Roman;Times;serif" w:hAnsi="Times New Roman;Times;serif"/>
          <w:b/>
          <w:color w:val="000000"/>
          <w:sz w:val="20"/>
          <w:u w:val="single"/>
        </w:rPr>
        <w:t>must</w:t>
      </w:r>
      <w:r>
        <w:rPr>
          <w:rFonts w:ascii="Times New Roman;Times;serif" w:hAnsi="Times New Roman;Times;serif"/>
          <w:b/>
          <w:color w:val="000000"/>
          <w:sz w:val="20"/>
        </w:rPr>
        <w:t xml:space="preserve"> provide voting instructions to your broker, bank or other agent by the deadline provided in the materials you receive from your broker, bank or other agent.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Adagio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Special Meeting. If you are the record holder of your shares, you may revoke your proxy in any one of the following ways: </w:t>
      </w:r>
    </w:p>
    <w:tbl>
      <w:tblPr>
        <w:tblW w:w="6100" w:type="dxa"/>
        <w:jc w:val="left"/>
        <w:tblInd w:w="0" w:type="dxa"/>
        <w:tblLayout w:type="fixed"/>
        <w:tblCellMar>
          <w:top w:w="0" w:type="dxa"/>
          <w:left w:w="0" w:type="dxa"/>
          <w:bottom w:w="0" w:type="dxa"/>
          <w:right w:w="0" w:type="dxa"/>
        </w:tblCellMar>
      </w:tblPr>
      <w:tblGrid>
        <w:gridCol w:w="110"/>
        <w:gridCol w:w="5990"/>
      </w:tblGrid>
      <w:tr>
        <w:trPr/>
        <w:tc>
          <w:tcPr>
            <w:tcW w:w="11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Adagio’s Corporate Secretary at 26051 Merit Circle, Suite 102, Laguna Hills, CA, 92653. Such notice will be considered timely if it is received at the indicated address by the close of business on the business day one week preceding the date of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Special Meeting and vote online. Simply attending the Special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2992x2_def14a_103-proxy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your broker, bank or other agent.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adoption or approval of each proposal and how will votes be counted? </w:t>
      </w:r>
    </w:p>
    <w:tbl>
      <w:tblPr>
        <w:tblW w:w="10205" w:type="dxa"/>
        <w:jc w:val="left"/>
        <w:tblInd w:w="0" w:type="dxa"/>
        <w:tblLayout w:type="fixed"/>
        <w:tblCellMar>
          <w:top w:w="0" w:type="dxa"/>
          <w:left w:w="0" w:type="dxa"/>
          <w:bottom w:w="0" w:type="dxa"/>
          <w:right w:w="0" w:type="dxa"/>
        </w:tblCellMar>
      </w:tblPr>
      <w:tblGrid>
        <w:gridCol w:w="155"/>
        <w:gridCol w:w="1274"/>
        <w:gridCol w:w="140"/>
        <w:gridCol w:w="140"/>
        <w:gridCol w:w="605"/>
        <w:gridCol w:w="140"/>
        <w:gridCol w:w="140"/>
        <w:gridCol w:w="3541"/>
        <w:gridCol w:w="140"/>
        <w:gridCol w:w="140"/>
        <w:gridCol w:w="1198"/>
        <w:gridCol w:w="140"/>
        <w:gridCol w:w="140"/>
        <w:gridCol w:w="914"/>
        <w:gridCol w:w="140"/>
        <w:gridCol w:w="140"/>
        <w:gridCol w:w="960"/>
        <w:gridCol w:w="158"/>
      </w:tblGrid>
      <w:tr>
        <w:trPr/>
        <w:tc>
          <w:tcPr>
            <w:tcW w:w="155"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74"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5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Voting Options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Votes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Applicable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Broker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Non-Votes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lineRule="auto" w:line="240"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Proposal No. 1: Reverse Stock Split(1)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6</w:t>
              </w:r>
            </w:hyperlink>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votes from the holders of a majority of the voting power of the shares present in person or represented by proxy at the meeting and entitled to vote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or ABSTAIN</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7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54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14"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60" w:type="dxa"/>
            <w:tcBorders>
              <w:bottom w:val="single" w:sz="8" w:space="0" w:color="000000"/>
            </w:tcBorders>
            <w:tcMar>
              <w:bottom w:w="28" w:type="dxa"/>
            </w:tcMar>
            <w:vAlign w:val="center"/>
          </w:tcPr>
          <w:p>
            <w:pPr>
              <w:pStyle w:val="TableContents"/>
              <w:bidi w:val="0"/>
              <w:spacing w:before="0" w:after="0"/>
              <w:jc w:val="left"/>
              <w:rPr/>
            </w:pPr>
            <w:r>
              <w:rPr/>
              <w:t>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This proposal is considered to be a “routine” matter under NYSE rules. Accordingly, if you hold your shares in street name and do not provide voting instructions to your broker, bank or other agent that holds your shares, your broker, bank or other agent has discretionary authority to vote your shares on this proposal.</w:t>
            </w:r>
          </w:p>
        </w:tc>
      </w:tr>
    </w:tbl>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Broadridge Financial Solutions, Inc. will tabulate the votes and act as inspectors of election.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voting power of the outstanding shares entitled to vote at the Special Meeting are present in person or represented by proxy. On October 5, 2026, there were 27,439,328 shares of common stock, outstanding and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be counted towards the quorum requirement. If there is no quorum, either the chairperson of the Special Meeting or the holders of a majority of the voting power of the shares present at the Special Meeting or represented by proxy and entitled to vote may adjourn the Special Meeting to another date.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ten days ending the day prior to the Special Meeting, a list of our record stockholders as of the close of business on the record date will be available for examination by any stockholder of record for a legally valid purpose at our corporate headquarters during regular business hours. To access the list of record stockholders beginning October 13, 2026, and until the meeting, stockholders should email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www.proxyvote.com.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2992x2_def14a_104-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NO. 1 – APPROVAL OF A SERIES OF ALTERNATE AMENDMENTS TO OUR AMENDED AND RESTATED CERTIFICATE OF INCORPORATION TO EFFECT A REVERSE STOCK SPLIT OF OUR COMMON STOCK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Regarding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and deemed advisable, and is recommending that our stockholders approve, a series of alternate amendments to the Company’s Amended and Restated Certificate of Incorporation, each of which would: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effect a reverse stock split (the “Reverse Stock Split”) of all of the outstanding shares of our common stock at a ratio of between 1-for-10 and 1-for-500, inclusive.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effecting a Reverse Stock Split would reduce the number of outstanding shares of our common stock, but will have no impact on our current number of total authorized shares. The form of the proposed amendment to our Amended and Restated Certificate of Incorporation to effect the Reverse Stock Split is attached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to this proxy statement. However, the text of the proposed amendment is subject to revision to include such changes as may be required by the Secretary of State of the State of Delaware and as the Board deems necessary or advisable to effect the proposed amendment of our Amended and Restated Certificate of Incorporation.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stockholders are being asked to approve these proposed amendments pursuant to this Proposal No. 1, and to grant authorization to our Board to determine, in its discretion, whether to implement a Reverse Stock Split, including its specific timing and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By approving this proposal, stockholders will (i) approve a series of amendments to our Amended and Restated Certificate of Incorporation pursuant to which any whole number of outstanding shares between and including ten (10) and five hundred (500) would be combined into one share of our common stock and (ii) authorize the Board to file only one such amendment, as determined by the Board in the manner described herein and to abandon each amendment not selected by the Board. The Board believes that stockholder approval granting this discretion, rather than approval of a specified stock split ratio, provides the Board with maximum flexibility to react to then-current market conditions and, therefore, is in the best interests of the Company and its stockholders. The Board may effect only one Reverse Stock Split as a result of this authorization. The Board may also elect not to execute any Reverse Stock Split. The Board’s decision as to whether and when to effect the Reverse Stock Split and determining the Reverse Stock Split ratio will be based on a number of factors, including market conditions, existing and expected trading prices and volumes for our common stock, and the continued listing requirements of The Nasdaq Capital Market. Although our stockholders may approve the Reverse Stock Split, we will not effect the Reverse Stock Split if our Board does not deem it to be in the best interests of the Company and its stockholders. The Reverse Stock Split will take effect, if at all, after it is approved by a majority of the total votes cast on this proposal, is deemed by the Board to be in the best interests of the Company and its stockholders, and after filing the amendment to our Amended and Restated Certificate of Incorporation with the Secretary of State of the State of Delaware.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approval for the Reverse Stock Split is obtained, and the Board does not execute the Reverse Stock Split within the 12-month period following the Special Meeting, further stockholder approval would be required prior to implementing any reverse stock split.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Capital Market tier of Nasdaq. In order for our common stock to continue to be listed on The Nasdaq Capital Market, we must satisfy various listing maintenance standards established by Nasdaq. If we are unable to meet the applicable listing requirements, our common stock will be subject to delisting.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previously reported, on June 12, 2026, we received a letter from the Listing Qualifications Department of Nasdaq (the “Staff”) notifying us that the listing of our common stock was not in compliance with Nasdaq Listing Rule 5550(a)(2) (the “Minimum Bid Price Requirement”) for continued listing on the Nasdaq Capital Market, as the minimum bid price of the Company’s common stock was less than $1.00 per share for the previous 30 consecutive business days. Additionally, as previously reported on August 13, 2026, we received a deficiency letter from the Staff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2992x2_def14a_104-prop1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notifying us that we are not in compliance with the minimum stockholders’ equity requirement for continued listing on the Nasdaq Capital Market. Nasdaq Listing Rule 5550(b)(1) requires companies listed on the Nasdaq Capital Market to maintain stockholders’ equity of at least $2,500,000 (the “Stockholders’ Equity Requirement”). In accordance with Nasdaq rules, we had a period of 45 calendar days, or until September 28, 2026, to submit a plan to regain compliance with the Stockholders’ Equity Requirement. On September 28, 2026, we submitted a plan to regain compliance to Nasdaq. If the plan is accepted, Nasdaq may grant an extension of up to 180 calendar days to regain compliance with the Stockholders’ Equity Requirement. To regain compliance with the Minimum Bid Price Requirement and Stockholders’ Equity Requirement, respectively, our minimum bid price of listed securities must close at $1.00 per share or more for a minimum of 10 consecutive business days and we must report stockholders’ equity of at least $2,500,000. As of the date of this proxy statement, we have not regained compliance with the Minimum Bid Price Requirement or the Stockholders’ Equity Requirement. In addition, as of the date of this proxy statement we do not have a market value of listed securities of $35 million, or net income from continued operations of $500,000 in the most recently completed fiscal year or in two of the last three most recently completed fiscal years, the alternative quantitative standards for continued listing on the Nasdaq Capital Market. Accordingly, after the initial grace period for the Minimum Bid Price Requirement expires on December 9, 2026, we expect that Nasdaq will provide notice that our common stock will be subject to delisting. We will have the right to appeal a determination to delist our common stock, which we intend to do, and our common stock will remain listed on the Nasdaq Capital Market until the completion of the appeal process, during which time we may regain compliance with the Minimum Bid Price Requirement if our minimum bid price of listed securities closes at $1.00 per share or more for a minimum of 10 consecutive business days and with the Stockholders’ Equity Requirement if we report stockholders’ equity of at least $2,500,000.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Accordingly, the Board has adopted resolutions, subject to approval by our stockholders, to amend our Amended and Restated Certificate of Incorporation to effect the Reverse Stock Split of our common stock at a ratio in the range of one-for-ten to one-for-five hundred with such ratio to be determined in the discretion of the Board. These resolutions were approved as a means of regaining compliance with the Minimum Bid Price Requirement.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Capital Market and generate greater investor interest in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maintaining the listing of our common stock on The Nasdaq Capital Market is in the best interests of the Company and its stockholders. If our common stock were to be delisted from The Nasdaq Capital Market, the Board believes that such delisting could adversely affect the market liquidity of our common stock, decrease the market price of our common stock, adversely affect our ability to obtain financing for the continuation of our operations and exploration of strategic alternatives to enhance stockholder value, and result in the loss of confidence in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by our stockholders and implemented by the Board, we expect to satisfy the $1.00 per share Minimum Bid Price Requirement for continued listing on the Nasdaq Capital Market. However, despite the approval of the Reverse Stock Split by our stockholders and implementation by the Board, there can be no assurance that the Reverse Stock Split will result in our meeting and maintaining the $1.00 Minimum Bid Price Requirement. The effect of the Reverse Stock Split upon the market price for our common stock cannot be predicted, and the history of similar reverse stock splits for companies in like circumstances is varied. The market price per share of our common stock after the Reverse Stock Split may not rise in proportion to the reduction in the number of shares of our common stock outstanding resulting from the Reverse Stock Split due to, among other reasons, our performance and other factors that may be unrelated to the number of shares outstanding. Our common stock could also be delisted from The Nasdaq Capital Market due to our failure to comply with one or more other Nasdaq listing rules.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Criteria to be Used for Decision to Implement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approval for the Reverse Stock Split is obtained, our Board will be authorized to proceed with the Reverse Stock Split at any time during the 12-month period following the Special Meeting. If we regain compliance with the Minimum Bid Price Requirement prior to December 9, 2026, our Board may use its discretion to not carry out or to delay in carrying out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our Board delays its decision to execute the Reverse Stock Split because the Company has regained compliance with the Minimum Bid Price Requirement, if our common stock price again falls below $1.00 for 30-days during the 12-month period following the Special Meeting, and therefore again fails to comply with the applicable Nasdaq Capital Market minimum listing requirements, then the Reverse Stock Split may be executed as a cure for this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2992x2_def14a_104-prop1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Reverse Stock Split on Our Outstanding Common Stock and Authorized but Unissued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the effects of a 1-for-10, 1-for-100, 1-for-200, 1-for-300, 1-for-400 and 1-for-500 Reverse Stock Split on our outstanding common stock as of September 30, 2026, without giving effect to any adjustments for fractional shares and information regarding our authorized shares based on the corresponding proportionate Authorized Shares Reduction: </w:t>
      </w:r>
    </w:p>
    <w:tbl>
      <w:tblPr>
        <w:tblW w:w="10205" w:type="dxa"/>
        <w:jc w:val="left"/>
        <w:tblInd w:w="0" w:type="dxa"/>
        <w:tblLayout w:type="fixed"/>
        <w:tblCellMar>
          <w:top w:w="0" w:type="dxa"/>
          <w:left w:w="0" w:type="dxa"/>
          <w:bottom w:w="0" w:type="dxa"/>
          <w:right w:w="0" w:type="dxa"/>
        </w:tblCellMar>
      </w:tblPr>
      <w:tblGrid>
        <w:gridCol w:w="2600"/>
        <w:gridCol w:w="140"/>
        <w:gridCol w:w="140"/>
        <w:gridCol w:w="1055"/>
        <w:gridCol w:w="140"/>
        <w:gridCol w:w="140"/>
        <w:gridCol w:w="950"/>
        <w:gridCol w:w="140"/>
        <w:gridCol w:w="140"/>
        <w:gridCol w:w="845"/>
        <w:gridCol w:w="140"/>
        <w:gridCol w:w="140"/>
        <w:gridCol w:w="695"/>
        <w:gridCol w:w="140"/>
        <w:gridCol w:w="140"/>
        <w:gridCol w:w="695"/>
        <w:gridCol w:w="140"/>
        <w:gridCol w:w="140"/>
        <w:gridCol w:w="695"/>
        <w:gridCol w:w="140"/>
        <w:gridCol w:w="140"/>
        <w:gridCol w:w="710"/>
      </w:tblGrid>
      <w:tr>
        <w:trPr/>
        <w:tc>
          <w:tcPr>
            <w:tcW w:w="2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6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Reverse Stock Split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100:1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200:1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300:1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400:1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 xml:space="preserve">500:1 </w:t>
            </w:r>
          </w:p>
        </w:tc>
      </w:tr>
      <w:tr>
        <w:trPr/>
        <w:tc>
          <w:tcPr>
            <w:tcW w:w="260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26,489,328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2,648,933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264,893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132,447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52,979 </w:t>
            </w:r>
          </w:p>
        </w:tc>
      </w:tr>
      <w:tr>
        <w:trPr/>
        <w:tc>
          <w:tcPr>
            <w:tcW w:w="2600"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Reserved for Future Issuance(1)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40,436,954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4,043,695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404,370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134,790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101,092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80,874 </w:t>
            </w:r>
          </w:p>
        </w:tc>
      </w:tr>
      <w:tr>
        <w:trPr/>
        <w:tc>
          <w:tcPr>
            <w:tcW w:w="260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Authorized but Unissued and Unreserved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143,073,718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14,307,372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1,430,737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715,369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476,912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357,684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286,147</w:t>
            </w:r>
          </w:p>
        </w:tc>
      </w:tr>
      <w:tr>
        <w:trPr/>
        <w:tc>
          <w:tcPr>
            <w:tcW w:w="26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Prior to giving effect to the Reverse Stock Split, consists of (i) 8,190,838 stock options outstanding; (ii) 2,963,612 pre-funded warrants outstanding; (iii) 21,054,613 warrants outstanding; (iv) 3,144,916 shares reserved for the conversion of $20.0 million of 13% senior secured notes (the “Convertible Securities Notes”) into shares of the Company’s common stock at a conversion price of $10.00 per share; (v) 2,127,237 shares reserved for future issuance under the Company’s 2024 Equity Incentive Plan; (vi) 2,514,445 shares reserved for future issuance under the Company’s 2024 Key Employee Equity Incentive Plan; and (vi) 441,293 shares reserved for future issuance under the Company’s 2024 Employee Stock Purchase Plan.</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The common stock issued pursuant to the Reverse Stock Split will remain fully paid and non-assessable. The Reverse Stock Split is not intended as, and will not have the effect of, a “going private transaction” covered by Rule 13e-3 under the Securities Exchange Act of 1934. We will continue to be subject to the periodic reporting requirements of the Securities Exchange Act of 1934.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effects of a Reverse Stock Split will be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ten to five hundred shares of our common stock owned by a stockholder (depending on the Reverse Stock Split ratio selected by the Board), will be combined into one new share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then reserved for issuance under our equity compensation plans will be reduced proportionately based upon the Reverse Stock Split ratio selected by the Board (as described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authorized capital stock currently consists of 210,000,000 shares of common stock, par value $0.0001 per share, and 20,000,000 shares of preferred stock, par value $0.0001 per share. Although the Reverse Stock Split will not affect the rights of stockholders or any stockholder’s proportionate ownership interest in the Company (except as a result of the treatment of fractional shares), the number of authorized shares of our common stock and preferred stock will not be reduced. If the Reverse Stock Split is implemented, the number of authorized shares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2992x2_def14a_104-prop1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stock would remain at 210,000,000 shares, thereby effectively increasing the number of shares of common stock available for future issuance. The total number of authorized shares of preferred stock would remain at 20,000,000 shares. As illustrated by the table above, the Reverse Stock Split would increase the ability of our Board to issue authorized and unissued shares in the future without further stockholder action. The issuance in the future of such additional authorized shares may have the effect of diluting the earnings or loss per share and book value per share, as well as the ownership and voting rights of the holders of our then-outstanding shares of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on Our Outstanding Equity Awards and Future Awards under Our Incentive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2024 Equity Incentive Plan, 2024 Key Employee Equity Incentive Plan and 2024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September 30, 2026, there were outstanding stock options to purchase an aggregate of 8,190,838 shares of common stock, at a weighted average exercise price of $0.974 per share. Assuming, for example, a 1-for-250 Reverse Stock Split, the number of shares covered by outstanding options will be reduced to one-250th the number currently issuable, and the exercise price of outstanding options will be increased by 250 times the current exercise price, rounded up to the nearest cent.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No. 1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No. 1.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Payment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the common stock on The Nasdaq Capital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October 5, 2026, there were 51 stockholders of record of our common stock, which number of record holders includes those holders who are deemed record holders for purposes of the Exchange Act. Upon stockholder approval of this Proposal No.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fifty shares of common stock immediately prior to the Reverse Stock Split and the Reverse Stock Split ratio selected by the Board was 1:100, then such stockholder would cease to be a stockholder of the Company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2992x2_def14a_104-prop1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and Beneficial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1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this Proposal No.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 DESTROY ANY PRE-SPLIT STOCK CERTIFICATE AND SHOULD NOT SUBMIT ANY CERTIFICATES UNTIL THEY ARE REQUESTED TO DO SO.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would result in an increased proportion of unissued authorized shares to issued shares, which could,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Disadvantages of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though the Board believes that the potential advantages of the Reverse Stock Split outweigh any disadvantages that might result, the following are some of the possible disadvantages of a Reverse Stock Split: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reduced number of shares of our common stock resulting from a Reverse Stock Split could adversely affect the liquidity of our common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2992x2_def14a_104-prop1_pg6"/>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could result in a significant devaluation of our market capitalization and the trading price of our common stock, on an actual or an as-adjusted basis, based on the experience of other companies that have effected reverse stock splits.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Stock Split may leave certain stockholders with one or more “odd lots,” which are stock holdings in amounts of less than 100 shares of our common stock. These odd lots may be more difficult to sell than shares of common stock in even multiples of 100. Additionally, any reduction in brokerage commissions resulting from the Reverse Stock Split may be offset, in whole or in part, by increased brokerage commissions required to be paid by stockholders selling odd lots created by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market price per new share of our common stock after the Reverse Stock Split will increase in proportion to the reduction in the number of old shares of our common stock outstanding before the Reverse Stock Split. For example, based on the closing market price of our common stock on October 7, 2026 of $0.1284 per share of common stock, if the stockholders approve this proposal and the Board selects and implements a Reverse Stock Split ratio of 1-for-100, there can be no assurance that the post-split market price of our common stock would be $12.84 per share or greater.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and the market price of our common stock declines, the percentage decline may be greater than would occur in the absence of a Reverse Stock Split. The market price of our common stock will, however, also be based on our performance and other factors, which are unrelated to the number of shares outstanding.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 for Effecting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the Reverse Stock Split, the Reverse Stock Split would become effective at such time as it is deemed by our Board to be in the best interests of the Company and its stockholders and we file the amendment to our Amended and Restated Certificate of Incorporation with the Secretary of State of Delaware. Even if the Reverse Stock Split is approved by our stockholders, the Board has discretion not to carry out, or to delay in carrying out, the Reverse Stock Split. Upon the filing of the amendment, all of our old common stock will be converted into new common stock as set forth in the amendment. As soon as practicable after the effective time of the Reverse Stock Split, stockholders will be notified that the Reverse Stock Split has been effected.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our registered holders hold their shares electronically in book-entry form with our transfer agent. These stockholders do not have stock certificates evidencing their ownership of the common stock. They are, however, provided with a statement reflecting the number of shares registered in their accounts. If you hold registered shares in book-entry form with our transfer agent, no action needs to be taken to receive shares of common stock following the Reverse Stock Split. If a stockholder is entitled to shares following the Reverse Stock Split, a transaction statement will automatically be sent to the stockholder’s address of record indicating the number of shares of common stock held following the Reverse Stock Split.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Dissenters’ or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our stockholders are not entitled to dissenters’ or appraisal rights with respect to our proposed amendment to our Amended and Restated Certificate of Incorporation to effect the Reverse Stock Split and we will not independently provide our stockholders with any such right.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Material U.S. Federal Income Tax Consequences of the Reverse Stock Split to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2992x2_def14a_104-prop1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Code”), Treasury Regulations promulgated thereunder, administrative rulings and pronouncements of the Internal Revenue Service (“IRS”), and judicial decisions, each as in effect as of the date of this proxy statement and all of which are subject to change or differing interpretations. Any such change or differing interpretation, which may or may not be retroactive, could alter the tax consequences described herein. This discussion is included for general informational purposes only and does not purport to consider all aspects of U.S. federal income taxation that might be relevant to a U.S. Holder. This summary, except for the discussion under “Information Reporting and Backup Withholding” below, is limited to stockholders who are U.S. Holders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below only addresses stockholders that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that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stock purchase plans or other employee plans or compensatory arrangements, stockholders the functional currency of which is not the U.S. dollar, partnerships or other entities classified as partnerships or disregarded entities for U.S. federal income tax purposes (or persons holding our common stock through such entities), stockholders that hold their stock as part of an integrated investment (including a “straddle,” a pledge against currency risk, a hedge or other “constructive” sale or “conversion” transaction) comprised of shares of our common stock and one or more other positions, stockholders that own or have owned, actually or constructively, more than 5% of our common stock,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any alternative minimum tax, the Medicare contribution tax on net investment income, the special tax accounting rules under Section 451(b) of the Code, the tax consequences of transactions effectuated prior or subsequent to, or concurrently with, the Reverse Stock Split (whether or not any such transactions are in connection with the Reverse Stock Split), or the tax consequences to holders of options, warrants or other rights to acquire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means a beneficial owner of shares of our common stock that is any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or treated as a U.S. citizen or resident for U.S. federal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Treasury Regulations to be treated as a United States person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therein should consult their tax advisors regarding the tax consequences to them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certain material U.S. federal income tax consequences of the Reverse Stock Split is not binding with the IRS or the courts. We have not sought, and do not intend to seek, any tax opinion from counsel or ruling from the IRS with respect to any of the statements made in this summary. There can be no assurance that the IRS will not take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2992x2_def14a_104-prop1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STOCKHOLDERS SHOULD CONSULT THEIR TAX ADVISORS WITH RESPECT TO THE APPLICATION OF THE U.S. FEDERAL INCOME TAX LAWS TO THEIR PARTICULAR SITUATIONS AS WELL AS ANY TAX CONSEQUENCES OF THE REVERSE STOCK SPLIT ARISING UNDER U.S. FEDERAL NON-INCOME TAX LAWS, THE LAWS OF ANY STATE, LOCAL OR NON-U.S. TAXING JURISDICTION OR ANY APPLICABLE INCOME TAX TREATY.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treat the Reverse Stock Split as a “recapitalization” for U.S. federal income tax purposes, and any cash in lieu of fractional will be solely to spare us the expense and inconvenience of issuing fractional shares and will not represent separately bargained-for consideration paid to a U.S. Holder. A U.S. Holder that receives solely a reduced number of shares of common stock generally will not recognize gain or loss in the Reverse Stock Split. A U.S. Holder’s aggregate tax basis in the reduced number of shares of common stock received pursuant to the Reverse Stock Split should equal the U.S. Holder’s aggregate tax basis in its pre-Reverse Stock Split shares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such as the Reverse Stock Split. U.S. Holders should consult their tax advisors as to application of the foregoing rules where shares of common stock were acquired at different times or at different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that receives both a reduced number of shares of common stock and cash in lieu of fractional shares as a result of the Reverse Stock Split will be treated as having received the fractional shares pursuant to the Reverse Stock Split and then as having exchanged the fractional shares for cash in a redemption by the Company, and generally should recognize capital gain or loss equal to the difference, if any, between the amount of cash received in lieu of a fractional share and its adjusted basis allocable to the fractional share. Such gain or loss will be long-term capital gain or loss if the pre-Reverse Stock Split shares were held for more than one year at the time of the Reverse Stock Split. Long-term capital gains of individuals are generally subject to tax at reduced rates. There are limitations on the deductibility of capital losses. A U.S. Holder’s aggregate tax basis in the reduced number of shares of common stock, if any, generally should equal the U.S. Holder’s aggregate tax basis in its pre-Reverse Stock Split shares of common stock decreased by the basis allocated to the fractional share for which such U.S. Holder received cash, and the holding period of the reduced number of shares of common stock received generally should include the holding period of the pre-Reverse Stock Split shares of common stock exchanged.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gain or loss will be recognized by the Company as a result of the proposed Reverse Stock Split.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Information Reporting and Backup Withholding</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Backup withholding is not an additional tax. Any amounts withheld under the backup withholding rules generally will be allowed as a refund or credit against a U.S. Holder’s U.S. federal income tax liability, provided the required information is timely and properly furnished to the IRS. Holders of common stock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the applicability and effect of any U.S. federal, state, local and non-U.S. tax laws, and the impact of any potential change in tax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2992x2_def14a_104-prop1_pg9"/>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a majority of the voting power of the shares present in person or represented by proxy at the meeting and entitled to vote on the proposal will be required to approve the amendment of our Amended and Restated Certificate of Incorporation to effect a Reverse Stock Split of our common stock at a ratio in the range of one-for-ten to one-for-five hundred, such ratio to be determined in the discretion of our Board. Abstentions are not treated as votes cast and, therefore, will have no effect.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w:t>
      </w:r>
      <w:r>
        <w:rPr>
          <w:rFonts w:ascii="Times New Roman;Times;serif" w:hAnsi="Times New Roman;Times;serif"/>
          <w:b/>
          <w:color w:val="000000"/>
          <w:sz w:val="20"/>
          <w:u w:val="single"/>
        </w:rPr>
        <w:t>FOR</w:t>
      </w:r>
      <w:r>
        <w:rPr>
          <w:rFonts w:ascii="Times New Roman;Times;serif" w:hAnsi="Times New Roman;Times;serif"/>
          <w:b/>
          <w:color w:val="000000"/>
          <w:sz w:val="20"/>
        </w:rPr>
        <w:t>” PROPOSAL NO. 1</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2992x2_def14a_105-security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SO"/>
      <w:bookmarkEnd w:id="24"/>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known to the Company regarding the actual beneficial ownership of Common Stock as of September 30, 2026, by: </w:t>
      </w:r>
    </w:p>
    <w:tbl>
      <w:tblPr>
        <w:tblW w:w="3325" w:type="dxa"/>
        <w:jc w:val="left"/>
        <w:tblInd w:w="0" w:type="dxa"/>
        <w:tblLayout w:type="fixed"/>
        <w:tblCellMar>
          <w:top w:w="0" w:type="dxa"/>
          <w:left w:w="0" w:type="dxa"/>
          <w:bottom w:w="0" w:type="dxa"/>
          <w:right w:w="0" w:type="dxa"/>
        </w:tblCellMar>
      </w:tblPr>
      <w:tblGrid>
        <w:gridCol w:w="110"/>
        <w:gridCol w:w="3215"/>
      </w:tblGrid>
      <w:tr>
        <w:trPr/>
        <w:tc>
          <w:tcPr>
            <w:tcW w:w="110" w:type="dxa"/>
            <w:tcBorders/>
            <w:vAlign w:val="center"/>
          </w:tcPr>
          <w:p>
            <w:pPr>
              <w:pStyle w:val="TableContents"/>
              <w:bidi w:val="0"/>
              <w:spacing w:before="0" w:after="0"/>
              <w:jc w:val="left"/>
              <w:rPr>
                <w:color w:val="000000"/>
              </w:rPr>
            </w:pPr>
            <w:r>
              <w:rPr>
                <w:color w:val="000000"/>
              </w:rPr>
              <w:t>•</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and nominee for director; </w:t>
            </w:r>
          </w:p>
        </w:tc>
      </w:tr>
    </w:tbl>
    <w:tbl>
      <w:tblPr>
        <w:tblW w:w="4165" w:type="dxa"/>
        <w:jc w:val="left"/>
        <w:tblInd w:w="0" w:type="dxa"/>
        <w:tblLayout w:type="fixed"/>
        <w:tblCellMar>
          <w:top w:w="0" w:type="dxa"/>
          <w:left w:w="0" w:type="dxa"/>
          <w:bottom w:w="0" w:type="dxa"/>
          <w:right w:w="0" w:type="dxa"/>
        </w:tblCellMar>
      </w:tblPr>
      <w:tblGrid>
        <w:gridCol w:w="110"/>
        <w:gridCol w:w="4055"/>
      </w:tblGrid>
      <w:tr>
        <w:trPr/>
        <w:tc>
          <w:tcPr>
            <w:tcW w:w="110" w:type="dxa"/>
            <w:tcBorders/>
            <w:vAlign w:val="center"/>
          </w:tcPr>
          <w:p>
            <w:pPr>
              <w:pStyle w:val="TableContents"/>
              <w:bidi w:val="0"/>
              <w:spacing w:before="0" w:after="0"/>
              <w:jc w:val="left"/>
              <w:rPr>
                <w:color w:val="000000"/>
              </w:rPr>
            </w:pPr>
            <w:r>
              <w:rPr>
                <w:color w:val="000000"/>
              </w:rPr>
              <w:t>•</w:t>
            </w:r>
          </w:p>
        </w:tc>
        <w:tc>
          <w:tcPr>
            <w:tcW w:w="4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the Company’s named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known by the Company to be the beneficial owner of more than 5% of the Company’s outstanding shares Common Stock; and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current executive officers and directors of the Company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SEC rules, which generally provides that a person has beneficial ownership of a security if he, she or it possesses sole or shared voting or investment power with respect to the security. Under SEC rules, beneficial ownership includes securities that the individual or entity has the right to acquire, such as through exercise of stock options or warrants, within 60 days and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percentages set forth in the table below are based on 26,489,328 shares of Common Stock issued and outstanding as of September 30, 2026, adjusted as required by rules promulgated by the SEC. Unless otherwise noted in the footnotes to the following table, and subject to applicable community property laws, the persons and entities named in the table have sole voting and investment power with respect to their beneficially owned Common Stock. </w:t>
      </w:r>
    </w:p>
    <w:tbl>
      <w:tblPr>
        <w:tblW w:w="8300" w:type="dxa"/>
        <w:jc w:val="left"/>
        <w:tblInd w:w="0" w:type="dxa"/>
        <w:tblLayout w:type="fixed"/>
        <w:tblCellMar>
          <w:top w:w="0" w:type="dxa"/>
          <w:left w:w="0" w:type="dxa"/>
          <w:bottom w:w="0" w:type="dxa"/>
          <w:right w:w="0" w:type="dxa"/>
        </w:tblCellMar>
      </w:tblPr>
      <w:tblGrid>
        <w:gridCol w:w="6245"/>
        <w:gridCol w:w="140"/>
        <w:gridCol w:w="140"/>
        <w:gridCol w:w="950"/>
        <w:gridCol w:w="140"/>
        <w:gridCol w:w="140"/>
        <w:gridCol w:w="545"/>
      </w:tblGrid>
      <w:tr>
        <w:trPr/>
        <w:tc>
          <w:tcPr>
            <w:tcW w:w="6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624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Current Executive Officers and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L. Cox(2)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480,698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Deborah Kaster(3)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436,009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Sandra Gardiner(4)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Keyvan Mirsaeedi-Farahani(5)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92,770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Orly Mishan(6)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Timothy Moran(7)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Salmon(8)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Todd Usen(9)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1,079,670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3.95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(eight individuals)(10)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2,553,313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8.87 </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Former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Hakon Bergheim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24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Five Percent 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r>
      <w:tr>
        <w:trPr/>
        <w:tc>
          <w:tcPr>
            <w:tcW w:w="62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Perceptive Advisors LLC(11)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15,321,655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47.98 </w:t>
            </w:r>
          </w:p>
        </w:tc>
      </w:tr>
      <w:tr>
        <w:trPr/>
        <w:tc>
          <w:tcPr>
            <w:tcW w:w="624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Alyeska Master Fund, L.P.(12)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2,583,733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9.26</w:t>
            </w:r>
          </w:p>
        </w:tc>
      </w:tr>
      <w:tr>
        <w:trPr/>
        <w:tc>
          <w:tcPr>
            <w:tcW w:w="62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The business address of each beneficial owner unless otherwise stated is 26051 Merit Cir #102, Laguna Hills, CA 92653.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36,698 shares of common stock and (b) 444,000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15,000 shares of common stock and (b) 421,009 shares of common stock issuable upon exercise of options exercisable within 60 days of September 30, 2026.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80,000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12,770 shares of common stock and (b) 80,000 shares of common stock issuable upon exercise of options exercisable within 60 days of September 30, 2026. </w:t>
            </w:r>
          </w:p>
        </w:tc>
      </w:tr>
    </w:tbl>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266,666 shares of common stock issuable upon exercise of options exercisable within 60 days of September 30, 2026. </w:t>
            </w:r>
          </w:p>
        </w:tc>
      </w:tr>
    </w:tbl>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80,000 shares of common stock issuable upon exercise of options exercisable within 60 days of September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2992x2_def14a_105-security_pg2"/>
        <w:bookmarkEnd w:id="25"/>
        <w:r>
          <w:rPr>
            <w:rStyle w:val="InternetLink"/>
            <w:rFonts w:ascii="Times New Roman;Times;Serif" w:hAnsi="Times New Roman;Times;Serif"/>
            <w:b/>
            <w:caps w:val="false"/>
            <w:smallCaps w:val="false"/>
            <w:color w:val="000000"/>
            <w:sz w:val="16"/>
          </w:rPr>
          <w:t>TABLE OF CONTENTS</w:t>
        </w:r>
      </w:hyperlink>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37,500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207,315 shares of common stock and (b) 872,355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(a) 271,783 shares of common stock and (b) 2,281,530 shares of common stock issuable upon exercise of options exercisable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9,675,684 shares of Common Stock directly held by Perceptive Life Sciences Master Fund, Ltd. (the “Master Fund”), (ii) warrants directly held by the Master Fund exercisable into 5,445,069 shares of Common Stock, and (iii) 200,902 shares of Common Stock directly held by C2 Life Sciences LLC (“C2”). Such amounts do not include shares of common stock issuable upon exercise of pre-funded warrants and warrants that may not be exercised if the aggregate number of shares of common stock beneficially owned by entities affiliated with Master Fund would exceed 9.99% of the total number of shares of our common stock then issued and outstanding after giving effect to such exercise. Perceptive Advisors LLC (the “Advisor”) serves as the investment manager of the Master Fund and C2. Joseph Edelman serves as the managing member of the Advisor. Accordingly, the Advisor and Mr. Edelman have voting and investment discretion with respect to, and may be deemed to beneficially own, the shares of Common Stock and warrants held of record by the Master Fund and C2. The Advisor does not directly hold any shares of Common Stock or warrants. The principal business address of each of these persons and entities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1,159,615 shares of Common Stock and (ii) milestone warrants exercisable into shares of Common Stock, in each case held by Alyeska Master Fund, L.P.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2992x2_def14a_106-info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OI"/>
      <w:bookmarkEnd w:id="27"/>
      <w:r>
        <w:rPr>
          <w:rFonts w:ascii="Times New Roman;Times;serif" w:hAnsi="Times New Roman;Times;serif"/>
          <w:b/>
          <w:color w:val="000000"/>
          <w:sz w:val="20"/>
        </w:rPr>
        <w:t>OTHER INFORMATION FOR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Stockholder Proposals for the 2027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of the Company may submit proposals that they believe should be voted upon at the Company’s Annual Meeting of Stockholders or nominate persons for election to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no later than December 31, 2026, to 26051 Merit Circle, Suite 102, Laguna Hills, CA, 92653, in addition to complying with certain rules and regulations promulgated by the SEC. The submission of a stockholder proposal does not guarantee that it will be included in the Company’s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the Corporate Secretary at the principal executive offices of the Company not later than the close of business on the 90th day nor earlier than the close of business on the 120th day before the first anniversary of the 2027 Annual Meeting of Stockholders, unless the date of the 2027 Annual Meeting of Stockholders is advanced by more than 25 days or delayed by more than 25 days from the anniversary of the 2026 Annual Meeting of Stockholders. For the Company’s 2027 Annual Meeting of Stockholders, this means that any such proposal or nomination must be submitted no earlier than February 16, 2027 and no later than March 18, 2027. If the date of the 2027 Annual Meeting of Stockholders is advanced by more than 25 days or delayed by more than 25 days from the anniversary of the 2026 Annual Meeting of Stockholders, the stockholder must submit any such proposal or nomination no earlier than the close of business on the 120th day prior to the 2027 Annual Meeting of Stockholders and not later than the 10th day following the day on which public announcement of the date of the 2027 Annual Meeting of Stockholders is first made by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Adagio’s nominees must include in their notice the information required by Rule 14a-19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Notices of any proposals or nominations for the Company’s 2027 Annual Meeting of Stockholders should be sent to the Corporate Secretary of the Company at 26051 Merit Circle, Suite 102, Laguna Hills, CA, 92653. A courtesy copy should also be submitted by email to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w:t>
      </w:r>
    </w:p>
    <w:p>
      <w:pPr>
        <w:pStyle w:val="TextBody"/>
        <w:bidi w:val="0"/>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Filings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all of our filings that are made electronically with the SEC, including Forms 10-K, 10-Q and 8-K. To access these filings, go to investors section of our website at investors.adagiomedical.com and click on “SEC Filings” under the “FINANCIAL INFORMATION” heading. Copies of our Annual Report on Form 10-K for the year ended December 31, 2025, including financial statements and schedules thereto, filed with the SEC, are also available without charge to stockholders by contacting Adagio Medical Holdings, Inc. by mail at 26051 Merit Circle, Suite 102, Laguna Hills, CA, 92653, by telephone at (949) 348-1188, or by email at </w:t>
      </w:r>
      <w:r>
        <w:rPr>
          <w:rFonts w:ascii="Times New Roman;Times;serif" w:hAnsi="Times New Roman;Times;serif"/>
          <w:i/>
          <w:color w:val="000000"/>
          <w:sz w:val="20"/>
        </w:rPr>
        <w:t>ir@adagiomedical.com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2992x2_def14a_107-other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 </w:t>
      </w:r>
    </w:p>
    <w:tbl>
      <w:tblPr>
        <w:tblW w:w="4580" w:type="dxa"/>
        <w:jc w:val="left"/>
        <w:tblInd w:w="0" w:type="dxa"/>
        <w:tblLayout w:type="fixed"/>
        <w:tblCellMar>
          <w:top w:w="0" w:type="dxa"/>
          <w:left w:w="0" w:type="dxa"/>
          <w:bottom w:w="0" w:type="dxa"/>
          <w:right w:w="0" w:type="dxa"/>
        </w:tblCellMar>
      </w:tblPr>
      <w:tblGrid>
        <w:gridCol w:w="155"/>
        <w:gridCol w:w="140"/>
        <w:gridCol w:w="140"/>
        <w:gridCol w:w="41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Deborah Kaster</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Deborah Kaster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Chief Business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13,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2992x2_def14a_300-appa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APPA"/>
      <w:bookmarkEnd w:id="30"/>
      <w:r>
        <w:rPr>
          <w:rFonts w:ascii="Times New Roman;Times;serif" w:hAnsi="Times New Roman;Times;serif"/>
          <w:b/>
          <w:color w:val="000000"/>
          <w:sz w:val="20"/>
        </w:rPr>
        <w:t xml:space="preserve">APPENDIX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ADAGIO MEDICAL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Adagio Medical Holdings, Inc., a corporation organized and existing under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certifies: </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name of the corporation is Adagio Medical Holdings, Inc.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tc>
      </w:tr>
    </w:tbl>
    <w:tbl>
      <w:tblPr>
        <w:tblW w:w="8350" w:type="dxa"/>
        <w:jc w:val="left"/>
        <w:tblInd w:w="0" w:type="dxa"/>
        <w:tblLayout w:type="fixed"/>
        <w:tblCellMar>
          <w:top w:w="0" w:type="dxa"/>
          <w:left w:w="0" w:type="dxa"/>
          <w:bottom w:w="0" w:type="dxa"/>
          <w:right w:w="0" w:type="dxa"/>
        </w:tblCellMar>
      </w:tblPr>
      <w:tblGrid>
        <w:gridCol w:w="170"/>
        <w:gridCol w:w="818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Corporation’s original Certificate of Incorporation was filed on July 29, 2024 (the “</w:t>
            </w:r>
            <w:r>
              <w:rPr>
                <w:rFonts w:ascii="Times New Roman;Times;serif" w:hAnsi="Times New Roman;Times;serif"/>
                <w:color w:val="000000"/>
                <w:sz w:val="20"/>
                <w:u w:val="single"/>
              </w:rPr>
              <w:t>Certificate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Corporation’s Board of Directors and stockholders, acting in accordance with the provisions of Sections 141 and 242 of the DGCL, adopted resolutions approving the following amendments to the Certificate: </w:t>
            </w:r>
          </w:p>
        </w:tc>
      </w:tr>
    </w:tbl>
    <w:p>
      <w:pPr>
        <w:pStyle w:val="TextBody"/>
        <w:bidi w:val="0"/>
        <w:spacing w:lineRule="auto" w:line="240"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Effective as of the effective time of 5:00 p.m., Eastern Time, on [•], 2026 (the “</w:t>
      </w:r>
      <w:r>
        <w:rPr>
          <w:rFonts w:ascii="Times New Roman;Times;serif" w:hAnsi="Times New Roman;Times;serif"/>
          <w:color w:val="000000"/>
          <w:sz w:val="20"/>
          <w:u w:val="single"/>
        </w:rPr>
        <w:t>Effective Time</w:t>
      </w:r>
      <w:r>
        <w:rPr>
          <w:rFonts w:ascii="Times New Roman;Times;serif" w:hAnsi="Times New Roman;Times;serif"/>
          <w:color w:val="000000"/>
          <w:sz w:val="20"/>
        </w:rPr>
        <w:t>”), each [ten (10)] / [five hundred (500)]1 shares of the Corporation’s Common Stock, par value $0.0001 per share,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Times;serif" w:hAnsi="Times New Roman;Times;serif"/>
          <w:color w:val="000000"/>
          <w:sz w:val="20"/>
          <w:u w:val="single"/>
        </w:rPr>
        <w:t>Reverse Split</w:t>
      </w:r>
      <w:r>
        <w:rPr>
          <w:rFonts w:ascii="Times New Roman;Times;serif" w:hAnsi="Times New Roman;Times;serif"/>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tbl>
      <w:tblPr>
        <w:tblW w:w="6100" w:type="dxa"/>
        <w:jc w:val="left"/>
        <w:tblInd w:w="0" w:type="dxa"/>
        <w:tblLayout w:type="fixed"/>
        <w:tblCellMar>
          <w:top w:w="0" w:type="dxa"/>
          <w:left w:w="0" w:type="dxa"/>
          <w:bottom w:w="0" w:type="dxa"/>
          <w:right w:w="0" w:type="dxa"/>
        </w:tblCellMar>
      </w:tblPr>
      <w:tblGrid>
        <w:gridCol w:w="170"/>
        <w:gridCol w:w="593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other provisions of the Certificate will remain in full force and effect.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amendments approve the combination of any whole number of shares of the Company’s Common Stock between and including ten (10) and five hundred (500)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2992x2_def14a_300-appa_pg2"/>
        <w:bookmarkEnd w:id="31"/>
        <w:r>
          <w:rPr>
            <w:rStyle w:val="InternetLink"/>
            <w:rFonts w:ascii="Times New Roman;Times;Serif" w:hAnsi="Times New Roman;Times;Serif"/>
            <w:b/>
            <w:caps w:val="false"/>
            <w:smallCaps w:val="false"/>
            <w:color w:val="000000"/>
            <w:sz w:val="16"/>
          </w:rPr>
          <w:t>TABLE OF CONTENTS</w:t>
        </w:r>
      </w:hyperlink>
    </w:p>
    <w:tbl>
      <w:tblPr>
        <w:tblW w:w="9745" w:type="dxa"/>
        <w:jc w:val="left"/>
        <w:tblInd w:w="0" w:type="dxa"/>
        <w:tblLayout w:type="fixed"/>
        <w:tblCellMar>
          <w:top w:w="0" w:type="dxa"/>
          <w:left w:w="0" w:type="dxa"/>
          <w:bottom w:w="0" w:type="dxa"/>
          <w:right w:w="0" w:type="dxa"/>
        </w:tblCellMar>
      </w:tblPr>
      <w:tblGrid>
        <w:gridCol w:w="170"/>
        <w:gridCol w:w="95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Certificate of Amendment has been duly adopted in accordance with the provisions of Section 242 of the DGCL.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amendment to the Certificate of Incorporation shall be effective on and as of as of the effective time of 5:00 p.m., Eastern Time, on [•], 2026. </w:t>
            </w:r>
          </w:p>
        </w:tc>
      </w:tr>
    </w:tbl>
    <w:p>
      <w:pPr>
        <w:pStyle w:val="TextBody"/>
        <w:bidi w:val="0"/>
        <w:spacing w:before="170" w:after="283"/>
        <w:jc w:val="center"/>
        <w:rPr>
          <w:rFonts w:ascii="Times New Roman;Times;serif" w:hAnsi="Times New Roman;Times;serif"/>
          <w:b/>
          <w:smallCaps/>
          <w:color w:val="000000"/>
          <w:sz w:val="20"/>
        </w:rPr>
      </w:pPr>
      <w:r>
        <w:rPr>
          <w:rFonts w:ascii="Times New Roman;Times;serif" w:hAnsi="Times New Roman;Times;serif"/>
          <w:b/>
          <w:smallCaps/>
          <w:color w:val="000000"/>
          <w:sz w:val="20"/>
        </w:rPr>
        <w:t>[Signature Page Follows]</w:t>
      </w:r>
      <w:r>
        <w:rPr>
          <w:rFonts w:ascii="Times New Roman;Times;serif" w:hAnsi="Times New Roman;Times;serif"/>
          <w:b/>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2992x2_def14a_300-appa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 WITNESS WHEREOF</w:t>
      </w:r>
      <w:r>
        <w:rPr>
          <w:rFonts w:ascii="Times New Roman;Times;serif" w:hAnsi="Times New Roman;Times;serif"/>
          <w:b w:val="false"/>
          <w:color w:val="000000"/>
          <w:sz w:val="20"/>
        </w:rPr>
        <w:t xml:space="preserve">, this Certificate of Amendment to Amended and Restated Certificate of Incorporation has been executed by a duly authorized officer of the Corporation on [•], 2026. </w:t>
      </w:r>
    </w:p>
    <w:tbl>
      <w:tblPr>
        <w:tblW w:w="3482" w:type="dxa"/>
        <w:jc w:val="left"/>
        <w:tblInd w:w="0" w:type="dxa"/>
        <w:tblLayout w:type="fixed"/>
        <w:tblCellMar>
          <w:top w:w="0" w:type="dxa"/>
          <w:left w:w="0" w:type="dxa"/>
          <w:bottom w:w="0" w:type="dxa"/>
          <w:right w:w="0" w:type="dxa"/>
        </w:tblCellMar>
      </w:tblPr>
      <w:tblGrid>
        <w:gridCol w:w="155"/>
        <w:gridCol w:w="140"/>
        <w:gridCol w:w="140"/>
        <w:gridCol w:w="597"/>
        <w:gridCol w:w="153"/>
        <w:gridCol w:w="153"/>
        <w:gridCol w:w="214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4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47" w:type="dxa"/>
            <w:gridSpan w:val="4"/>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Adagio Medical Holdings, Inc.</w:t>
            </w:r>
            <w:r>
              <w:rPr>
                <w:rFonts w:ascii="Times New Roman;Times;serif" w:hAnsi="Times New Roman;Times;serif"/>
                <w:b/>
                <w:caps w:val="false"/>
                <w:smallCaps w:val="false"/>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Todd Usen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21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2992x2_def14a_400-proxycards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82992x2_def14a_400-proxycards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13798</Words>
  <Characters>70527</Characters>
  <CharactersWithSpaces>84530</CharactersWithSpaces>
  <Paragraphs>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